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16AEE" w:rsidTr="00DC046E">
        <w:trPr>
          <w:cantSplit/>
          <w:trHeight w:hRule="exact" w:val="851"/>
        </w:trPr>
        <w:tc>
          <w:tcPr>
            <w:tcW w:w="1276" w:type="dxa"/>
            <w:tcBorders>
              <w:bottom w:val="single" w:sz="4" w:space="0" w:color="auto"/>
            </w:tcBorders>
            <w:vAlign w:val="bottom"/>
          </w:tcPr>
          <w:p w:rsidR="00B56E9C" w:rsidRPr="00E16AEE" w:rsidRDefault="00B56E9C" w:rsidP="00DC046E">
            <w:pPr>
              <w:spacing w:after="80"/>
            </w:pPr>
            <w:bookmarkStart w:id="0" w:name="_GoBack"/>
            <w:bookmarkEnd w:id="0"/>
          </w:p>
        </w:tc>
        <w:tc>
          <w:tcPr>
            <w:tcW w:w="2268" w:type="dxa"/>
            <w:tcBorders>
              <w:bottom w:val="single" w:sz="4" w:space="0" w:color="auto"/>
            </w:tcBorders>
            <w:vAlign w:val="bottom"/>
          </w:tcPr>
          <w:p w:rsidR="00B56E9C" w:rsidRPr="00C01980" w:rsidRDefault="00B56E9C" w:rsidP="00DC046E">
            <w:pPr>
              <w:spacing w:after="80" w:line="300" w:lineRule="exact"/>
              <w:rPr>
                <w:b/>
                <w:sz w:val="24"/>
                <w:szCs w:val="24"/>
              </w:rPr>
            </w:pPr>
            <w:r w:rsidRPr="00C01980">
              <w:rPr>
                <w:sz w:val="28"/>
                <w:szCs w:val="28"/>
              </w:rPr>
              <w:t>United Nations</w:t>
            </w:r>
          </w:p>
        </w:tc>
        <w:tc>
          <w:tcPr>
            <w:tcW w:w="6095" w:type="dxa"/>
            <w:gridSpan w:val="2"/>
            <w:tcBorders>
              <w:bottom w:val="single" w:sz="4" w:space="0" w:color="auto"/>
            </w:tcBorders>
            <w:vAlign w:val="bottom"/>
          </w:tcPr>
          <w:p w:rsidR="00B56E9C" w:rsidRPr="00E16AEE" w:rsidRDefault="008564DF" w:rsidP="00BE6778">
            <w:pPr>
              <w:jc w:val="right"/>
            </w:pPr>
            <w:r w:rsidRPr="007E0164">
              <w:rPr>
                <w:sz w:val="40"/>
              </w:rPr>
              <w:t>CCPR</w:t>
            </w:r>
            <w:r w:rsidRPr="007E0164">
              <w:t>/C/123/D</w:t>
            </w:r>
            <w:r w:rsidRPr="00E16AEE">
              <w:t>/2371/2014</w:t>
            </w:r>
          </w:p>
        </w:tc>
      </w:tr>
      <w:tr w:rsidR="00B56E9C" w:rsidRPr="00E16AEE" w:rsidTr="00DC046E">
        <w:trPr>
          <w:cantSplit/>
          <w:trHeight w:hRule="exact" w:val="2835"/>
        </w:trPr>
        <w:tc>
          <w:tcPr>
            <w:tcW w:w="1276" w:type="dxa"/>
            <w:tcBorders>
              <w:top w:val="single" w:sz="4" w:space="0" w:color="auto"/>
              <w:bottom w:val="single" w:sz="12" w:space="0" w:color="auto"/>
            </w:tcBorders>
          </w:tcPr>
          <w:p w:rsidR="00B56E9C" w:rsidRPr="00C01980" w:rsidRDefault="00F8039D" w:rsidP="00DC046E">
            <w:pPr>
              <w:spacing w:before="120"/>
            </w:pPr>
            <w:r w:rsidRPr="00DB7E86">
              <w:rPr>
                <w:noProof/>
                <w:lang w:val="en-US"/>
              </w:rPr>
              <w:drawing>
                <wp:inline distT="0" distB="0" distL="0" distR="0">
                  <wp:extent cx="712470" cy="59372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E16AEE" w:rsidRDefault="00B56E9C" w:rsidP="00DC046E">
            <w:pPr>
              <w:spacing w:before="120" w:line="380" w:lineRule="exact"/>
              <w:rPr>
                <w:sz w:val="34"/>
              </w:rPr>
            </w:pPr>
            <w:r w:rsidRPr="007E0164">
              <w:rPr>
                <w:b/>
                <w:sz w:val="34"/>
                <w:szCs w:val="40"/>
              </w:rPr>
              <w:t xml:space="preserve">International </w:t>
            </w:r>
            <w:r w:rsidR="00060C3A" w:rsidRPr="007E0164">
              <w:rPr>
                <w:b/>
                <w:sz w:val="34"/>
                <w:szCs w:val="40"/>
              </w:rPr>
              <w:t>Covenant on</w:t>
            </w:r>
            <w:r w:rsidR="00060C3A" w:rsidRPr="007E0164">
              <w:rPr>
                <w:b/>
                <w:sz w:val="34"/>
                <w:szCs w:val="40"/>
              </w:rPr>
              <w:br/>
              <w:t>Civil and Political R</w:t>
            </w:r>
            <w:r w:rsidR="00703577" w:rsidRPr="00E16AEE">
              <w:rPr>
                <w:b/>
                <w:sz w:val="34"/>
                <w:szCs w:val="40"/>
              </w:rPr>
              <w:t>ights</w:t>
            </w:r>
          </w:p>
        </w:tc>
        <w:tc>
          <w:tcPr>
            <w:tcW w:w="2835" w:type="dxa"/>
            <w:tcBorders>
              <w:top w:val="single" w:sz="4" w:space="0" w:color="auto"/>
              <w:bottom w:val="single" w:sz="12" w:space="0" w:color="auto"/>
            </w:tcBorders>
          </w:tcPr>
          <w:p w:rsidR="00B56E9C" w:rsidRPr="00E16AEE" w:rsidRDefault="008564DF" w:rsidP="008564DF">
            <w:pPr>
              <w:spacing w:before="240" w:line="240" w:lineRule="exact"/>
            </w:pPr>
            <w:r w:rsidRPr="00E16AEE">
              <w:t xml:space="preserve">Distr.: </w:t>
            </w:r>
            <w:r w:rsidR="00BE6778" w:rsidRPr="00E16AEE">
              <w:t>General</w:t>
            </w:r>
          </w:p>
          <w:p w:rsidR="008564DF" w:rsidRPr="00E16AEE" w:rsidRDefault="002C1951" w:rsidP="008564DF">
            <w:pPr>
              <w:spacing w:line="240" w:lineRule="exact"/>
            </w:pPr>
            <w:r w:rsidRPr="00E16AEE">
              <w:t xml:space="preserve">4 September </w:t>
            </w:r>
            <w:r w:rsidR="008564DF" w:rsidRPr="00E16AEE">
              <w:t>2018</w:t>
            </w:r>
          </w:p>
          <w:p w:rsidR="008564DF" w:rsidRPr="00E16AEE" w:rsidRDefault="008564DF" w:rsidP="008564DF">
            <w:pPr>
              <w:spacing w:line="240" w:lineRule="exact"/>
            </w:pPr>
          </w:p>
          <w:p w:rsidR="008564DF" w:rsidRPr="00E16AEE" w:rsidRDefault="008564DF" w:rsidP="008564DF">
            <w:pPr>
              <w:spacing w:line="240" w:lineRule="exact"/>
            </w:pPr>
            <w:r w:rsidRPr="00E16AEE">
              <w:t>Original: English</w:t>
            </w:r>
          </w:p>
          <w:p w:rsidR="0008658F" w:rsidRPr="00E16AEE" w:rsidRDefault="0008658F" w:rsidP="008564DF">
            <w:pPr>
              <w:spacing w:line="240" w:lineRule="exact"/>
            </w:pPr>
          </w:p>
        </w:tc>
      </w:tr>
    </w:tbl>
    <w:p w:rsidR="008564DF" w:rsidRPr="00E16AEE" w:rsidRDefault="008564DF" w:rsidP="000406C4">
      <w:pPr>
        <w:spacing w:before="120"/>
        <w:rPr>
          <w:b/>
        </w:rPr>
      </w:pPr>
      <w:r w:rsidRPr="00E16AEE">
        <w:rPr>
          <w:b/>
        </w:rPr>
        <w:t>Human Rights Committee</w:t>
      </w:r>
      <w:r w:rsidR="001032E9">
        <w:rPr>
          <w:b/>
        </w:rPr>
        <w:t xml:space="preserve"> </w:t>
      </w:r>
    </w:p>
    <w:p w:rsidR="000406C4" w:rsidRPr="00C01980" w:rsidRDefault="008564DF" w:rsidP="007B0587">
      <w:pPr>
        <w:pStyle w:val="HChG"/>
      </w:pPr>
      <w:r w:rsidRPr="007C3A2E">
        <w:tab/>
      </w:r>
      <w:r w:rsidR="006D4B88" w:rsidRPr="007C3A2E">
        <w:tab/>
      </w:r>
      <w:r w:rsidR="00BE6778" w:rsidRPr="007C3A2E">
        <w:t>Views adopted by the Committee under article 5</w:t>
      </w:r>
      <w:r w:rsidR="00C01AF4" w:rsidRPr="007C3A2E">
        <w:t xml:space="preserve"> </w:t>
      </w:r>
      <w:r w:rsidR="00BE6778" w:rsidRPr="007B0587">
        <w:t>(4) of the Optional Protocol, concerning c</w:t>
      </w:r>
      <w:r w:rsidRPr="007B0587">
        <w:t>ommunication No</w:t>
      </w:r>
      <w:r w:rsidR="00BE6E46" w:rsidRPr="007B0587">
        <w:t>.</w:t>
      </w:r>
      <w:r w:rsidRPr="007B0587">
        <w:t xml:space="preserve"> 2371/2014</w:t>
      </w:r>
      <w:r w:rsidR="00BE6778" w:rsidRPr="00D72BF4">
        <w:rPr>
          <w:rStyle w:val="FootnoteReference"/>
          <w:b w:val="0"/>
          <w:sz w:val="20"/>
          <w:vertAlign w:val="baseline"/>
          <w:lang w:val="en-GB"/>
        </w:rPr>
        <w:footnoteReference w:customMarkFollows="1" w:id="2"/>
        <w:t>*</w:t>
      </w:r>
      <w:r w:rsidR="00BE6778" w:rsidRPr="007B0587">
        <w:rPr>
          <w:b w:val="0"/>
          <w:bCs/>
          <w:position w:val="4"/>
          <w:sz w:val="20"/>
        </w:rPr>
        <w:t>,</w:t>
      </w:r>
      <w:r w:rsidR="00D17ADE" w:rsidRPr="007B0587">
        <w:rPr>
          <w:b w:val="0"/>
          <w:bCs/>
          <w:sz w:val="20"/>
        </w:rPr>
        <w:t xml:space="preserve"> </w:t>
      </w:r>
      <w:r w:rsidR="00BE6778" w:rsidRPr="00D72BF4">
        <w:rPr>
          <w:rStyle w:val="FootnoteReference"/>
          <w:b w:val="0"/>
          <w:sz w:val="20"/>
          <w:vertAlign w:val="baseline"/>
          <w:lang w:val="en-GB"/>
        </w:rPr>
        <w:footnoteReference w:customMarkFollows="1" w:id="3"/>
        <w:t>**</w:t>
      </w:r>
    </w:p>
    <w:p w:rsidR="00D11F6E" w:rsidRPr="00E16AEE" w:rsidRDefault="000406C4" w:rsidP="007B0587">
      <w:pPr>
        <w:spacing w:after="120" w:line="220" w:lineRule="atLeast"/>
        <w:ind w:left="4536" w:right="1134" w:hanging="3402"/>
      </w:pPr>
      <w:r w:rsidRPr="00E16AEE">
        <w:rPr>
          <w:i/>
        </w:rPr>
        <w:t>Communication s</w:t>
      </w:r>
      <w:r w:rsidR="008564DF" w:rsidRPr="00E16AEE">
        <w:rPr>
          <w:i/>
        </w:rPr>
        <w:t>ubmitted by:</w:t>
      </w:r>
      <w:r w:rsidR="008564DF" w:rsidRPr="00E16AEE">
        <w:tab/>
        <w:t>Noureddine Maalem and Guldez Maalem (not</w:t>
      </w:r>
      <w:r w:rsidR="008E267B">
        <w:t> </w:t>
      </w:r>
      <w:r w:rsidR="008564DF" w:rsidRPr="00E16AEE">
        <w:t>represented</w:t>
      </w:r>
      <w:r w:rsidR="00BE6E46" w:rsidRPr="00E16AEE">
        <w:t xml:space="preserve"> by counsel</w:t>
      </w:r>
      <w:r w:rsidR="00B97E5E" w:rsidRPr="00E16AEE">
        <w:t>)</w:t>
      </w:r>
    </w:p>
    <w:p w:rsidR="008564DF" w:rsidRPr="00E16AEE" w:rsidRDefault="008564DF" w:rsidP="007B0587">
      <w:pPr>
        <w:spacing w:after="120" w:line="220" w:lineRule="atLeast"/>
        <w:ind w:left="4536" w:right="1134" w:hanging="3402"/>
      </w:pPr>
      <w:r w:rsidRPr="00E16AEE">
        <w:rPr>
          <w:i/>
        </w:rPr>
        <w:t>Alleged victim</w:t>
      </w:r>
      <w:r w:rsidR="000406C4" w:rsidRPr="00E16AEE">
        <w:rPr>
          <w:i/>
        </w:rPr>
        <w:t>s</w:t>
      </w:r>
      <w:r w:rsidRPr="00E16AEE">
        <w:rPr>
          <w:i/>
        </w:rPr>
        <w:t>:</w:t>
      </w:r>
      <w:r w:rsidRPr="00E16AEE">
        <w:tab/>
        <w:t>The authors and their</w:t>
      </w:r>
      <w:r w:rsidR="00055305" w:rsidRPr="00E16AEE">
        <w:t xml:space="preserve"> five</w:t>
      </w:r>
      <w:r w:rsidRPr="00E16AEE">
        <w:t xml:space="preserve"> children </w:t>
      </w:r>
    </w:p>
    <w:p w:rsidR="008564DF" w:rsidRPr="00E16AEE" w:rsidRDefault="008564DF" w:rsidP="007B0587">
      <w:pPr>
        <w:spacing w:after="120" w:line="220" w:lineRule="atLeast"/>
        <w:ind w:left="4536" w:right="1134" w:hanging="3402"/>
      </w:pPr>
      <w:r w:rsidRPr="00E16AEE">
        <w:rPr>
          <w:i/>
        </w:rPr>
        <w:t xml:space="preserve">State </w:t>
      </w:r>
      <w:r w:rsidR="00F84D9A" w:rsidRPr="00E16AEE">
        <w:rPr>
          <w:i/>
        </w:rPr>
        <w:t>p</w:t>
      </w:r>
      <w:r w:rsidRPr="00E16AEE">
        <w:rPr>
          <w:i/>
        </w:rPr>
        <w:t>arty:</w:t>
      </w:r>
      <w:r w:rsidRPr="00E16AEE">
        <w:tab/>
        <w:t>Uzbekistan</w:t>
      </w:r>
    </w:p>
    <w:p w:rsidR="008564DF" w:rsidRPr="00E16AEE" w:rsidRDefault="008564DF" w:rsidP="007B0587">
      <w:pPr>
        <w:spacing w:after="120" w:line="220" w:lineRule="atLeast"/>
        <w:ind w:left="4536" w:right="1134" w:hanging="3402"/>
      </w:pPr>
      <w:r w:rsidRPr="00E16AEE">
        <w:rPr>
          <w:i/>
        </w:rPr>
        <w:t>Date of communication:</w:t>
      </w:r>
      <w:r w:rsidRPr="00E16AEE">
        <w:tab/>
        <w:t>28 March 2014 (initial submission)</w:t>
      </w:r>
    </w:p>
    <w:p w:rsidR="008564DF" w:rsidRPr="007B0587" w:rsidRDefault="008564DF" w:rsidP="007B0587">
      <w:pPr>
        <w:spacing w:after="120" w:line="220" w:lineRule="atLeast"/>
        <w:ind w:left="4524" w:right="1134" w:hanging="3390"/>
      </w:pPr>
      <w:r w:rsidRPr="00E16AEE">
        <w:rPr>
          <w:i/>
        </w:rPr>
        <w:t>Document references:</w:t>
      </w:r>
      <w:r w:rsidRPr="00E16AEE">
        <w:tab/>
      </w:r>
      <w:r w:rsidRPr="007B0587">
        <w:t xml:space="preserve">Decision taken pursuant to rules 92 and 97 of the Committee’s rules of procedure, transmitted to the State party on </w:t>
      </w:r>
      <w:r w:rsidRPr="00C01980">
        <w:t>31 March</w:t>
      </w:r>
      <w:r w:rsidRPr="007B0587">
        <w:t xml:space="preserve"> 201</w:t>
      </w:r>
      <w:r w:rsidRPr="00C01980">
        <w:t>4</w:t>
      </w:r>
      <w:r w:rsidRPr="007B0587">
        <w:t xml:space="preserve"> (not issued in document form)</w:t>
      </w:r>
    </w:p>
    <w:p w:rsidR="008564DF" w:rsidRPr="00E16AEE" w:rsidRDefault="000406C4" w:rsidP="007B0587">
      <w:pPr>
        <w:spacing w:after="120" w:line="220" w:lineRule="atLeast"/>
        <w:ind w:left="4536" w:right="1134" w:hanging="3402"/>
      </w:pPr>
      <w:r w:rsidRPr="00C01980">
        <w:rPr>
          <w:i/>
        </w:rPr>
        <w:t>Date of adoption of V</w:t>
      </w:r>
      <w:r w:rsidR="008564DF" w:rsidRPr="00C01980">
        <w:rPr>
          <w:i/>
        </w:rPr>
        <w:t>iews:</w:t>
      </w:r>
      <w:r w:rsidRPr="00E16AEE">
        <w:tab/>
      </w:r>
      <w:r w:rsidR="009C4E87" w:rsidRPr="00E16AEE">
        <w:t xml:space="preserve">17 </w:t>
      </w:r>
      <w:r w:rsidR="008564DF" w:rsidRPr="00E16AEE">
        <w:t>July 2018</w:t>
      </w:r>
    </w:p>
    <w:p w:rsidR="008564DF" w:rsidRPr="00E16AEE" w:rsidRDefault="008564DF" w:rsidP="007B0587">
      <w:pPr>
        <w:spacing w:after="120" w:line="220" w:lineRule="atLeast"/>
        <w:ind w:left="4536" w:right="1134" w:hanging="3402"/>
      </w:pPr>
      <w:r w:rsidRPr="00E16AEE">
        <w:rPr>
          <w:i/>
          <w:iCs/>
        </w:rPr>
        <w:t xml:space="preserve">Subject matter: </w:t>
      </w:r>
      <w:r w:rsidRPr="00E16AEE">
        <w:rPr>
          <w:i/>
          <w:iCs/>
        </w:rPr>
        <w:tab/>
      </w:r>
      <w:r w:rsidRPr="00E16AEE">
        <w:rPr>
          <w:iCs/>
        </w:rPr>
        <w:t>Expulsion</w:t>
      </w:r>
      <w:r w:rsidRPr="00E16AEE">
        <w:t xml:space="preserve"> from Uzbekistan to Algeria and separation from family</w:t>
      </w:r>
    </w:p>
    <w:p w:rsidR="008564DF" w:rsidRPr="00E16AEE" w:rsidRDefault="008564DF" w:rsidP="007B0587">
      <w:pPr>
        <w:spacing w:after="240" w:line="220" w:lineRule="atLeast"/>
        <w:ind w:left="4524" w:right="1134" w:hanging="3390"/>
        <w:rPr>
          <w:iCs/>
        </w:rPr>
      </w:pPr>
      <w:r w:rsidRPr="00E16AEE">
        <w:rPr>
          <w:i/>
          <w:iCs/>
        </w:rPr>
        <w:t>Procedural issue</w:t>
      </w:r>
      <w:r w:rsidRPr="00E16AEE">
        <w:t xml:space="preserve">: </w:t>
      </w:r>
      <w:r w:rsidRPr="00E16AEE">
        <w:tab/>
      </w:r>
      <w:r w:rsidRPr="00E16AEE">
        <w:rPr>
          <w:iCs/>
        </w:rPr>
        <w:t xml:space="preserve">Level of substantiation of claims </w:t>
      </w:r>
    </w:p>
    <w:p w:rsidR="008564DF" w:rsidRPr="007E0164" w:rsidRDefault="008564DF" w:rsidP="007B0587">
      <w:pPr>
        <w:spacing w:after="240" w:line="220" w:lineRule="atLeast"/>
        <w:ind w:left="4524" w:right="1134" w:hanging="3390"/>
      </w:pPr>
      <w:r w:rsidRPr="00E16AEE">
        <w:rPr>
          <w:i/>
        </w:rPr>
        <w:t>Substantive issues:</w:t>
      </w:r>
      <w:r w:rsidRPr="00E16AEE">
        <w:rPr>
          <w:i/>
        </w:rPr>
        <w:tab/>
      </w:r>
      <w:r w:rsidRPr="00E16AEE">
        <w:t>Expulsion of non</w:t>
      </w:r>
      <w:r w:rsidRPr="00E16AEE">
        <w:noBreakHyphen/>
        <w:t>citizen; fair trial; family life; rights of the child; torture and ill-treatment</w:t>
      </w:r>
      <w:r w:rsidR="00B876CF">
        <w:t xml:space="preserve"> </w:t>
      </w:r>
    </w:p>
    <w:p w:rsidR="008564DF" w:rsidRPr="00E16AEE" w:rsidRDefault="008564DF" w:rsidP="007B0587">
      <w:pPr>
        <w:spacing w:after="120" w:line="220" w:lineRule="atLeast"/>
        <w:ind w:left="4536" w:right="1134" w:hanging="3402"/>
        <w:rPr>
          <w:highlight w:val="yellow"/>
        </w:rPr>
      </w:pPr>
      <w:r w:rsidRPr="007E0164">
        <w:rPr>
          <w:i/>
          <w:iCs/>
        </w:rPr>
        <w:t>Articles of the Covenant</w:t>
      </w:r>
      <w:r w:rsidRPr="007B0587">
        <w:rPr>
          <w:iCs/>
        </w:rPr>
        <w:t>:</w:t>
      </w:r>
      <w:r w:rsidR="009E1F35" w:rsidRPr="00C01980">
        <w:rPr>
          <w:i/>
          <w:iCs/>
        </w:rPr>
        <w:t xml:space="preserve"> </w:t>
      </w:r>
      <w:r w:rsidRPr="00C01980">
        <w:rPr>
          <w:i/>
          <w:iCs/>
        </w:rPr>
        <w:tab/>
      </w:r>
      <w:r w:rsidRPr="00C01980">
        <w:rPr>
          <w:iCs/>
        </w:rPr>
        <w:t>7, 14, 23</w:t>
      </w:r>
      <w:r w:rsidR="00264B62" w:rsidRPr="007E0164">
        <w:rPr>
          <w:iCs/>
        </w:rPr>
        <w:t xml:space="preserve"> and</w:t>
      </w:r>
      <w:r w:rsidRPr="00E16AEE">
        <w:rPr>
          <w:iCs/>
        </w:rPr>
        <w:t xml:space="preserve"> 24</w:t>
      </w:r>
    </w:p>
    <w:p w:rsidR="008564DF" w:rsidRPr="00C01980" w:rsidRDefault="008564DF" w:rsidP="007B0587">
      <w:pPr>
        <w:spacing w:after="240" w:line="220" w:lineRule="atLeast"/>
        <w:ind w:left="4536" w:right="1134" w:hanging="3402"/>
      </w:pPr>
      <w:r w:rsidRPr="00E16AEE">
        <w:rPr>
          <w:i/>
          <w:iCs/>
        </w:rPr>
        <w:t>Article of the Optional Protocol</w:t>
      </w:r>
      <w:r w:rsidRPr="007B0587">
        <w:rPr>
          <w:iCs/>
        </w:rPr>
        <w:t xml:space="preserve">: </w:t>
      </w:r>
      <w:r w:rsidRPr="00C01980">
        <w:rPr>
          <w:i/>
          <w:iCs/>
        </w:rPr>
        <w:tab/>
      </w:r>
      <w:r w:rsidRPr="00C01980">
        <w:t>2</w:t>
      </w:r>
    </w:p>
    <w:p w:rsidR="0003364A" w:rsidRPr="007B0587" w:rsidRDefault="000A7FF8" w:rsidP="007B0587">
      <w:pPr>
        <w:pStyle w:val="SingleTxtG"/>
      </w:pPr>
      <w:r>
        <w:t>1.1</w:t>
      </w:r>
      <w:r>
        <w:tab/>
      </w:r>
      <w:r w:rsidR="0003364A" w:rsidRPr="00E16AEE">
        <w:t xml:space="preserve">The authors of the communication are </w:t>
      </w:r>
      <w:r w:rsidR="009E1F35" w:rsidRPr="00E16AEE">
        <w:t>Noureddine Maalem</w:t>
      </w:r>
      <w:r w:rsidR="0003364A" w:rsidRPr="00E16AEE">
        <w:t>, a national of Algeria born in 1962</w:t>
      </w:r>
      <w:r w:rsidR="003813A1" w:rsidRPr="00E16AEE">
        <w:t>,</w:t>
      </w:r>
      <w:r w:rsidR="0003364A" w:rsidRPr="00E16AEE">
        <w:t xml:space="preserve"> and h</w:t>
      </w:r>
      <w:r w:rsidR="009E1F35" w:rsidRPr="00E16AEE">
        <w:t>is wife</w:t>
      </w:r>
      <w:r w:rsidR="00175E68" w:rsidRPr="00E16AEE">
        <w:t>,</w:t>
      </w:r>
      <w:r w:rsidR="009E1F35" w:rsidRPr="00E16AEE">
        <w:t xml:space="preserve"> Guldez </w:t>
      </w:r>
      <w:r w:rsidR="009E1F35" w:rsidRPr="00C01980">
        <w:t>Maalem</w:t>
      </w:r>
      <w:r w:rsidR="0003364A" w:rsidRPr="00C01980">
        <w:t>, a national of Uzbekistan</w:t>
      </w:r>
      <w:r w:rsidR="0003364A" w:rsidRPr="007E0164">
        <w:t xml:space="preserve"> born in 1974</w:t>
      </w:r>
      <w:r w:rsidR="003813A1" w:rsidRPr="00E16AEE">
        <w:t>. The communication is</w:t>
      </w:r>
      <w:r w:rsidR="0003364A" w:rsidRPr="00E16AEE">
        <w:t xml:space="preserve"> </w:t>
      </w:r>
      <w:r w:rsidR="003813A1" w:rsidRPr="00E16AEE">
        <w:t xml:space="preserve">submitted </w:t>
      </w:r>
      <w:r w:rsidR="0003364A" w:rsidRPr="00E16AEE">
        <w:t xml:space="preserve">on their own behalf and on behalf of their five children, all nationals of Uzbekistan, born in 1995, 1998, 2001, 2003 and 2006, respectively. </w:t>
      </w:r>
      <w:r w:rsidR="00444F6C" w:rsidRPr="00E16AEE">
        <w:t xml:space="preserve">Mr. Maalem </w:t>
      </w:r>
      <w:r w:rsidR="0003364A" w:rsidRPr="00E16AEE">
        <w:t>is subject to deportation to Algeria</w:t>
      </w:r>
      <w:r w:rsidR="003813A1" w:rsidRPr="00E16AEE">
        <w:t>,</w:t>
      </w:r>
      <w:r w:rsidR="0003364A" w:rsidRPr="00E16AEE">
        <w:t xml:space="preserve"> or possibly to Kazakhstan</w:t>
      </w:r>
      <w:r w:rsidR="00C0510B" w:rsidRPr="00E16AEE">
        <w:t>,</w:t>
      </w:r>
      <w:r w:rsidR="0003364A" w:rsidRPr="00E16AEE">
        <w:t xml:space="preserve"> following his criminal conviction </w:t>
      </w:r>
      <w:r w:rsidR="00C0510B" w:rsidRPr="00E16AEE">
        <w:t xml:space="preserve">and sentencing </w:t>
      </w:r>
      <w:r w:rsidR="00055305" w:rsidRPr="00E16AEE">
        <w:t>to</w:t>
      </w:r>
      <w:r w:rsidR="0003364A" w:rsidRPr="00E16AEE">
        <w:t xml:space="preserve"> five years</w:t>
      </w:r>
      <w:r w:rsidR="00C0510B" w:rsidRPr="00E16AEE">
        <w:t>’</w:t>
      </w:r>
      <w:r w:rsidR="0003364A" w:rsidRPr="00E16AEE">
        <w:t xml:space="preserve"> </w:t>
      </w:r>
      <w:r w:rsidR="00055305" w:rsidRPr="00E16AEE">
        <w:t>imprisonment</w:t>
      </w:r>
      <w:r w:rsidR="00C0510B" w:rsidRPr="00E16AEE">
        <w:t>,</w:t>
      </w:r>
      <w:r w:rsidR="0003364A" w:rsidRPr="00E16AEE">
        <w:t xml:space="preserve"> </w:t>
      </w:r>
      <w:r w:rsidR="00C0510B" w:rsidRPr="00E16AEE">
        <w:t>followed by an</w:t>
      </w:r>
      <w:r w:rsidR="0003364A" w:rsidRPr="00E16AEE">
        <w:t xml:space="preserve"> amnesty by court decision on 24</w:t>
      </w:r>
      <w:r w:rsidR="00C8240A">
        <w:t> </w:t>
      </w:r>
      <w:r w:rsidR="0003364A" w:rsidRPr="00E16AEE">
        <w:t>February 2014. The</w:t>
      </w:r>
      <w:r w:rsidR="00C0510B" w:rsidRPr="00E16AEE">
        <w:t xml:space="preserve"> authors</w:t>
      </w:r>
      <w:r w:rsidR="0003364A" w:rsidRPr="00E16AEE">
        <w:t xml:space="preserve"> </w:t>
      </w:r>
      <w:r w:rsidR="0003364A" w:rsidRPr="00E16AEE">
        <w:lastRenderedPageBreak/>
        <w:t>claim that the State party</w:t>
      </w:r>
      <w:r w:rsidR="00C0510B" w:rsidRPr="00E16AEE">
        <w:t>’s</w:t>
      </w:r>
      <w:r w:rsidR="0003364A" w:rsidRPr="00E16AEE">
        <w:t xml:space="preserve"> decision to expel </w:t>
      </w:r>
      <w:r w:rsidR="000C29D7" w:rsidRPr="00E16AEE">
        <w:t xml:space="preserve">Mr. Maalem </w:t>
      </w:r>
      <w:r w:rsidR="0003364A" w:rsidRPr="00E16AEE">
        <w:t xml:space="preserve">permanently from Uzbekistan constitutes a breach of his rights under articles 14, 23 and 24 of the Covenant and of </w:t>
      </w:r>
      <w:r w:rsidR="00444F6C" w:rsidRPr="00E16AEE">
        <w:t>Ms.</w:t>
      </w:r>
      <w:r w:rsidR="00A4401F">
        <w:t> </w:t>
      </w:r>
      <w:r w:rsidR="00444F6C" w:rsidRPr="00E16AEE">
        <w:t>Maalem</w:t>
      </w:r>
      <w:r w:rsidR="0003364A" w:rsidRPr="00E16AEE">
        <w:t>’s and their children’s rights under article</w:t>
      </w:r>
      <w:r w:rsidR="000C29D7" w:rsidRPr="00E16AEE">
        <w:t>s</w:t>
      </w:r>
      <w:r w:rsidR="0003364A" w:rsidRPr="00E16AEE">
        <w:t xml:space="preserve"> 23 and 24 of the Covenant. </w:t>
      </w:r>
      <w:r w:rsidR="00444F6C" w:rsidRPr="00E16AEE">
        <w:t xml:space="preserve">Mr. Maalem </w:t>
      </w:r>
      <w:r w:rsidR="0003364A" w:rsidRPr="00E16AEE">
        <w:t xml:space="preserve">also raises claims under article 7 of the Covenant. </w:t>
      </w:r>
      <w:r w:rsidR="0003364A" w:rsidRPr="007B0587">
        <w:t xml:space="preserve">The Optional Protocol entered into force for </w:t>
      </w:r>
      <w:r w:rsidR="0003364A" w:rsidRPr="00C01980">
        <w:t>Uzbekistan</w:t>
      </w:r>
      <w:r w:rsidR="0003364A" w:rsidRPr="007B0587">
        <w:t xml:space="preserve"> on 2</w:t>
      </w:r>
      <w:r w:rsidR="0003364A" w:rsidRPr="00C01980">
        <w:t>8</w:t>
      </w:r>
      <w:r w:rsidR="0003364A" w:rsidRPr="007B0587">
        <w:t xml:space="preserve"> </w:t>
      </w:r>
      <w:r w:rsidR="0003364A" w:rsidRPr="00C01980">
        <w:t>December</w:t>
      </w:r>
      <w:r w:rsidR="0003364A" w:rsidRPr="007B0587">
        <w:t xml:space="preserve"> 19</w:t>
      </w:r>
      <w:r w:rsidR="0003364A" w:rsidRPr="00C01980">
        <w:t>95</w:t>
      </w:r>
      <w:r w:rsidR="0003364A" w:rsidRPr="007B0587">
        <w:t>. The author</w:t>
      </w:r>
      <w:r w:rsidR="0003364A" w:rsidRPr="00C01980">
        <w:t>s</w:t>
      </w:r>
      <w:r w:rsidR="0003364A" w:rsidRPr="007B0587">
        <w:t xml:space="preserve"> </w:t>
      </w:r>
      <w:r w:rsidR="0003364A" w:rsidRPr="00C01980">
        <w:t xml:space="preserve">are </w:t>
      </w:r>
      <w:r w:rsidR="00F84D9A" w:rsidRPr="00C01980">
        <w:t xml:space="preserve">not </w:t>
      </w:r>
      <w:r w:rsidR="0003364A" w:rsidRPr="007B0587">
        <w:t>represented</w:t>
      </w:r>
      <w:r w:rsidR="00F547C2" w:rsidRPr="007B0587">
        <w:t xml:space="preserve"> by counsel</w:t>
      </w:r>
      <w:r w:rsidR="0003364A" w:rsidRPr="00C01980">
        <w:t>.</w:t>
      </w:r>
    </w:p>
    <w:p w:rsidR="0003364A" w:rsidRPr="007B0587" w:rsidRDefault="0003364A" w:rsidP="007B0587">
      <w:pPr>
        <w:pStyle w:val="SingleTxtG"/>
      </w:pPr>
      <w:r w:rsidRPr="00C01980">
        <w:t>1.2</w:t>
      </w:r>
      <w:r w:rsidRPr="00C01980">
        <w:tab/>
      </w:r>
      <w:r w:rsidRPr="007B0587">
        <w:t xml:space="preserve">On </w:t>
      </w:r>
      <w:r w:rsidRPr="00C01980">
        <w:t>31 March 2014</w:t>
      </w:r>
      <w:r w:rsidRPr="007B0587">
        <w:t xml:space="preserve">, pursuant to rule 92 of its rules of procedure, the Committee, acting through its Special Rapporteur on new communications and interim measures, requested the State party not to deport </w:t>
      </w:r>
      <w:r w:rsidR="00444F6C" w:rsidRPr="00C01980">
        <w:t>Mr. Maalem</w:t>
      </w:r>
      <w:r w:rsidRPr="007B0587">
        <w:t xml:space="preserve"> </w:t>
      </w:r>
      <w:r w:rsidRPr="00C01980">
        <w:t>to Algeria</w:t>
      </w:r>
      <w:r w:rsidRPr="007B0587">
        <w:t xml:space="preserve"> while his case was under consideration by the Committee. </w:t>
      </w:r>
    </w:p>
    <w:p w:rsidR="0003364A" w:rsidRPr="00E16AEE" w:rsidRDefault="0003364A" w:rsidP="007B0587">
      <w:pPr>
        <w:pStyle w:val="SingleTxtG"/>
      </w:pPr>
      <w:r w:rsidRPr="00C01980">
        <w:t>1.3</w:t>
      </w:r>
      <w:r w:rsidRPr="00C01980">
        <w:tab/>
        <w:t xml:space="preserve">On </w:t>
      </w:r>
      <w:r w:rsidRPr="007E0164">
        <w:t xml:space="preserve">4 June 2017, the Committee, acting through its Special Rapporteur on new communications and interim measures, </w:t>
      </w:r>
      <w:r w:rsidRPr="00E16AEE">
        <w:t>reminded the State party that the request for interim measures remain</w:t>
      </w:r>
      <w:r w:rsidR="002F37EA" w:rsidRPr="00E16AEE">
        <w:t>ed</w:t>
      </w:r>
      <w:r w:rsidRPr="00E16AEE">
        <w:t xml:space="preserve"> in effect.</w:t>
      </w:r>
    </w:p>
    <w:p w:rsidR="0003364A" w:rsidRPr="00C01980" w:rsidRDefault="0003364A" w:rsidP="007B0587">
      <w:pPr>
        <w:pStyle w:val="H23G"/>
      </w:pPr>
      <w:r w:rsidRPr="00E16AEE">
        <w:tab/>
      </w:r>
      <w:r w:rsidRPr="00E16AEE">
        <w:tab/>
        <w:t>Factual background</w:t>
      </w:r>
      <w:r w:rsidRPr="00C01980">
        <w:t xml:space="preserve"> </w:t>
      </w:r>
    </w:p>
    <w:p w:rsidR="0003364A" w:rsidRPr="007E0164" w:rsidRDefault="0003364A" w:rsidP="007B0587">
      <w:pPr>
        <w:pStyle w:val="SingleTxtG"/>
      </w:pPr>
      <w:r w:rsidRPr="007E0164">
        <w:t>2.1</w:t>
      </w:r>
      <w:r w:rsidRPr="007E0164">
        <w:tab/>
      </w:r>
      <w:r w:rsidR="00444F6C" w:rsidRPr="007E0164">
        <w:t xml:space="preserve">Mr. Maalem </w:t>
      </w:r>
      <w:r w:rsidRPr="00E16AEE">
        <w:t xml:space="preserve">is a national </w:t>
      </w:r>
      <w:r w:rsidR="002F37EA" w:rsidRPr="00E16AEE">
        <w:t xml:space="preserve">of Algeria </w:t>
      </w:r>
      <w:r w:rsidRPr="00E16AEE">
        <w:t>who arrived in Uzbekistan in 1983 as a student and has been living there ever since. He graduated from university</w:t>
      </w:r>
      <w:r w:rsidRPr="00C01980">
        <w:t>, and in 1992 married a</w:t>
      </w:r>
      <w:r w:rsidRPr="007E0164">
        <w:t xml:space="preserve"> </w:t>
      </w:r>
      <w:r w:rsidR="00901B54" w:rsidRPr="00E16AEE">
        <w:t>citizen of Uzbekistan</w:t>
      </w:r>
      <w:r w:rsidRPr="00E16AEE">
        <w:t xml:space="preserve">, </w:t>
      </w:r>
      <w:r w:rsidR="00444F6C" w:rsidRPr="00E16AEE">
        <w:t>Ms</w:t>
      </w:r>
      <w:r w:rsidR="009E1F35" w:rsidRPr="00E16AEE">
        <w:t>. Maalem</w:t>
      </w:r>
      <w:r w:rsidRPr="00E16AEE">
        <w:t>,</w:t>
      </w:r>
      <w:r w:rsidR="009E1F35" w:rsidRPr="00E16AEE">
        <w:t xml:space="preserve"> </w:t>
      </w:r>
      <w:r w:rsidRPr="00E16AEE">
        <w:t xml:space="preserve">with whom he has five children, all born in Tashkent and </w:t>
      </w:r>
      <w:r w:rsidR="00901B54" w:rsidRPr="00E16AEE">
        <w:t>citizens of Uzbekistan</w:t>
      </w:r>
      <w:r w:rsidRPr="00E16AEE">
        <w:t>. In 1993</w:t>
      </w:r>
      <w:r w:rsidR="00C01980">
        <w:t>,</w:t>
      </w:r>
      <w:r w:rsidRPr="00C01980">
        <w:t xml:space="preserve"> he </w:t>
      </w:r>
      <w:r w:rsidR="00E65A1F" w:rsidRPr="00C01980">
        <w:t>was</w:t>
      </w:r>
      <w:r w:rsidRPr="007E0164">
        <w:t xml:space="preserve"> issued a residence permit, which </w:t>
      </w:r>
      <w:r w:rsidR="00901B54" w:rsidRPr="00E16AEE">
        <w:t>was</w:t>
      </w:r>
      <w:r w:rsidRPr="00E16AEE">
        <w:t xml:space="preserve"> renewed in 2002. However, he never obtained Uzbek citizenship.</w:t>
      </w:r>
      <w:r w:rsidRPr="00C01980">
        <w:t xml:space="preserve"> In early 2009, he was accused of committing a crime under article 135 of the Criminal Code (human trafficking). </w:t>
      </w:r>
      <w:r w:rsidR="00444F6C" w:rsidRPr="007E0164">
        <w:t xml:space="preserve">Mr. Maalem </w:t>
      </w:r>
      <w:r w:rsidRPr="007E0164">
        <w:t xml:space="preserve">explains that he was unemployed at the material time. In order to </w:t>
      </w:r>
      <w:r w:rsidR="00901B54" w:rsidRPr="00E16AEE">
        <w:t xml:space="preserve">earn </w:t>
      </w:r>
      <w:r w:rsidRPr="00E16AEE">
        <w:t>some money</w:t>
      </w:r>
      <w:r w:rsidR="00C01980">
        <w:t>,</w:t>
      </w:r>
      <w:r w:rsidRPr="00C01980">
        <w:t xml:space="preserve"> he was working as a taxi driver</w:t>
      </w:r>
      <w:r w:rsidR="00A204FC" w:rsidRPr="00C01980">
        <w:t>,</w:t>
      </w:r>
      <w:r w:rsidRPr="00C01980">
        <w:t xml:space="preserve"> using his own car to take passengers </w:t>
      </w:r>
      <w:r w:rsidRPr="007E0164">
        <w:t>from Tashkent to the official border</w:t>
      </w:r>
      <w:r w:rsidR="00A204FC" w:rsidRPr="007E0164">
        <w:t>-</w:t>
      </w:r>
      <w:r w:rsidRPr="00E16AEE">
        <w:t xml:space="preserve">crossing checkpoint with Kazakhstan, which is situated 10 km from Tashkent. The </w:t>
      </w:r>
      <w:r w:rsidR="00E65A1F" w:rsidRPr="00E16AEE">
        <w:t>p</w:t>
      </w:r>
      <w:r w:rsidRPr="00E16AEE">
        <w:t>olice suspected him of being a member of a criminal group trafficking low-skilled workers and sex</w:t>
      </w:r>
      <w:r w:rsidR="00A204FC" w:rsidRPr="00E16AEE">
        <w:t xml:space="preserve"> </w:t>
      </w:r>
      <w:r w:rsidRPr="00E16AEE">
        <w:t xml:space="preserve">workers to Kazakhstan. </w:t>
      </w:r>
      <w:r w:rsidR="00444F6C" w:rsidRPr="00E16AEE">
        <w:t>Mr.</w:t>
      </w:r>
      <w:r w:rsidR="00D9540C">
        <w:t> </w:t>
      </w:r>
      <w:r w:rsidR="00444F6C" w:rsidRPr="00E16AEE">
        <w:t xml:space="preserve">Maalem </w:t>
      </w:r>
      <w:r w:rsidRPr="00E16AEE">
        <w:t xml:space="preserve">claims </w:t>
      </w:r>
      <w:r w:rsidR="00A204FC" w:rsidRPr="00E16AEE">
        <w:t xml:space="preserve">that </w:t>
      </w:r>
      <w:r w:rsidRPr="00E16AEE">
        <w:t>he tried to prove his innocence</w:t>
      </w:r>
      <w:r w:rsidR="00A204FC" w:rsidRPr="00E16AEE">
        <w:t>,</w:t>
      </w:r>
      <w:r w:rsidRPr="00E16AEE">
        <w:t xml:space="preserve"> but was </w:t>
      </w:r>
      <w:r w:rsidR="00A204FC" w:rsidRPr="00E16AEE">
        <w:t xml:space="preserve">imprisoned </w:t>
      </w:r>
      <w:r w:rsidRPr="00E16AEE">
        <w:t xml:space="preserve">and </w:t>
      </w:r>
      <w:r w:rsidR="00A204FC" w:rsidRPr="00E16AEE">
        <w:t xml:space="preserve">sentenced </w:t>
      </w:r>
      <w:r w:rsidRPr="00E16AEE">
        <w:t xml:space="preserve">as the investigators and judges ignored his </w:t>
      </w:r>
      <w:r w:rsidR="00FB0BBF" w:rsidRPr="00E16AEE">
        <w:t xml:space="preserve">evidence </w:t>
      </w:r>
      <w:r w:rsidRPr="00E16AEE">
        <w:t xml:space="preserve">and arguments. On 19 May 2009, the Yunusabad District Court of the </w:t>
      </w:r>
      <w:r w:rsidR="00FB0BBF" w:rsidRPr="00E16AEE">
        <w:t>C</w:t>
      </w:r>
      <w:r w:rsidRPr="00E16AEE">
        <w:t xml:space="preserve">ity of Tashkent sentenced </w:t>
      </w:r>
      <w:r w:rsidR="00444F6C" w:rsidRPr="00E16AEE">
        <w:t>him</w:t>
      </w:r>
      <w:r w:rsidRPr="00E16AEE">
        <w:t xml:space="preserve"> to eight years</w:t>
      </w:r>
      <w:r w:rsidR="00C01980">
        <w:t>’</w:t>
      </w:r>
      <w:r w:rsidRPr="007E0164">
        <w:t xml:space="preserve"> imprisonment for human trafficking. On 11 June 2010, the Tashkent City Court upheld the trial court verdict on cassation. </w:t>
      </w:r>
      <w:r w:rsidR="00444F6C" w:rsidRPr="007E0164">
        <w:t>Mr.</w:t>
      </w:r>
      <w:r w:rsidR="00444F6C" w:rsidRPr="00E16AEE">
        <w:t xml:space="preserve"> Maalem</w:t>
      </w:r>
      <w:r w:rsidRPr="00E16AEE">
        <w:t>’s subsequent requests for supervisory review were rejected by the Tashkent City Court on 16 August and 12 October 2010.</w:t>
      </w:r>
      <w:r w:rsidR="009E1F35" w:rsidRPr="00E16AEE">
        <w:t xml:space="preserve"> </w:t>
      </w:r>
      <w:r w:rsidR="00444F6C" w:rsidRPr="00E16AEE">
        <w:t>He</w:t>
      </w:r>
      <w:r w:rsidRPr="00E16AEE">
        <w:t xml:space="preserve"> claims </w:t>
      </w:r>
      <w:r w:rsidR="00FB0BBF" w:rsidRPr="00E16AEE">
        <w:t xml:space="preserve">that </w:t>
      </w:r>
      <w:r w:rsidR="00E65A1F" w:rsidRPr="00E16AEE">
        <w:t>he was convicted</w:t>
      </w:r>
      <w:r w:rsidRPr="00E16AEE">
        <w:t xml:space="preserve"> solely on the </w:t>
      </w:r>
      <w:r w:rsidR="00FB0BBF" w:rsidRPr="00E16AEE">
        <w:t xml:space="preserve">basis of the </w:t>
      </w:r>
      <w:r w:rsidRPr="00E16AEE">
        <w:t>testimony of the co-accused, who were influenced by the police to inculpate him. Later</w:t>
      </w:r>
      <w:r w:rsidR="00B814DE" w:rsidRPr="00E16AEE">
        <w:t>,</w:t>
      </w:r>
      <w:r w:rsidRPr="00E16AEE">
        <w:t xml:space="preserve"> in prison, they confessed to </w:t>
      </w:r>
      <w:r w:rsidR="00444F6C" w:rsidRPr="00E16AEE">
        <w:t>him</w:t>
      </w:r>
      <w:r w:rsidRPr="00E16AEE">
        <w:t xml:space="preserve"> </w:t>
      </w:r>
      <w:r w:rsidR="00B814DE" w:rsidRPr="00E16AEE">
        <w:t xml:space="preserve">that </w:t>
      </w:r>
      <w:r w:rsidRPr="00E16AEE">
        <w:t xml:space="preserve">they </w:t>
      </w:r>
      <w:r w:rsidR="00B814DE" w:rsidRPr="00E16AEE">
        <w:t xml:space="preserve">had been </w:t>
      </w:r>
      <w:r w:rsidRPr="00E16AEE">
        <w:t xml:space="preserve">told by the police to accuse him. </w:t>
      </w:r>
      <w:r w:rsidR="00444F6C" w:rsidRPr="00E16AEE">
        <w:t>His</w:t>
      </w:r>
      <w:r w:rsidRPr="00E16AEE">
        <w:t xml:space="preserve"> numerous subsequent requests to the national authorities (</w:t>
      </w:r>
      <w:r w:rsidR="00B814DE" w:rsidRPr="00E16AEE">
        <w:t xml:space="preserve">the </w:t>
      </w:r>
      <w:r w:rsidRPr="00E16AEE">
        <w:t xml:space="preserve">President </w:t>
      </w:r>
      <w:r w:rsidR="00444F6C" w:rsidRPr="00E16AEE">
        <w:t>and</w:t>
      </w:r>
      <w:r w:rsidR="009E1F35" w:rsidRPr="00E16AEE">
        <w:t xml:space="preserve"> </w:t>
      </w:r>
      <w:r w:rsidRPr="00E16AEE">
        <w:t>Deputy President of the Supreme Court</w:t>
      </w:r>
      <w:r w:rsidR="00B814DE" w:rsidRPr="00E16AEE">
        <w:t xml:space="preserve"> and the</w:t>
      </w:r>
      <w:r w:rsidRPr="00E16AEE">
        <w:t xml:space="preserve"> Prosecutor General) were</w:t>
      </w:r>
      <w:r w:rsidR="009E1F35" w:rsidRPr="00E16AEE">
        <w:t xml:space="preserve"> </w:t>
      </w:r>
      <w:r w:rsidRPr="00E16AEE">
        <w:t>rejected or ignored.</w:t>
      </w:r>
      <w:r w:rsidR="00B876CF">
        <w:t xml:space="preserve"> </w:t>
      </w:r>
    </w:p>
    <w:p w:rsidR="0003364A" w:rsidRPr="007E0164" w:rsidRDefault="0003364A" w:rsidP="007B0587">
      <w:pPr>
        <w:pStyle w:val="SingleTxtG"/>
      </w:pPr>
      <w:r w:rsidRPr="00E16AEE">
        <w:t>2.2</w:t>
      </w:r>
      <w:r w:rsidRPr="00E16AEE">
        <w:tab/>
        <w:t xml:space="preserve">On 24 February 2014, after </w:t>
      </w:r>
      <w:r w:rsidR="00B814DE" w:rsidRPr="00E16AEE">
        <w:t xml:space="preserve">having served </w:t>
      </w:r>
      <w:r w:rsidRPr="00E16AEE">
        <w:t xml:space="preserve">five years of his sentence, </w:t>
      </w:r>
      <w:r w:rsidR="00444F6C" w:rsidRPr="00E16AEE">
        <w:t xml:space="preserve">Mr. Maalem </w:t>
      </w:r>
      <w:r w:rsidRPr="00E16AEE">
        <w:t xml:space="preserve">was granted amnesty </w:t>
      </w:r>
      <w:r w:rsidR="00C20AF2" w:rsidRPr="00E16AEE">
        <w:t xml:space="preserve">by the Tashkent Region Bekabad City Court </w:t>
      </w:r>
      <w:r w:rsidRPr="00E16AEE">
        <w:t xml:space="preserve">on the occasion of the </w:t>
      </w:r>
      <w:r w:rsidR="00B814DE" w:rsidRPr="00E16AEE">
        <w:t xml:space="preserve">twenty-first </w:t>
      </w:r>
      <w:r w:rsidRPr="00E16AEE">
        <w:t>anniversary of the adoption of the Constitution. He was released</w:t>
      </w:r>
      <w:r w:rsidR="00C20AF2" w:rsidRPr="00E16AEE">
        <w:t>,</w:t>
      </w:r>
      <w:r w:rsidRPr="00E16AEE">
        <w:t xml:space="preserve"> </w:t>
      </w:r>
      <w:r w:rsidR="00C20AF2" w:rsidRPr="00E16AEE">
        <w:t xml:space="preserve">but </w:t>
      </w:r>
      <w:r w:rsidRPr="00E16AEE">
        <w:t>had no identification documents as the police ha</w:t>
      </w:r>
      <w:r w:rsidR="00E65A1F" w:rsidRPr="00E16AEE">
        <w:t>d</w:t>
      </w:r>
      <w:r w:rsidRPr="00E16AEE">
        <w:t xml:space="preserve"> taken his passport</w:t>
      </w:r>
      <w:r w:rsidR="00C20AF2" w:rsidRPr="00E16AEE">
        <w:t>,</w:t>
      </w:r>
      <w:r w:rsidRPr="00E16AEE">
        <w:t xml:space="preserve"> without explanation. Moreover, while he was in prison, </w:t>
      </w:r>
      <w:r w:rsidR="00C20AF2" w:rsidRPr="00E16AEE">
        <w:t xml:space="preserve">in 2011 </w:t>
      </w:r>
      <w:r w:rsidRPr="00E16AEE">
        <w:t>his passport expired.</w:t>
      </w:r>
      <w:r w:rsidRPr="00C01980">
        <w:t xml:space="preserve"> On an unspecified date, he complained to the police authorities in charge of visa and residence matters</w:t>
      </w:r>
      <w:r w:rsidR="000913A5" w:rsidRPr="007E0164">
        <w:t>,</w:t>
      </w:r>
      <w:r w:rsidRPr="007E0164">
        <w:t xml:space="preserve"> only to find </w:t>
      </w:r>
      <w:r w:rsidRPr="00E16AEE">
        <w:t>that</w:t>
      </w:r>
      <w:r w:rsidR="000913A5" w:rsidRPr="00E16AEE">
        <w:t>,</w:t>
      </w:r>
      <w:r w:rsidRPr="00E16AEE">
        <w:t xml:space="preserve"> together with the decision to grant amnesty, the court ha</w:t>
      </w:r>
      <w:r w:rsidR="00E65A1F" w:rsidRPr="00E16AEE">
        <w:t>d</w:t>
      </w:r>
      <w:r w:rsidRPr="00E16AEE">
        <w:t xml:space="preserve"> also ordered him expelled from Uzbekistan. </w:t>
      </w:r>
      <w:r w:rsidR="00444F6C" w:rsidRPr="00E16AEE">
        <w:t xml:space="preserve">Mr. Maalem </w:t>
      </w:r>
      <w:r w:rsidRPr="00E16AEE">
        <w:t xml:space="preserve">submits </w:t>
      </w:r>
      <w:r w:rsidR="000913A5" w:rsidRPr="00E16AEE">
        <w:t xml:space="preserve">that </w:t>
      </w:r>
      <w:r w:rsidRPr="00E16AEE">
        <w:t xml:space="preserve">he was not informed about his expulsion during the court hearing. According to government decree No. 409 </w:t>
      </w:r>
      <w:r w:rsidR="00983FC9" w:rsidRPr="00E16AEE">
        <w:t xml:space="preserve">of 1996 </w:t>
      </w:r>
      <w:r w:rsidRPr="00E16AEE">
        <w:t xml:space="preserve">regulating matters relating to aliens residing in Uzbekistan, </w:t>
      </w:r>
      <w:r w:rsidR="00AA0FA8" w:rsidRPr="00E16AEE">
        <w:t xml:space="preserve">persons </w:t>
      </w:r>
      <w:r w:rsidRPr="00E16AEE">
        <w:t>who commit a crime are expelled after serving their sentence. The decree refers to aliens in general terms, such as tourists or short</w:t>
      </w:r>
      <w:r w:rsidR="00983FC9" w:rsidRPr="00E16AEE">
        <w:t>-</w:t>
      </w:r>
      <w:r w:rsidRPr="00E16AEE">
        <w:t xml:space="preserve">term visitors, without specific consideration of particular cases such as </w:t>
      </w:r>
      <w:r w:rsidR="00F84D9A" w:rsidRPr="00E16AEE">
        <w:t xml:space="preserve">that of </w:t>
      </w:r>
      <w:r w:rsidR="00444F6C" w:rsidRPr="00E16AEE">
        <w:t>Mr. Maalem</w:t>
      </w:r>
      <w:r w:rsidRPr="00E16AEE">
        <w:t xml:space="preserve">, </w:t>
      </w:r>
      <w:r w:rsidR="00983FC9" w:rsidRPr="00E16AEE">
        <w:t xml:space="preserve">who had </w:t>
      </w:r>
      <w:r w:rsidRPr="00E16AEE">
        <w:t xml:space="preserve">been living </w:t>
      </w:r>
      <w:r w:rsidR="00983FC9" w:rsidRPr="00E16AEE">
        <w:t xml:space="preserve">in Uzbekistan </w:t>
      </w:r>
      <w:r w:rsidRPr="00E16AEE">
        <w:t xml:space="preserve">for 31 years, </w:t>
      </w:r>
      <w:r w:rsidR="00983FC9" w:rsidRPr="00E16AEE">
        <w:t>was</w:t>
      </w:r>
      <w:r w:rsidRPr="00E16AEE">
        <w:t xml:space="preserve"> married to an Uzbek citizen and </w:t>
      </w:r>
      <w:r w:rsidR="00AA0FA8" w:rsidRPr="00E16AEE">
        <w:t xml:space="preserve">had </w:t>
      </w:r>
      <w:r w:rsidRPr="00E16AEE">
        <w:t>five children</w:t>
      </w:r>
      <w:r w:rsidR="00AA0FA8" w:rsidRPr="00E16AEE">
        <w:t>,</w:t>
      </w:r>
      <w:r w:rsidRPr="00E16AEE">
        <w:t xml:space="preserve"> all Uzbek citizens.</w:t>
      </w:r>
      <w:r w:rsidR="00B876CF">
        <w:t xml:space="preserve"> </w:t>
      </w:r>
    </w:p>
    <w:p w:rsidR="0003364A" w:rsidRPr="00E16AEE" w:rsidRDefault="0003364A" w:rsidP="007B0587">
      <w:pPr>
        <w:pStyle w:val="SingleTxtG"/>
      </w:pPr>
      <w:r w:rsidRPr="00E16AEE">
        <w:t>2.3</w:t>
      </w:r>
      <w:r w:rsidRPr="00E16AEE">
        <w:tab/>
        <w:t xml:space="preserve">On an unspecified date, </w:t>
      </w:r>
      <w:r w:rsidR="00444F6C" w:rsidRPr="00E16AEE">
        <w:t xml:space="preserve">Mr. Maalem </w:t>
      </w:r>
      <w:r w:rsidRPr="00E16AEE">
        <w:t>appealed on cassation against th</w:t>
      </w:r>
      <w:r w:rsidR="00F84D9A" w:rsidRPr="00E16AEE">
        <w:t>e</w:t>
      </w:r>
      <w:r w:rsidRPr="00E16AEE">
        <w:t xml:space="preserve"> court decision</w:t>
      </w:r>
      <w:r w:rsidR="00E623E4" w:rsidRPr="00E16AEE">
        <w:t>,</w:t>
      </w:r>
      <w:r w:rsidRPr="00E16AEE">
        <w:t xml:space="preserve"> arguing that the circumstances of his case should be considered as exception</w:t>
      </w:r>
      <w:r w:rsidR="00F84D9A" w:rsidRPr="00E16AEE">
        <w:t>al</w:t>
      </w:r>
      <w:r w:rsidRPr="00E16AEE">
        <w:t xml:space="preserve"> and that the administrative regulations </w:t>
      </w:r>
      <w:r w:rsidR="00E623E4" w:rsidRPr="00E16AEE">
        <w:t>contradicted</w:t>
      </w:r>
      <w:r w:rsidRPr="00E16AEE">
        <w:t xml:space="preserve"> the </w:t>
      </w:r>
      <w:r w:rsidR="00E623E4" w:rsidRPr="00E16AEE">
        <w:t>c</w:t>
      </w:r>
      <w:r w:rsidRPr="00E16AEE">
        <w:t xml:space="preserve">onstitutional provisions on supporting the family unit, the Family Code, </w:t>
      </w:r>
      <w:r w:rsidR="00F84D9A" w:rsidRPr="00E16AEE">
        <w:t xml:space="preserve">the </w:t>
      </w:r>
      <w:r w:rsidRPr="00E16AEE">
        <w:t xml:space="preserve">Covenant and the Convention on the Rights of the Child. However, on 25 March 2014, the Tashkent </w:t>
      </w:r>
      <w:r w:rsidR="00675B95" w:rsidRPr="00E16AEE">
        <w:t>R</w:t>
      </w:r>
      <w:r w:rsidRPr="00E16AEE">
        <w:t xml:space="preserve">egion </w:t>
      </w:r>
      <w:r w:rsidR="00675B95" w:rsidRPr="00E16AEE">
        <w:t>A</w:t>
      </w:r>
      <w:r w:rsidRPr="00E16AEE">
        <w:t xml:space="preserve">ppeals </w:t>
      </w:r>
      <w:r w:rsidR="00675B95" w:rsidRPr="00E16AEE">
        <w:t>C</w:t>
      </w:r>
      <w:r w:rsidRPr="00E16AEE">
        <w:t xml:space="preserve">ourt upheld the Bekabad City Court decision of </w:t>
      </w:r>
      <w:r w:rsidRPr="00E16AEE">
        <w:lastRenderedPageBreak/>
        <w:t>24 February. The decision is in force</w:t>
      </w:r>
      <w:r w:rsidR="00675B95" w:rsidRPr="00E16AEE">
        <w:t>,</w:t>
      </w:r>
      <w:r w:rsidRPr="00E16AEE">
        <w:t xml:space="preserve"> and </w:t>
      </w:r>
      <w:r w:rsidR="00B365E4" w:rsidRPr="00E16AEE">
        <w:t xml:space="preserve">Mr. Maalem </w:t>
      </w:r>
      <w:r w:rsidRPr="00E16AEE">
        <w:t>could be deported from Uzbekistan</w:t>
      </w:r>
      <w:r w:rsidR="00675B95" w:rsidRPr="00E16AEE">
        <w:t>,</w:t>
      </w:r>
      <w:r w:rsidRPr="00E16AEE">
        <w:t xml:space="preserve"> and thus permanently separated </w:t>
      </w:r>
      <w:r w:rsidR="00BB4216" w:rsidRPr="00E16AEE">
        <w:t>from</w:t>
      </w:r>
      <w:r w:rsidRPr="00E16AEE">
        <w:t xml:space="preserve"> his family</w:t>
      </w:r>
      <w:r w:rsidR="00675B95" w:rsidRPr="00E16AEE">
        <w:t>,</w:t>
      </w:r>
      <w:r w:rsidRPr="00E16AEE">
        <w:t xml:space="preserve"> at any time. On 8 April and 21 May 2014, </w:t>
      </w:r>
      <w:r w:rsidR="00B365E4" w:rsidRPr="00E16AEE">
        <w:t>Mr.</w:t>
      </w:r>
      <w:r w:rsidR="00D9540C">
        <w:t> </w:t>
      </w:r>
      <w:r w:rsidR="00B365E4" w:rsidRPr="00E16AEE">
        <w:t xml:space="preserve">Maalem </w:t>
      </w:r>
      <w:r w:rsidRPr="00E16AEE">
        <w:t>filed requests for supervisory review with the Supreme Court</w:t>
      </w:r>
      <w:r w:rsidR="00675B95" w:rsidRPr="00E16AEE">
        <w:t>,</w:t>
      </w:r>
      <w:r w:rsidRPr="00E16AEE">
        <w:t xml:space="preserve"> which were rejected on 22 May. On 6 June, </w:t>
      </w:r>
      <w:r w:rsidR="00B365E4" w:rsidRPr="00E16AEE">
        <w:t>he</w:t>
      </w:r>
      <w:r w:rsidRPr="00E16AEE">
        <w:t xml:space="preserve"> filed a request for supervisory review with the President of the Supreme Court, which was rejected on 16 July. </w:t>
      </w:r>
    </w:p>
    <w:p w:rsidR="0003364A" w:rsidRPr="00E16AEE" w:rsidRDefault="0003364A" w:rsidP="007B0587">
      <w:pPr>
        <w:pStyle w:val="SingleTxtG"/>
        <w:rPr>
          <w:iCs/>
        </w:rPr>
      </w:pPr>
      <w:r w:rsidRPr="00E16AEE">
        <w:t>2.4</w:t>
      </w:r>
      <w:r w:rsidRPr="00E16AEE">
        <w:tab/>
        <w:t>Although satisfied with the first instance court’s decision as regards the amnesty, the authors reiterate that</w:t>
      </w:r>
      <w:r w:rsidR="009772B8" w:rsidRPr="00E16AEE">
        <w:t>,</w:t>
      </w:r>
      <w:r w:rsidRPr="00E16AEE">
        <w:t xml:space="preserve"> despite the State party</w:t>
      </w:r>
      <w:r w:rsidR="009772B8" w:rsidRPr="00E16AEE">
        <w:t>’s</w:t>
      </w:r>
      <w:r w:rsidRPr="00E16AEE">
        <w:t xml:space="preserve"> imperative to expel aliens who have committed a crime on its territory, the State party should have properly assessed the circumstances of their case and should have taken into consideration that </w:t>
      </w:r>
      <w:r w:rsidR="00B967B2" w:rsidRPr="00E16AEE">
        <w:t xml:space="preserve">Mr. Maalem </w:t>
      </w:r>
      <w:r w:rsidRPr="00E16AEE">
        <w:t xml:space="preserve">is not a tourist, has strong ties with the State party, is married to an Uzbek citizen and has five children who are all Uzbek citizens. Moreover, he </w:t>
      </w:r>
      <w:r w:rsidR="009772B8" w:rsidRPr="00E16AEE">
        <w:t xml:space="preserve">has </w:t>
      </w:r>
      <w:r w:rsidRPr="00E16AEE">
        <w:t xml:space="preserve">always </w:t>
      </w:r>
      <w:r w:rsidR="00140B2B" w:rsidRPr="00E16AEE">
        <w:t xml:space="preserve">maintained </w:t>
      </w:r>
      <w:r w:rsidRPr="00E16AEE">
        <w:t xml:space="preserve">his innocence, claimed he never committed a crime and </w:t>
      </w:r>
      <w:r w:rsidR="00140B2B" w:rsidRPr="00E16AEE">
        <w:t xml:space="preserve">was </w:t>
      </w:r>
      <w:r w:rsidRPr="00E16AEE">
        <w:t xml:space="preserve">never part of a criminal group </w:t>
      </w:r>
      <w:r w:rsidR="00140B2B" w:rsidRPr="00E16AEE">
        <w:t xml:space="preserve">engaged in </w:t>
      </w:r>
      <w:r w:rsidRPr="00E16AEE">
        <w:t xml:space="preserve">human trafficking. In his situation, expulsion </w:t>
      </w:r>
      <w:r w:rsidR="00140B2B" w:rsidRPr="00E16AEE">
        <w:t xml:space="preserve">effectively </w:t>
      </w:r>
      <w:r w:rsidRPr="00E16AEE">
        <w:t xml:space="preserve">means permanent separation from his family. Furthermore, </w:t>
      </w:r>
      <w:r w:rsidR="00140B2B" w:rsidRPr="00E16AEE">
        <w:t>Ms. Maalem</w:t>
      </w:r>
      <w:r w:rsidRPr="00E16AEE">
        <w:t xml:space="preserve"> and their children</w:t>
      </w:r>
      <w:r w:rsidR="0074031E" w:rsidRPr="00E16AEE">
        <w:t>, who</w:t>
      </w:r>
      <w:r w:rsidRPr="00E16AEE">
        <w:t xml:space="preserve"> are not aliens, will </w:t>
      </w:r>
      <w:r w:rsidR="0074031E" w:rsidRPr="00E16AEE">
        <w:t xml:space="preserve">nevertheless </w:t>
      </w:r>
      <w:r w:rsidRPr="00E16AEE">
        <w:t xml:space="preserve">be affected and will suffer the consequences of </w:t>
      </w:r>
      <w:r w:rsidR="0074031E" w:rsidRPr="00E16AEE">
        <w:t>Mr.</w:t>
      </w:r>
      <w:r w:rsidR="00D9540C">
        <w:t> </w:t>
      </w:r>
      <w:r w:rsidR="0074031E" w:rsidRPr="00E16AEE">
        <w:t>Maalem’s</w:t>
      </w:r>
      <w:r w:rsidRPr="00E16AEE">
        <w:t xml:space="preserve"> expulsion</w:t>
      </w:r>
      <w:r w:rsidR="0074031E" w:rsidRPr="00E16AEE">
        <w:t>,</w:t>
      </w:r>
      <w:r w:rsidRPr="00E16AEE">
        <w:t xml:space="preserve"> as they </w:t>
      </w:r>
      <w:r w:rsidR="0074031E" w:rsidRPr="00E16AEE">
        <w:t>will</w:t>
      </w:r>
      <w:r w:rsidRPr="00E16AEE">
        <w:t xml:space="preserve"> be separated from their husband and father. The family has managed to maintain a close relationship through the years, including while </w:t>
      </w:r>
      <w:r w:rsidR="0074031E" w:rsidRPr="00E16AEE">
        <w:t>Mr. Maalem</w:t>
      </w:r>
      <w:r w:rsidRPr="00E16AEE">
        <w:t xml:space="preserve"> was in prison. The children’s psychological well-being, health, overall development </w:t>
      </w:r>
      <w:r w:rsidR="00BB4216" w:rsidRPr="00E16AEE">
        <w:t>and</w:t>
      </w:r>
      <w:r w:rsidRPr="00E16AEE">
        <w:t xml:space="preserve"> views will be negatively affected by forced separation from their father. According to the authors, i</w:t>
      </w:r>
      <w:r w:rsidRPr="00E16AEE">
        <w:rPr>
          <w:iCs/>
        </w:rPr>
        <w:t xml:space="preserve">n the present case, the State party’s regulations on expelling aliens with criminal convictions are in conflict with the </w:t>
      </w:r>
      <w:r w:rsidR="00A61800" w:rsidRPr="00E16AEE">
        <w:rPr>
          <w:iCs/>
        </w:rPr>
        <w:t>c</w:t>
      </w:r>
      <w:r w:rsidRPr="00E16AEE">
        <w:rPr>
          <w:iCs/>
        </w:rPr>
        <w:t xml:space="preserve">onstitutional provisions on </w:t>
      </w:r>
      <w:r w:rsidR="00A61800" w:rsidRPr="00E16AEE">
        <w:rPr>
          <w:iCs/>
        </w:rPr>
        <w:t>S</w:t>
      </w:r>
      <w:r w:rsidRPr="00E16AEE">
        <w:rPr>
          <w:iCs/>
        </w:rPr>
        <w:t>tate</w:t>
      </w:r>
      <w:r w:rsidR="00A61800" w:rsidRPr="00E16AEE">
        <w:rPr>
          <w:iCs/>
        </w:rPr>
        <w:t xml:space="preserve"> </w:t>
      </w:r>
      <w:r w:rsidRPr="00E16AEE">
        <w:rPr>
          <w:iCs/>
        </w:rPr>
        <w:t>support to the family</w:t>
      </w:r>
      <w:r w:rsidR="00A61800" w:rsidRPr="00E16AEE">
        <w:rPr>
          <w:iCs/>
        </w:rPr>
        <w:t xml:space="preserve"> and</w:t>
      </w:r>
      <w:r w:rsidRPr="00E16AEE">
        <w:rPr>
          <w:iCs/>
        </w:rPr>
        <w:t xml:space="preserve"> the Family Code, as well as with articles 23 and 24 of the Covenant.</w:t>
      </w:r>
      <w:r w:rsidR="009E1F35" w:rsidRPr="00E16AEE">
        <w:rPr>
          <w:iCs/>
        </w:rPr>
        <w:t xml:space="preserve"> </w:t>
      </w:r>
      <w:r w:rsidRPr="00E16AEE">
        <w:rPr>
          <w:iCs/>
        </w:rPr>
        <w:t xml:space="preserve">The authors request the Committee to ask the State party to treat their situation as exceptional and partly annul the decision of the court ordering </w:t>
      </w:r>
      <w:r w:rsidR="00B967B2" w:rsidRPr="00E16AEE">
        <w:rPr>
          <w:iCs/>
        </w:rPr>
        <w:t>Mr.</w:t>
      </w:r>
      <w:r w:rsidR="00D9540C">
        <w:rPr>
          <w:iCs/>
        </w:rPr>
        <w:t> </w:t>
      </w:r>
      <w:r w:rsidR="00B967B2" w:rsidRPr="00E16AEE">
        <w:rPr>
          <w:iCs/>
        </w:rPr>
        <w:t>Maalem</w:t>
      </w:r>
      <w:r w:rsidRPr="00E16AEE">
        <w:rPr>
          <w:iCs/>
        </w:rPr>
        <w:t xml:space="preserve">’s expulsion while upholding the decision in </w:t>
      </w:r>
      <w:r w:rsidR="00A61800" w:rsidRPr="00E16AEE">
        <w:rPr>
          <w:iCs/>
        </w:rPr>
        <w:t xml:space="preserve">the </w:t>
      </w:r>
      <w:r w:rsidRPr="00E16AEE">
        <w:rPr>
          <w:iCs/>
        </w:rPr>
        <w:t>part relating to the amnesty.</w:t>
      </w:r>
    </w:p>
    <w:p w:rsidR="0003364A" w:rsidRPr="00E16AEE" w:rsidRDefault="0003364A" w:rsidP="007B0587">
      <w:pPr>
        <w:pStyle w:val="H23G"/>
      </w:pPr>
      <w:r w:rsidRPr="00E16AEE">
        <w:tab/>
      </w:r>
      <w:r w:rsidRPr="00E16AEE">
        <w:tab/>
        <w:t>The complaint</w:t>
      </w:r>
    </w:p>
    <w:p w:rsidR="0003364A" w:rsidRPr="007E0164" w:rsidRDefault="0003364A" w:rsidP="007B0587">
      <w:pPr>
        <w:pStyle w:val="SingleTxtG"/>
      </w:pPr>
      <w:r w:rsidRPr="00E16AEE">
        <w:t>3.1</w:t>
      </w:r>
      <w:r w:rsidRPr="00E16AEE">
        <w:tab/>
        <w:t xml:space="preserve">The authors claim that the State party’s decision to expel </w:t>
      </w:r>
      <w:r w:rsidR="00B967B2" w:rsidRPr="00E16AEE">
        <w:t>Mr. Maalem</w:t>
      </w:r>
      <w:r w:rsidR="009E1F35" w:rsidRPr="00E16AEE">
        <w:t xml:space="preserve"> </w:t>
      </w:r>
      <w:r w:rsidRPr="00E16AEE">
        <w:t xml:space="preserve">permanently from Uzbekistan constitutes a breach of their and their children’s rights under articles 23 and 24 of the Convention. They emphasize that inadequate consideration has been given to their right to a family life with their children. In that connection, the authors also make reference to the Convention on the Rights of the Child. </w:t>
      </w:r>
      <w:r w:rsidR="00B967B2" w:rsidRPr="00E16AEE">
        <w:t>Mr. Maalem</w:t>
      </w:r>
      <w:r w:rsidRPr="00E16AEE">
        <w:t>’s expulsion to Algeria would therefore constitute a violation of his right to family life under article 23 of the Covenant. The authors submit that their children were born in Uzbekistan and are Uzbek citizens. They therefore maintain that the State party has violated their children’s rights under article</w:t>
      </w:r>
      <w:r w:rsidR="00BB4216" w:rsidRPr="00E16AEE">
        <w:t>s</w:t>
      </w:r>
      <w:r w:rsidRPr="00E16AEE">
        <w:t xml:space="preserve"> 23 and 24 of the Covenant by ordering </w:t>
      </w:r>
      <w:r w:rsidR="00B967B2" w:rsidRPr="00E16AEE">
        <w:t>Mr. Maalem</w:t>
      </w:r>
      <w:r w:rsidRPr="00E16AEE">
        <w:t xml:space="preserve">’s expulsion, as they cannot be expected to follow him </w:t>
      </w:r>
      <w:r w:rsidR="005262E6" w:rsidRPr="00E16AEE">
        <w:t xml:space="preserve">to </w:t>
      </w:r>
      <w:r w:rsidRPr="00E16AEE">
        <w:t>Algeria. Therefore, the family will be effectively and permanently separated</w:t>
      </w:r>
      <w:r w:rsidR="005262E6" w:rsidRPr="00E16AEE">
        <w:t>,</w:t>
      </w:r>
      <w:r w:rsidRPr="00E16AEE">
        <w:t xml:space="preserve"> and this will put the well-being of their children</w:t>
      </w:r>
      <w:r w:rsidR="005262E6" w:rsidRPr="00E16AEE">
        <w:t xml:space="preserve"> at risk</w:t>
      </w:r>
      <w:r w:rsidRPr="00E16AEE">
        <w:t>.</w:t>
      </w:r>
      <w:r w:rsidR="00B876CF">
        <w:t xml:space="preserve"> </w:t>
      </w:r>
    </w:p>
    <w:p w:rsidR="0003364A" w:rsidRPr="00E16AEE" w:rsidRDefault="0003364A" w:rsidP="007B0587">
      <w:pPr>
        <w:pStyle w:val="SingleTxtG"/>
      </w:pPr>
      <w:r w:rsidRPr="00E16AEE">
        <w:t>3.2</w:t>
      </w:r>
      <w:r w:rsidRPr="00E16AEE">
        <w:tab/>
      </w:r>
      <w:r w:rsidR="00B967B2" w:rsidRPr="00E16AEE">
        <w:t>Mr. Maalem</w:t>
      </w:r>
      <w:r w:rsidRPr="00E16AEE">
        <w:t xml:space="preserve"> also claims that his rights under article 14</w:t>
      </w:r>
      <w:r w:rsidRPr="00C01980">
        <w:t xml:space="preserve"> of the Covenant have been violated as he was not informed </w:t>
      </w:r>
      <w:r w:rsidRPr="007E0164">
        <w:t xml:space="preserve">that he was also ordered </w:t>
      </w:r>
      <w:r w:rsidR="00F7111F">
        <w:t xml:space="preserve">to be </w:t>
      </w:r>
      <w:r w:rsidRPr="007E0164">
        <w:t xml:space="preserve">expelled from Uzbekistan </w:t>
      </w:r>
      <w:r w:rsidRPr="00E16AEE">
        <w:t xml:space="preserve">when he was amnestied; his trial was held partly in Uzbek and partly in </w:t>
      </w:r>
      <w:r w:rsidR="005262E6" w:rsidRPr="00E16AEE">
        <w:t xml:space="preserve">the </w:t>
      </w:r>
      <w:r w:rsidRPr="00E16AEE">
        <w:t xml:space="preserve">Russian language, while he speaks </w:t>
      </w:r>
      <w:r w:rsidR="005262E6" w:rsidRPr="00E16AEE">
        <w:t xml:space="preserve">only </w:t>
      </w:r>
      <w:r w:rsidRPr="00E16AEE">
        <w:t>Arabic, French and Russian</w:t>
      </w:r>
      <w:r w:rsidR="005262E6" w:rsidRPr="00E16AEE">
        <w:t>,</w:t>
      </w:r>
      <w:r w:rsidRPr="00E16AEE">
        <w:t xml:space="preserve"> and the court’s decision was </w:t>
      </w:r>
      <w:r w:rsidR="00FC4264" w:rsidRPr="00E16AEE">
        <w:t xml:space="preserve">delivered </w:t>
      </w:r>
      <w:r w:rsidRPr="00E16AEE">
        <w:t xml:space="preserve">only in </w:t>
      </w:r>
      <w:r w:rsidR="0041210E" w:rsidRPr="00E16AEE">
        <w:t xml:space="preserve">the </w:t>
      </w:r>
      <w:r w:rsidRPr="00E16AEE">
        <w:t>Uzbek language.</w:t>
      </w:r>
    </w:p>
    <w:p w:rsidR="0003364A" w:rsidRPr="00E16AEE" w:rsidRDefault="0003364A" w:rsidP="007B0587">
      <w:pPr>
        <w:pStyle w:val="SingleTxtG"/>
      </w:pPr>
      <w:r w:rsidRPr="00E16AEE">
        <w:t>3.3</w:t>
      </w:r>
      <w:r w:rsidRPr="00E16AEE">
        <w:tab/>
        <w:t>In addition, in a subsequent submission</w:t>
      </w:r>
      <w:r w:rsidR="00F7111F">
        <w:t>,</w:t>
      </w:r>
      <w:r w:rsidRPr="007E0164">
        <w:t xml:space="preserve"> </w:t>
      </w:r>
      <w:r w:rsidR="00B967B2" w:rsidRPr="007E0164">
        <w:t xml:space="preserve">Mr. Maalem </w:t>
      </w:r>
      <w:r w:rsidRPr="00E16AEE">
        <w:t>claims that he was beaten by police officers and his cellmates in the pretrial detention facility</w:t>
      </w:r>
      <w:r w:rsidR="0041210E" w:rsidRPr="00E16AEE">
        <w:t>,</w:t>
      </w:r>
      <w:r w:rsidRPr="00E16AEE">
        <w:t xml:space="preserve"> which raises issues under article 7 of the Covenant.</w:t>
      </w:r>
    </w:p>
    <w:p w:rsidR="00005848" w:rsidRPr="00E16AEE" w:rsidRDefault="00005848" w:rsidP="007B0587">
      <w:pPr>
        <w:pStyle w:val="SingleTxtG"/>
      </w:pPr>
      <w:r w:rsidRPr="00E16AEE">
        <w:t>3.4</w:t>
      </w:r>
      <w:r w:rsidRPr="00E16AEE">
        <w:tab/>
        <w:t xml:space="preserve">At a later stage, in a subsequent submission, Mr. Maalem adds other claims under article 14 concerning alleged breaches of fair trial guarantees by the trial court </w:t>
      </w:r>
      <w:r w:rsidR="00F7111F">
        <w:t>that</w:t>
      </w:r>
      <w:r w:rsidRPr="007E0164">
        <w:t xml:space="preserve"> sentenced him in 2009.</w:t>
      </w:r>
    </w:p>
    <w:p w:rsidR="0003364A" w:rsidRPr="00E16AEE" w:rsidRDefault="0003364A" w:rsidP="007B0587">
      <w:pPr>
        <w:pStyle w:val="H23G"/>
      </w:pPr>
      <w:r w:rsidRPr="00E16AEE">
        <w:rPr>
          <w:iCs/>
        </w:rPr>
        <w:lastRenderedPageBreak/>
        <w:t xml:space="preserve"> </w:t>
      </w:r>
      <w:r w:rsidRPr="00E16AEE">
        <w:tab/>
      </w:r>
      <w:r w:rsidRPr="00E16AEE">
        <w:tab/>
        <w:t>State party’s observations on admissibility and the merits</w:t>
      </w:r>
    </w:p>
    <w:p w:rsidR="0003364A" w:rsidRPr="00E16AEE" w:rsidRDefault="0003364A" w:rsidP="007B0587">
      <w:pPr>
        <w:pStyle w:val="SingleTxtG"/>
      </w:pPr>
      <w:r w:rsidRPr="00E16AEE">
        <w:t>4.1</w:t>
      </w:r>
      <w:r w:rsidRPr="00E16AEE">
        <w:tab/>
        <w:t>In its observations dated 20 May 2014, the State party submit</w:t>
      </w:r>
      <w:r w:rsidR="0041210E" w:rsidRPr="00E16AEE">
        <w:t>ted</w:t>
      </w:r>
      <w:r w:rsidRPr="00E16AEE">
        <w:t xml:space="preserve"> that the communication </w:t>
      </w:r>
      <w:r w:rsidR="0041210E" w:rsidRPr="00E16AEE">
        <w:t xml:space="preserve">was </w:t>
      </w:r>
      <w:r w:rsidRPr="00E16AEE">
        <w:t>without merit. The State party observes that</w:t>
      </w:r>
      <w:r w:rsidR="00F7111F">
        <w:t>,</w:t>
      </w:r>
      <w:r w:rsidRPr="007E0164">
        <w:t xml:space="preserve"> on 24 February 2014, the Bekabad City Court granted amnesty to </w:t>
      </w:r>
      <w:r w:rsidR="00B967B2" w:rsidRPr="007E0164">
        <w:t>Mr. Maalem</w:t>
      </w:r>
      <w:r w:rsidRPr="00E16AEE">
        <w:t xml:space="preserve">. It also ruled that he need not serve the remaining </w:t>
      </w:r>
      <w:r w:rsidR="00B45776" w:rsidRPr="00E16AEE">
        <w:t xml:space="preserve">1 </w:t>
      </w:r>
      <w:r w:rsidRPr="00E16AEE">
        <w:t>year</w:t>
      </w:r>
      <w:r w:rsidR="00B45776" w:rsidRPr="00E16AEE">
        <w:t>, 8</w:t>
      </w:r>
      <w:r w:rsidR="00D9540C">
        <w:t> </w:t>
      </w:r>
      <w:r w:rsidRPr="00E16AEE">
        <w:t xml:space="preserve">months and 18 days of his sentence and ordered his expulsion from the country. On 25 March 2014, the Tashkent Regional Court upheld this decision on cassation. </w:t>
      </w:r>
      <w:r w:rsidR="00B967B2" w:rsidRPr="00E16AEE">
        <w:t xml:space="preserve">Mr. Maalem </w:t>
      </w:r>
      <w:r w:rsidRPr="00E16AEE">
        <w:t>disagrees with the courts’ decisions concerning his expulsion, arguing that the</w:t>
      </w:r>
      <w:r w:rsidR="00F7111F">
        <w:t xml:space="preserve">y </w:t>
      </w:r>
      <w:r w:rsidRPr="007E0164">
        <w:t xml:space="preserve">have not considered his family circumstances, in particular, that he has lived in Uzbekistan since 1983, graduated from the university, </w:t>
      </w:r>
      <w:r w:rsidR="00B45776" w:rsidRPr="007E0164">
        <w:t xml:space="preserve">is </w:t>
      </w:r>
      <w:r w:rsidRPr="00E16AEE">
        <w:t xml:space="preserve">married and has five children born in the country. </w:t>
      </w:r>
    </w:p>
    <w:p w:rsidR="0003364A" w:rsidRPr="007E0164" w:rsidRDefault="0003364A" w:rsidP="007B0587">
      <w:pPr>
        <w:pStyle w:val="SingleTxtG"/>
      </w:pPr>
      <w:r w:rsidRPr="00E16AEE">
        <w:t>4.2</w:t>
      </w:r>
      <w:r w:rsidRPr="00E16AEE">
        <w:tab/>
        <w:t xml:space="preserve">The State party maintains that the Senate’s </w:t>
      </w:r>
      <w:r w:rsidR="00B45776" w:rsidRPr="00E16AEE">
        <w:t>d</w:t>
      </w:r>
      <w:r w:rsidRPr="00E16AEE">
        <w:t xml:space="preserve">ecree on the amnesty on the occasion of the </w:t>
      </w:r>
      <w:r w:rsidR="008E424C" w:rsidRPr="00E16AEE">
        <w:t xml:space="preserve">twenty-first anniversary of the </w:t>
      </w:r>
      <w:r w:rsidRPr="00E16AEE">
        <w:t>adoption of the Constitution provides for amnesty to those sentenced to imprisonment (except those who have committed premeditated murders in aggravating circumstances) whose remaining sentence</w:t>
      </w:r>
      <w:r w:rsidR="008E424C" w:rsidRPr="00E16AEE">
        <w:t>s</w:t>
      </w:r>
      <w:r w:rsidRPr="00E16AEE">
        <w:t xml:space="preserve"> </w:t>
      </w:r>
      <w:r w:rsidR="008E424C" w:rsidRPr="00E16AEE">
        <w:t>did</w:t>
      </w:r>
      <w:r w:rsidRPr="00E16AEE">
        <w:t xml:space="preserve"> not exceed two years and six months and whose sentences </w:t>
      </w:r>
      <w:r w:rsidR="00DA1608" w:rsidRPr="00E16AEE">
        <w:t>were in</w:t>
      </w:r>
      <w:r w:rsidRPr="00E16AEE">
        <w:t xml:space="preserve"> force </w:t>
      </w:r>
      <w:r w:rsidR="008E424C" w:rsidRPr="00E16AEE">
        <w:t xml:space="preserve">on </w:t>
      </w:r>
      <w:r w:rsidRPr="00E16AEE">
        <w:t xml:space="preserve">the date of the </w:t>
      </w:r>
      <w:r w:rsidR="008E424C" w:rsidRPr="00E16AEE">
        <w:t>d</w:t>
      </w:r>
      <w:r w:rsidRPr="00E16AEE">
        <w:t xml:space="preserve">ecree’s publication. </w:t>
      </w:r>
      <w:r w:rsidR="0014718D" w:rsidRPr="00E16AEE">
        <w:t>T</w:t>
      </w:r>
      <w:r w:rsidRPr="00E16AEE">
        <w:t xml:space="preserve">he </w:t>
      </w:r>
      <w:r w:rsidR="008E424C" w:rsidRPr="00E16AEE">
        <w:t>d</w:t>
      </w:r>
      <w:r w:rsidRPr="00E16AEE">
        <w:t xml:space="preserve">ecree </w:t>
      </w:r>
      <w:r w:rsidR="0014718D" w:rsidRPr="00E16AEE">
        <w:t xml:space="preserve">also </w:t>
      </w:r>
      <w:r w:rsidRPr="00E16AEE">
        <w:t>provides that</w:t>
      </w:r>
      <w:r w:rsidR="00C702EF">
        <w:t>,</w:t>
      </w:r>
      <w:r w:rsidRPr="007E0164">
        <w:t xml:space="preserve"> after the amnesty, these aliens are to be expelled from the country</w:t>
      </w:r>
      <w:r w:rsidR="004327A0" w:rsidRPr="00E16AEE">
        <w:t>,</w:t>
      </w:r>
      <w:r w:rsidRPr="00E16AEE">
        <w:t xml:space="preserve"> in accordance with C</w:t>
      </w:r>
      <w:r w:rsidR="00C702EF">
        <w:t>abinet</w:t>
      </w:r>
      <w:r w:rsidRPr="007E0164">
        <w:t xml:space="preserve"> of Minist</w:t>
      </w:r>
      <w:r w:rsidR="00C702EF">
        <w:t>er</w:t>
      </w:r>
      <w:r w:rsidRPr="007E0164">
        <w:t xml:space="preserve">s </w:t>
      </w:r>
      <w:r w:rsidR="00D04F51">
        <w:t>resolution</w:t>
      </w:r>
      <w:r w:rsidR="00D04F51" w:rsidRPr="007E0164">
        <w:t xml:space="preserve"> </w:t>
      </w:r>
      <w:r w:rsidRPr="007E0164">
        <w:t>No. 408 of 21 November 1996.</w:t>
      </w:r>
      <w:r w:rsidR="009E1F35" w:rsidRPr="00E16AEE">
        <w:t xml:space="preserve"> </w:t>
      </w:r>
      <w:r w:rsidRPr="00E16AEE">
        <w:t>The State party concludes that the authors’ rights under article</w:t>
      </w:r>
      <w:r w:rsidR="00BB4216" w:rsidRPr="00E16AEE">
        <w:t>s</w:t>
      </w:r>
      <w:r w:rsidRPr="00E16AEE">
        <w:t xml:space="preserve"> 14, 23 and 24 of the Covenant have not been violated and does not consider that the court decisions should be quashed or amended.</w:t>
      </w:r>
      <w:r w:rsidR="00B876CF">
        <w:t xml:space="preserve"> </w:t>
      </w:r>
    </w:p>
    <w:p w:rsidR="0003364A" w:rsidRPr="00E16AEE" w:rsidRDefault="0003364A" w:rsidP="0003364A">
      <w:pPr>
        <w:keepNext/>
        <w:keepLines/>
        <w:tabs>
          <w:tab w:val="right" w:pos="851"/>
        </w:tabs>
        <w:spacing w:before="240" w:after="120" w:line="240" w:lineRule="exact"/>
        <w:ind w:right="1134"/>
        <w:rPr>
          <w:b/>
        </w:rPr>
      </w:pPr>
      <w:r w:rsidRPr="00E16AEE">
        <w:rPr>
          <w:b/>
        </w:rPr>
        <w:tab/>
      </w:r>
      <w:r w:rsidRPr="00E16AEE">
        <w:rPr>
          <w:b/>
        </w:rPr>
        <w:tab/>
        <w:t xml:space="preserve">Authors’ comments on the State party’s observations </w:t>
      </w:r>
      <w:r w:rsidR="004327A0" w:rsidRPr="00E16AEE">
        <w:rPr>
          <w:b/>
        </w:rPr>
        <w:t xml:space="preserve">on </w:t>
      </w:r>
      <w:r w:rsidR="00466CD4" w:rsidRPr="00E16AEE">
        <w:rPr>
          <w:b/>
        </w:rPr>
        <w:t>admissibility and t</w:t>
      </w:r>
      <w:r w:rsidR="004327A0" w:rsidRPr="00E16AEE">
        <w:rPr>
          <w:b/>
        </w:rPr>
        <w:t>he merits</w:t>
      </w:r>
    </w:p>
    <w:p w:rsidR="0003364A" w:rsidRPr="00E16AEE" w:rsidRDefault="0003364A" w:rsidP="007B0587">
      <w:pPr>
        <w:pStyle w:val="SingleTxtG"/>
      </w:pPr>
      <w:r w:rsidRPr="00E16AEE">
        <w:t>5.1</w:t>
      </w:r>
      <w:r w:rsidRPr="00E16AEE">
        <w:tab/>
        <w:t xml:space="preserve">On 29 May 2014, </w:t>
      </w:r>
      <w:r w:rsidR="0014718D" w:rsidRPr="00E16AEE">
        <w:t xml:space="preserve">Mr. Maalem </w:t>
      </w:r>
      <w:r w:rsidRPr="00E16AEE">
        <w:t xml:space="preserve">submitted that both </w:t>
      </w:r>
      <w:r w:rsidR="0014718D" w:rsidRPr="00E16AEE">
        <w:t xml:space="preserve">Ms. Maalem </w:t>
      </w:r>
      <w:r w:rsidRPr="00E16AEE">
        <w:t xml:space="preserve">and his lawyer </w:t>
      </w:r>
      <w:r w:rsidR="006A7D1A" w:rsidRPr="00E16AEE">
        <w:t xml:space="preserve">had </w:t>
      </w:r>
      <w:r w:rsidRPr="00E16AEE">
        <w:t xml:space="preserve">appealed to the Tashkent Regional Court. The Court reviewed the case and did not find grounds for annulment of the trial court expulsion order. </w:t>
      </w:r>
      <w:r w:rsidR="006A7D1A" w:rsidRPr="00E16AEE">
        <w:t>T</w:t>
      </w:r>
      <w:r w:rsidRPr="00E16AEE">
        <w:t xml:space="preserve">he authors were </w:t>
      </w:r>
      <w:r w:rsidR="00F72132" w:rsidRPr="00E16AEE">
        <w:t xml:space="preserve">subsequently </w:t>
      </w:r>
      <w:r w:rsidRPr="00E16AEE">
        <w:t xml:space="preserve">represented by another lawyer who advised them that an expulsion order could not be applied to </w:t>
      </w:r>
      <w:r w:rsidR="0014718D" w:rsidRPr="00E16AEE">
        <w:t>Mr. Maalem</w:t>
      </w:r>
      <w:r w:rsidRPr="00E16AEE">
        <w:t xml:space="preserve">, as he </w:t>
      </w:r>
      <w:r w:rsidR="00F72132" w:rsidRPr="00E16AEE">
        <w:t xml:space="preserve">had been </w:t>
      </w:r>
      <w:r w:rsidRPr="00E16AEE">
        <w:t xml:space="preserve">convicted in 2009, </w:t>
      </w:r>
      <w:r w:rsidR="00F72132" w:rsidRPr="00E16AEE">
        <w:t xml:space="preserve">whereas </w:t>
      </w:r>
      <w:r w:rsidRPr="00E16AEE">
        <w:t xml:space="preserve">the decree was modified in 2012. At the time of </w:t>
      </w:r>
      <w:r w:rsidR="0014718D" w:rsidRPr="00E16AEE">
        <w:t xml:space="preserve">his </w:t>
      </w:r>
      <w:r w:rsidRPr="00E16AEE">
        <w:t>conviction</w:t>
      </w:r>
      <w:r w:rsidR="00F72132" w:rsidRPr="00E16AEE">
        <w:t>,</w:t>
      </w:r>
      <w:r w:rsidRPr="00E16AEE">
        <w:t xml:space="preserve"> the decree did not prescribe obligatory expulsion of an alien who ha</w:t>
      </w:r>
      <w:r w:rsidR="00F72132" w:rsidRPr="00E16AEE">
        <w:t>d</w:t>
      </w:r>
      <w:r w:rsidRPr="00E16AEE">
        <w:t xml:space="preserve"> committed a crime. Therefore, the decree was wrongly applied retroactively to his case, as it </w:t>
      </w:r>
      <w:r w:rsidR="00F72132" w:rsidRPr="00E16AEE">
        <w:t xml:space="preserve">made </w:t>
      </w:r>
      <w:r w:rsidRPr="00E16AEE">
        <w:t>the sanction more severe.</w:t>
      </w:r>
    </w:p>
    <w:p w:rsidR="0003364A" w:rsidRPr="00C01980" w:rsidRDefault="0003364A" w:rsidP="007B0587">
      <w:pPr>
        <w:pStyle w:val="SingleTxtG"/>
      </w:pPr>
      <w:r w:rsidRPr="00E16AEE">
        <w:t>5.2</w:t>
      </w:r>
      <w:r w:rsidRPr="00E16AEE">
        <w:tab/>
        <w:t xml:space="preserve">On 27 March 2016, </w:t>
      </w:r>
      <w:r w:rsidR="0014718D" w:rsidRPr="00E16AEE">
        <w:t xml:space="preserve">Mr. Maalem </w:t>
      </w:r>
      <w:r w:rsidR="001511A9" w:rsidRPr="00E16AEE">
        <w:t xml:space="preserve">submitted </w:t>
      </w:r>
      <w:r w:rsidRPr="00E16AEE">
        <w:t xml:space="preserve">that the </w:t>
      </w:r>
      <w:r w:rsidR="001511A9" w:rsidRPr="00E16AEE">
        <w:t>r</w:t>
      </w:r>
      <w:r w:rsidRPr="00E16AEE">
        <w:t>ules on the stay of aliens on the territory of Uzbekistan</w:t>
      </w:r>
      <w:r w:rsidR="00D04F51">
        <w:t>,</w:t>
      </w:r>
      <w:r w:rsidRPr="007E0164">
        <w:t xml:space="preserve"> </w:t>
      </w:r>
      <w:r w:rsidR="001511A9" w:rsidRPr="007E0164">
        <w:t xml:space="preserve">as </w:t>
      </w:r>
      <w:r w:rsidRPr="00E16AEE">
        <w:t xml:space="preserve">adopted by </w:t>
      </w:r>
      <w:r w:rsidR="00D04F51">
        <w:t xml:space="preserve">the </w:t>
      </w:r>
      <w:r w:rsidR="001511A9" w:rsidRPr="007E0164">
        <w:t xml:space="preserve">Cabinet of Ministers </w:t>
      </w:r>
      <w:r w:rsidR="00D04F51">
        <w:t xml:space="preserve">in its </w:t>
      </w:r>
      <w:r w:rsidR="001511A9" w:rsidRPr="007E0164">
        <w:t>r</w:t>
      </w:r>
      <w:r w:rsidRPr="00E16AEE">
        <w:t>e</w:t>
      </w:r>
      <w:r w:rsidR="00D04F51">
        <w:t>solution</w:t>
      </w:r>
      <w:r w:rsidRPr="007E0164">
        <w:t xml:space="preserve"> </w:t>
      </w:r>
      <w:r w:rsidRPr="00E16AEE">
        <w:t>No.</w:t>
      </w:r>
      <w:r w:rsidR="00C8702D">
        <w:t> </w:t>
      </w:r>
      <w:r w:rsidRPr="00E16AEE">
        <w:t>409</w:t>
      </w:r>
      <w:r w:rsidR="00D04F51">
        <w:t>,</w:t>
      </w:r>
      <w:r w:rsidRPr="007E0164">
        <w:t xml:space="preserve"> </w:t>
      </w:r>
      <w:r w:rsidRPr="00E16AEE">
        <w:t>prescribe</w:t>
      </w:r>
      <w:r w:rsidR="001511A9" w:rsidRPr="00E16AEE">
        <w:t>d</w:t>
      </w:r>
      <w:r w:rsidRPr="00E16AEE">
        <w:t xml:space="preserve"> that aliens who </w:t>
      </w:r>
      <w:r w:rsidR="001511A9" w:rsidRPr="00E16AEE">
        <w:t xml:space="preserve">had </w:t>
      </w:r>
      <w:r w:rsidRPr="00E16AEE">
        <w:t xml:space="preserve">committed crimes </w:t>
      </w:r>
      <w:r w:rsidR="00B54240" w:rsidRPr="00E16AEE">
        <w:t>“</w:t>
      </w:r>
      <w:r w:rsidR="001511A9" w:rsidRPr="00E16AEE">
        <w:t>c</w:t>
      </w:r>
      <w:r w:rsidRPr="00E16AEE">
        <w:t>ould be expelled</w:t>
      </w:r>
      <w:r w:rsidR="007F740A" w:rsidRPr="00E16AEE">
        <w:t>”</w:t>
      </w:r>
      <w:r w:rsidRPr="00E16AEE">
        <w:t xml:space="preserve"> from Uzbekistan. However, this version </w:t>
      </w:r>
      <w:r w:rsidR="007F740A" w:rsidRPr="00E16AEE">
        <w:t xml:space="preserve">was amended by Cabinet of Ministers </w:t>
      </w:r>
      <w:r w:rsidR="00A044BE" w:rsidRPr="00E16AEE">
        <w:t>r</w:t>
      </w:r>
      <w:r w:rsidR="007F740A" w:rsidRPr="00E16AEE">
        <w:t>e</w:t>
      </w:r>
      <w:r w:rsidR="00D04F51">
        <w:t>solution</w:t>
      </w:r>
      <w:r w:rsidR="007F740A" w:rsidRPr="007E0164">
        <w:t xml:space="preserve"> No. 235 of 7 August 2012, which prescribed</w:t>
      </w:r>
      <w:r w:rsidR="00CC2F22" w:rsidRPr="007E0164">
        <w:t xml:space="preserve"> </w:t>
      </w:r>
      <w:r w:rsidRPr="00E16AEE">
        <w:t xml:space="preserve">mandatory expulsion and </w:t>
      </w:r>
      <w:r w:rsidR="007F740A" w:rsidRPr="00E16AEE">
        <w:t xml:space="preserve">a </w:t>
      </w:r>
      <w:r w:rsidRPr="00E16AEE">
        <w:t xml:space="preserve">subsequent </w:t>
      </w:r>
      <w:r w:rsidR="00CC2F22" w:rsidRPr="00E16AEE">
        <w:t>re-</w:t>
      </w:r>
      <w:r w:rsidRPr="00E16AEE">
        <w:t>entry ban</w:t>
      </w:r>
      <w:r w:rsidR="007F740A" w:rsidRPr="00E16AEE">
        <w:t xml:space="preserve"> </w:t>
      </w:r>
      <w:r w:rsidR="00CC2F22" w:rsidRPr="00E16AEE">
        <w:t>for</w:t>
      </w:r>
      <w:r w:rsidR="007F740A" w:rsidRPr="00E16AEE">
        <w:t xml:space="preserve"> all convicted aliens, without exception</w:t>
      </w:r>
      <w:r w:rsidRPr="00E16AEE">
        <w:t>.</w:t>
      </w:r>
      <w:r w:rsidR="009E1F35" w:rsidRPr="00E16AEE">
        <w:t xml:space="preserve"> </w:t>
      </w:r>
      <w:r w:rsidRPr="00E16AEE">
        <w:t>Until then</w:t>
      </w:r>
      <w:r w:rsidR="0067178B" w:rsidRPr="00E16AEE">
        <w:t>,</w:t>
      </w:r>
      <w:r w:rsidRPr="00E16AEE">
        <w:t xml:space="preserve"> </w:t>
      </w:r>
      <w:r w:rsidR="0067178B" w:rsidRPr="00E16AEE">
        <w:t xml:space="preserve">under </w:t>
      </w:r>
      <w:r w:rsidRPr="00E16AEE">
        <w:t xml:space="preserve">the earlier version of the </w:t>
      </w:r>
      <w:r w:rsidR="0067178B" w:rsidRPr="00E16AEE">
        <w:t>r</w:t>
      </w:r>
      <w:r w:rsidRPr="00E16AEE">
        <w:t>ules</w:t>
      </w:r>
      <w:r w:rsidR="0067178B" w:rsidRPr="00E16AEE">
        <w:t>,</w:t>
      </w:r>
      <w:r w:rsidRPr="00E16AEE">
        <w:t xml:space="preserve"> those aliens who had lawful grounds to reside in Uzbekistan, such as residence and </w:t>
      </w:r>
      <w:r w:rsidR="0067178B" w:rsidRPr="00E16AEE">
        <w:t xml:space="preserve">a </w:t>
      </w:r>
      <w:r w:rsidRPr="00E16AEE">
        <w:t xml:space="preserve">residence permit, would not </w:t>
      </w:r>
      <w:r w:rsidR="004D61E2">
        <w:t xml:space="preserve">have </w:t>
      </w:r>
      <w:r w:rsidRPr="007E0164">
        <w:t>be</w:t>
      </w:r>
      <w:r w:rsidR="004D61E2">
        <w:t>en</w:t>
      </w:r>
      <w:r w:rsidRPr="007E0164">
        <w:t xml:space="preserve"> subjected to expulsion. </w:t>
      </w:r>
      <w:r w:rsidR="0014718D" w:rsidRPr="007E0164">
        <w:t xml:space="preserve">Mr. Maalem </w:t>
      </w:r>
      <w:r w:rsidRPr="00E16AEE">
        <w:t>reiterates that</w:t>
      </w:r>
      <w:r w:rsidR="004D61E2">
        <w:t>,</w:t>
      </w:r>
      <w:r w:rsidRPr="007E0164">
        <w:t xml:space="preserve"> in 2009</w:t>
      </w:r>
      <w:r w:rsidR="001C75BA" w:rsidRPr="00E16AEE">
        <w:t>,</w:t>
      </w:r>
      <w:r w:rsidRPr="00E16AEE">
        <w:t xml:space="preserve"> when he was sentenced</w:t>
      </w:r>
      <w:r w:rsidR="00C60342" w:rsidRPr="00E16AEE">
        <w:t>,</w:t>
      </w:r>
      <w:r w:rsidRPr="00E16AEE">
        <w:t xml:space="preserve"> the applicable rules were not as severe </w:t>
      </w:r>
      <w:r w:rsidR="00C60342" w:rsidRPr="00E16AEE">
        <w:t xml:space="preserve">as </w:t>
      </w:r>
      <w:r w:rsidRPr="00E16AEE">
        <w:t>the version prescribing mandatory expulsion</w:t>
      </w:r>
      <w:r w:rsidR="00C70E44" w:rsidRPr="00E16AEE">
        <w:t>, which</w:t>
      </w:r>
      <w:r w:rsidRPr="00E16AEE">
        <w:t xml:space="preserve"> entered into force only o</w:t>
      </w:r>
      <w:r w:rsidR="004D61E2">
        <w:t>n</w:t>
      </w:r>
      <w:r w:rsidRPr="007E0164">
        <w:t xml:space="preserve"> 7 August 2012</w:t>
      </w:r>
      <w:r w:rsidR="00C60342" w:rsidRPr="00E16AEE">
        <w:t>;</w:t>
      </w:r>
      <w:r w:rsidR="0014718D" w:rsidRPr="00E16AEE">
        <w:t xml:space="preserve"> </w:t>
      </w:r>
      <w:r w:rsidR="00C60342" w:rsidRPr="00E16AEE">
        <w:t xml:space="preserve">therefore, </w:t>
      </w:r>
      <w:r w:rsidRPr="00E16AEE">
        <w:t>his expulsion is not compatible with articles 23 and 24 of the Covenant as well as with article 3 of the</w:t>
      </w:r>
      <w:r w:rsidR="00510DAF" w:rsidRPr="00E16AEE">
        <w:t xml:space="preserve"> Convention on the Rights of the Child</w:t>
      </w:r>
      <w:r w:rsidRPr="00E16AEE">
        <w:t xml:space="preserve">. Moreover, he again </w:t>
      </w:r>
      <w:r w:rsidR="00510DAF" w:rsidRPr="00E16AEE">
        <w:t xml:space="preserve">maintains </w:t>
      </w:r>
      <w:r w:rsidRPr="00E16AEE">
        <w:t xml:space="preserve">his innocence and disagrees with the 2009 trial court verdict. </w:t>
      </w:r>
      <w:r w:rsidR="0014718D" w:rsidRPr="00E16AEE">
        <w:t>H</w:t>
      </w:r>
      <w:r w:rsidRPr="00E16AEE">
        <w:t xml:space="preserve">e </w:t>
      </w:r>
      <w:r w:rsidR="00510DAF" w:rsidRPr="00E16AEE">
        <w:t xml:space="preserve">reports </w:t>
      </w:r>
      <w:r w:rsidRPr="00E16AEE">
        <w:t>that</w:t>
      </w:r>
      <w:r w:rsidR="002115A5" w:rsidRPr="00E16AEE">
        <w:t>,</w:t>
      </w:r>
      <w:r w:rsidRPr="00E16AEE">
        <w:t xml:space="preserve"> on the </w:t>
      </w:r>
      <w:r w:rsidR="002115A5" w:rsidRPr="00E16AEE">
        <w:t xml:space="preserve">basis </w:t>
      </w:r>
      <w:r w:rsidRPr="00E16AEE">
        <w:t xml:space="preserve">of </w:t>
      </w:r>
      <w:r w:rsidR="002115A5" w:rsidRPr="00E16AEE">
        <w:t xml:space="preserve">the </w:t>
      </w:r>
      <w:r w:rsidR="00510DAF" w:rsidRPr="00E16AEE">
        <w:t xml:space="preserve">decision of </w:t>
      </w:r>
      <w:r w:rsidRPr="00E16AEE">
        <w:t>the Civil Court of the City of Tashkent</w:t>
      </w:r>
      <w:r w:rsidR="00510DAF" w:rsidRPr="00E16AEE">
        <w:t>,</w:t>
      </w:r>
      <w:r w:rsidRPr="00E16AEE">
        <w:t xml:space="preserve"> his right to </w:t>
      </w:r>
      <w:r w:rsidR="00510DAF" w:rsidRPr="00E16AEE">
        <w:t xml:space="preserve">leave </w:t>
      </w:r>
      <w:r w:rsidRPr="00E16AEE">
        <w:t>the country has been restricted</w:t>
      </w:r>
      <w:r w:rsidR="002115A5" w:rsidRPr="00E16AEE">
        <w:t>.</w:t>
      </w:r>
      <w:r w:rsidRPr="00E16AEE">
        <w:t xml:space="preserve"> </w:t>
      </w:r>
      <w:r w:rsidR="002115A5" w:rsidRPr="00E16AEE">
        <w:t>H</w:t>
      </w:r>
      <w:r w:rsidRPr="00E16AEE">
        <w:t>is residence permit in Uzbekistan has been extended until 2020</w:t>
      </w:r>
      <w:r w:rsidR="00C70E44" w:rsidRPr="00E16AEE">
        <w:t xml:space="preserve"> </w:t>
      </w:r>
      <w:r w:rsidR="002115A5" w:rsidRPr="00E16AEE">
        <w:t>as a result of</w:t>
      </w:r>
      <w:r w:rsidRPr="00E16AEE">
        <w:t xml:space="preserve"> </w:t>
      </w:r>
      <w:r w:rsidR="001A5AE1" w:rsidRPr="00E16AEE">
        <w:t xml:space="preserve">a </w:t>
      </w:r>
      <w:r w:rsidRPr="00E16AEE">
        <w:t xml:space="preserve">complaint </w:t>
      </w:r>
      <w:r w:rsidR="009E3757" w:rsidRPr="00E16AEE">
        <w:t xml:space="preserve">submitted by </w:t>
      </w:r>
      <w:r w:rsidR="0014718D" w:rsidRPr="00E16AEE">
        <w:t xml:space="preserve">Ms. Maalem </w:t>
      </w:r>
      <w:r w:rsidR="001A5AE1" w:rsidRPr="00E16AEE">
        <w:t xml:space="preserve">that, </w:t>
      </w:r>
      <w:r w:rsidRPr="00E16AEE">
        <w:t>according to the law</w:t>
      </w:r>
      <w:r w:rsidR="001A5AE1" w:rsidRPr="00E16AEE">
        <w:t>,</w:t>
      </w:r>
      <w:r w:rsidRPr="00E16AEE">
        <w:t xml:space="preserve"> </w:t>
      </w:r>
      <w:r w:rsidR="001A5AE1" w:rsidRPr="00E16AEE">
        <w:t xml:space="preserve">while </w:t>
      </w:r>
      <w:r w:rsidRPr="00E16AEE">
        <w:t>their children are minor</w:t>
      </w:r>
      <w:r w:rsidR="001A5AE1" w:rsidRPr="00E16AEE">
        <w:t>s</w:t>
      </w:r>
      <w:r w:rsidRPr="00E16AEE">
        <w:t xml:space="preserve"> and </w:t>
      </w:r>
      <w:r w:rsidR="001A5AE1" w:rsidRPr="00E16AEE">
        <w:t xml:space="preserve">Mr. Maalem </w:t>
      </w:r>
      <w:r w:rsidRPr="00E16AEE">
        <w:t xml:space="preserve">has not paid </w:t>
      </w:r>
      <w:r w:rsidR="00F214E9" w:rsidRPr="00E16AEE">
        <w:t>child support</w:t>
      </w:r>
      <w:r w:rsidRPr="00E16AEE">
        <w:t xml:space="preserve">, he cannot leave the country without the agreement of his wife. In addition, </w:t>
      </w:r>
      <w:r w:rsidR="0014718D" w:rsidRPr="00E16AEE">
        <w:t xml:space="preserve">Mr. Maalem </w:t>
      </w:r>
      <w:r w:rsidR="001A5AE1" w:rsidRPr="00E16AEE">
        <w:t xml:space="preserve">reports </w:t>
      </w:r>
      <w:r w:rsidRPr="00E16AEE">
        <w:t>that his criminal case has been reopened.</w:t>
      </w:r>
    </w:p>
    <w:p w:rsidR="0003364A" w:rsidRPr="007E0164" w:rsidRDefault="0003364A" w:rsidP="007B0587">
      <w:pPr>
        <w:pStyle w:val="SingleTxtG"/>
      </w:pPr>
      <w:r w:rsidRPr="007E0164">
        <w:t>5.3</w:t>
      </w:r>
      <w:r w:rsidRPr="007E0164">
        <w:tab/>
        <w:t xml:space="preserve">On 5 April </w:t>
      </w:r>
      <w:r w:rsidRPr="00E16AEE">
        <w:t xml:space="preserve">and 4 May 2016, </w:t>
      </w:r>
      <w:r w:rsidR="0014718D" w:rsidRPr="00E16AEE">
        <w:t xml:space="preserve">Mr. Maalem </w:t>
      </w:r>
      <w:r w:rsidRPr="00E16AEE">
        <w:t>reiterate</w:t>
      </w:r>
      <w:r w:rsidR="009E3757" w:rsidRPr="00E16AEE">
        <w:t>d</w:t>
      </w:r>
      <w:r w:rsidRPr="00E16AEE">
        <w:t xml:space="preserve"> his earlier claims, challenging the legality of his conviction for human trafficking and the subsequent court order to expel him from Uzbekistan. </w:t>
      </w:r>
      <w:r w:rsidR="0014718D" w:rsidRPr="00E16AEE">
        <w:t>He</w:t>
      </w:r>
      <w:r w:rsidRPr="00E16AEE">
        <w:t xml:space="preserve"> adds new claims</w:t>
      </w:r>
      <w:r w:rsidR="009E3757" w:rsidRPr="00E16AEE">
        <w:t>,</w:t>
      </w:r>
      <w:r w:rsidRPr="00E16AEE">
        <w:t xml:space="preserve"> submitting that</w:t>
      </w:r>
      <w:r w:rsidR="00F47B96">
        <w:t>,</w:t>
      </w:r>
      <w:r w:rsidRPr="007E0164">
        <w:t xml:space="preserve"> during his pre</w:t>
      </w:r>
      <w:r w:rsidRPr="00E16AEE">
        <w:t>trial detention</w:t>
      </w:r>
      <w:r w:rsidR="00F47B96">
        <w:t>,</w:t>
      </w:r>
      <w:r w:rsidRPr="007E0164">
        <w:t xml:space="preserve"> he was beaten by police officers and his cellmates and money was extorted from him.</w:t>
      </w:r>
      <w:r w:rsidRPr="00C01980">
        <w:t xml:space="preserve"> On an unspecified date, he</w:t>
      </w:r>
      <w:r w:rsidR="009E1F35" w:rsidRPr="007E0164">
        <w:t xml:space="preserve"> </w:t>
      </w:r>
      <w:r w:rsidRPr="007E0164">
        <w:t xml:space="preserve">complained to the Tashkent </w:t>
      </w:r>
      <w:r w:rsidR="009E3757" w:rsidRPr="00E16AEE">
        <w:t>C</w:t>
      </w:r>
      <w:r w:rsidRPr="00E16AEE">
        <w:t>ity Prosecutor</w:t>
      </w:r>
      <w:r w:rsidR="000C63F1" w:rsidRPr="00E16AEE">
        <w:t>’</w:t>
      </w:r>
      <w:r w:rsidRPr="00E16AEE">
        <w:t>s Office about this</w:t>
      </w:r>
      <w:r w:rsidR="009E3757" w:rsidRPr="00E16AEE">
        <w:t xml:space="preserve"> treatment</w:t>
      </w:r>
      <w:r w:rsidRPr="00E16AEE">
        <w:t xml:space="preserve">. On 10 June 2010, the </w:t>
      </w:r>
      <w:r w:rsidR="00607DEE" w:rsidRPr="00E16AEE">
        <w:t>D</w:t>
      </w:r>
      <w:r w:rsidRPr="00E16AEE">
        <w:t xml:space="preserve">eputy </w:t>
      </w:r>
      <w:r w:rsidR="00607DEE" w:rsidRPr="00E16AEE">
        <w:t>P</w:t>
      </w:r>
      <w:r w:rsidRPr="00E16AEE">
        <w:t xml:space="preserve">rosecutor of the City of Tashkent informed </w:t>
      </w:r>
      <w:r w:rsidR="0014718D" w:rsidRPr="00E16AEE">
        <w:t>him</w:t>
      </w:r>
      <w:r w:rsidRPr="00E16AEE">
        <w:t xml:space="preserve"> that the </w:t>
      </w:r>
      <w:r w:rsidRPr="00E16AEE">
        <w:lastRenderedPageBreak/>
        <w:t xml:space="preserve">documents of the internal investigation </w:t>
      </w:r>
      <w:r w:rsidR="00C1206E" w:rsidRPr="00E16AEE">
        <w:t xml:space="preserve">had </w:t>
      </w:r>
      <w:r w:rsidRPr="00E16AEE">
        <w:t xml:space="preserve">been transmitted to the Yunusabad Prosecution Office for a pre-investigation check. On 14 July, the Yunusabad Prosecution Office refused to initiate criminal proceedings due to the lack of corpus </w:t>
      </w:r>
      <w:r w:rsidRPr="007B0587">
        <w:t>delicti</w:t>
      </w:r>
      <w:r w:rsidRPr="00C01980">
        <w:t>.</w:t>
      </w:r>
      <w:r w:rsidR="009E1F35" w:rsidRPr="00C01980">
        <w:t xml:space="preserve"> </w:t>
      </w:r>
    </w:p>
    <w:p w:rsidR="0003364A" w:rsidRPr="00E16AEE" w:rsidRDefault="00FD7914" w:rsidP="00C5400D">
      <w:pPr>
        <w:pStyle w:val="H23G"/>
      </w:pPr>
      <w:r w:rsidRPr="00E16AEE">
        <w:tab/>
      </w:r>
      <w:r w:rsidRPr="00E16AEE">
        <w:tab/>
      </w:r>
      <w:r w:rsidR="0003364A" w:rsidRPr="00E16AEE">
        <w:t xml:space="preserve">State party’s </w:t>
      </w:r>
      <w:r w:rsidR="00696E99" w:rsidRPr="00E16AEE">
        <w:t xml:space="preserve">additional </w:t>
      </w:r>
      <w:r w:rsidR="0003364A" w:rsidRPr="00E16AEE">
        <w:t xml:space="preserve">observations </w:t>
      </w:r>
    </w:p>
    <w:p w:rsidR="0003364A" w:rsidRPr="007B0587" w:rsidRDefault="0003364A" w:rsidP="007B0587">
      <w:pPr>
        <w:pStyle w:val="SingleTxtG"/>
      </w:pPr>
      <w:r w:rsidRPr="00E16AEE">
        <w:t>6.1</w:t>
      </w:r>
      <w:r w:rsidRPr="00E16AEE">
        <w:tab/>
        <w:t xml:space="preserve">In a </w:t>
      </w:r>
      <w:r w:rsidR="00005848" w:rsidRPr="00E16AEE">
        <w:t>submission</w:t>
      </w:r>
      <w:r w:rsidRPr="00E16AEE">
        <w:t xml:space="preserve"> dated 3 February 2017, the State party reiterate</w:t>
      </w:r>
      <w:r w:rsidR="00696E99" w:rsidRPr="00E16AEE">
        <w:t>d</w:t>
      </w:r>
      <w:r w:rsidRPr="00E16AEE">
        <w:t xml:space="preserve"> its previous arguments and addresse</w:t>
      </w:r>
      <w:r w:rsidR="00696E99" w:rsidRPr="00E16AEE">
        <w:t>d</w:t>
      </w:r>
      <w:r w:rsidRPr="00E16AEE">
        <w:t xml:space="preserve"> </w:t>
      </w:r>
      <w:r w:rsidR="0014718D" w:rsidRPr="00E16AEE">
        <w:t>Mr. Maalem</w:t>
      </w:r>
      <w:r w:rsidRPr="00E16AEE">
        <w:t xml:space="preserve">’s new allegations. The State party submits that </w:t>
      </w:r>
      <w:r w:rsidR="0014718D" w:rsidRPr="00E16AEE">
        <w:t xml:space="preserve">his </w:t>
      </w:r>
      <w:r w:rsidRPr="007B0587">
        <w:t>arguments regarding illegal detention, torture and ill-treatment during the period of detention in institutions UYA 64/21, UYA 64/IZ-1 and UYA 64/IZ-13 were</w:t>
      </w:r>
      <w:r w:rsidR="009E1F35" w:rsidRPr="007B0587">
        <w:t xml:space="preserve"> </w:t>
      </w:r>
      <w:r w:rsidRPr="007B0587">
        <w:t xml:space="preserve">thoroughly studied and have not </w:t>
      </w:r>
      <w:r w:rsidR="007B3E01" w:rsidRPr="007B0587">
        <w:t xml:space="preserve">been </w:t>
      </w:r>
      <w:r w:rsidRPr="007B0587">
        <w:t xml:space="preserve">confirmed, in view of the absence of facts </w:t>
      </w:r>
      <w:r w:rsidR="000C63F1" w:rsidRPr="007B0587">
        <w:t xml:space="preserve">attesting to </w:t>
      </w:r>
      <w:r w:rsidRPr="007B0587">
        <w:t xml:space="preserve">the commission of a crime. In the course of the investigation, </w:t>
      </w:r>
      <w:r w:rsidR="006A0D4A" w:rsidRPr="00C01980">
        <w:t>Mr. Maalem</w:t>
      </w:r>
      <w:r w:rsidRPr="007B0587">
        <w:t>’s guilt was fully proven by</w:t>
      </w:r>
      <w:r w:rsidR="009E1F35" w:rsidRPr="007B0587">
        <w:t xml:space="preserve"> </w:t>
      </w:r>
      <w:r w:rsidRPr="007B0587">
        <w:t>witnesses’ testimonies, face-to-face questioning of witnesses and other objective evidence. During the pretrial investigation, no violations of the legal rights and interests of the accused were established.</w:t>
      </w:r>
    </w:p>
    <w:p w:rsidR="00390860" w:rsidRPr="007B0587" w:rsidRDefault="0003364A" w:rsidP="007B0587">
      <w:pPr>
        <w:pStyle w:val="SingleTxtG"/>
      </w:pPr>
      <w:r w:rsidRPr="007B0587">
        <w:t>6.2</w:t>
      </w:r>
      <w:r w:rsidRPr="007B0587">
        <w:tab/>
        <w:t xml:space="preserve">Based on the </w:t>
      </w:r>
      <w:r w:rsidR="00D7606E" w:rsidRPr="007B0587">
        <w:t xml:space="preserve">evidence </w:t>
      </w:r>
      <w:r w:rsidRPr="007B0587">
        <w:t>collected in the criminal case, on 19 May 2009,</w:t>
      </w:r>
      <w:r w:rsidR="009E1F35" w:rsidRPr="007B0587">
        <w:t xml:space="preserve"> </w:t>
      </w:r>
      <w:r w:rsidR="006A0D4A" w:rsidRPr="00C01980">
        <w:t>Mr. Maalem</w:t>
      </w:r>
      <w:r w:rsidR="009E1F35" w:rsidRPr="00C01980">
        <w:t xml:space="preserve"> </w:t>
      </w:r>
      <w:r w:rsidRPr="007B0587">
        <w:t>was found guilty of committing a crime, stipulated by article 135</w:t>
      </w:r>
      <w:r w:rsidR="006A0D4A" w:rsidRPr="007B0587">
        <w:t xml:space="preserve"> (3) (d)</w:t>
      </w:r>
      <w:r w:rsidRPr="007B0587">
        <w:t xml:space="preserve"> of the Criminal Code of Uzbekistan, and he was sentenced to imprisonment for eight years. </w:t>
      </w:r>
    </w:p>
    <w:p w:rsidR="0003364A" w:rsidRPr="007B0587" w:rsidRDefault="0003364A" w:rsidP="007B0587">
      <w:pPr>
        <w:pStyle w:val="SingleTxtG"/>
      </w:pPr>
      <w:r w:rsidRPr="007B0587">
        <w:t>6.3</w:t>
      </w:r>
      <w:r w:rsidRPr="007B0587">
        <w:tab/>
        <w:t xml:space="preserve">During his detention, no mental or physical pressure was exerted on </w:t>
      </w:r>
      <w:r w:rsidR="006A0D4A" w:rsidRPr="00C01980">
        <w:t>Mr. Maalem</w:t>
      </w:r>
      <w:r w:rsidRPr="007B0587">
        <w:t xml:space="preserve">. In the penitentiary institutions of the State party, the necessary measures are taken to prevent any actions aimed at infringing upon the legitimate rights of </w:t>
      </w:r>
      <w:r w:rsidR="00B97BFE" w:rsidRPr="007B0587">
        <w:t>th</w:t>
      </w:r>
      <w:r w:rsidR="00B97BFE">
        <w:t xml:space="preserve">ose </w:t>
      </w:r>
      <w:r w:rsidRPr="007B0587">
        <w:t xml:space="preserve">detained and those sentenced to imprisonment. Particular attention is paid to human rights, including the prevention of torture </w:t>
      </w:r>
      <w:r w:rsidR="00B97BFE">
        <w:t>and</w:t>
      </w:r>
      <w:r w:rsidR="00B97BFE" w:rsidRPr="007B0587">
        <w:t xml:space="preserve"> </w:t>
      </w:r>
      <w:r w:rsidRPr="007B0587">
        <w:t>other inhuman treatment. In the event that physical force or other unauthorized treatment is revealed, the guilty persons are disciplin</w:t>
      </w:r>
      <w:r w:rsidR="00B97BFE">
        <w:t>ed</w:t>
      </w:r>
      <w:r w:rsidRPr="007B0587">
        <w:t xml:space="preserve"> or criminal</w:t>
      </w:r>
      <w:r w:rsidR="00B97BFE">
        <w:t>ly prosecuted</w:t>
      </w:r>
      <w:r w:rsidRPr="007B0587">
        <w:t xml:space="preserve">. Following </w:t>
      </w:r>
      <w:r w:rsidR="006A0D4A" w:rsidRPr="00C01980">
        <w:t>Mr. Maalem</w:t>
      </w:r>
      <w:r w:rsidR="007B3E01" w:rsidRPr="00C01980">
        <w:t>’s</w:t>
      </w:r>
      <w:r w:rsidRPr="007B0587">
        <w:t xml:space="preserve"> statement that he was beaten at the UYA-64/IZ-1 institution, </w:t>
      </w:r>
      <w:r w:rsidR="00B97BFE">
        <w:t xml:space="preserve">which is </w:t>
      </w:r>
      <w:r w:rsidRPr="007B0587">
        <w:t xml:space="preserve">under the </w:t>
      </w:r>
      <w:r w:rsidR="00B97BFE">
        <w:t xml:space="preserve">control of the </w:t>
      </w:r>
      <w:r w:rsidRPr="007B0587">
        <w:t xml:space="preserve">Ministry of Internal Affairs, an official investigation was carried out and the </w:t>
      </w:r>
      <w:r w:rsidR="002D187D" w:rsidRPr="007B0587">
        <w:t>P</w:t>
      </w:r>
      <w:r w:rsidRPr="007B0587">
        <w:t>rosecutor</w:t>
      </w:r>
      <w:r w:rsidR="00A4401F">
        <w:t>’</w:t>
      </w:r>
      <w:r w:rsidRPr="007B0587">
        <w:t xml:space="preserve">s </w:t>
      </w:r>
      <w:r w:rsidR="002D187D" w:rsidRPr="007B0587">
        <w:t>O</w:t>
      </w:r>
      <w:r w:rsidRPr="007B0587">
        <w:t xml:space="preserve">ffice of the Yunusabad </w:t>
      </w:r>
      <w:r w:rsidR="002D187D" w:rsidRPr="007B0587">
        <w:t>D</w:t>
      </w:r>
      <w:r w:rsidRPr="007B0587">
        <w:t xml:space="preserve">istrict of Tashkent carried out a pre-investigation check. </w:t>
      </w:r>
    </w:p>
    <w:p w:rsidR="0003364A" w:rsidRPr="007B0587" w:rsidRDefault="0003364A" w:rsidP="007B0587">
      <w:pPr>
        <w:pStyle w:val="SingleTxtG"/>
      </w:pPr>
      <w:r w:rsidRPr="007B0587">
        <w:t>6.4</w:t>
      </w:r>
      <w:r w:rsidRPr="007B0587">
        <w:tab/>
      </w:r>
      <w:r w:rsidR="006A0D4A" w:rsidRPr="00C01980">
        <w:t>Mr. Maalem</w:t>
      </w:r>
      <w:r w:rsidRPr="007B0587">
        <w:t xml:space="preserve">’s cellmates did not confirm </w:t>
      </w:r>
      <w:r w:rsidR="006A0D4A" w:rsidRPr="007B0587">
        <w:t xml:space="preserve">his </w:t>
      </w:r>
      <w:r w:rsidRPr="007B0587">
        <w:t xml:space="preserve">beating and </w:t>
      </w:r>
      <w:r w:rsidR="00AC1C17">
        <w:t xml:space="preserve">the </w:t>
      </w:r>
      <w:r w:rsidRPr="007B0587">
        <w:t>extortion of money, claiming that he was not beaten and no money was extorted from him. The doctors of the institution</w:t>
      </w:r>
      <w:r w:rsidR="005822E1" w:rsidRPr="007B0587">
        <w:t>,</w:t>
      </w:r>
      <w:r w:rsidRPr="007B0587">
        <w:t xml:space="preserve"> A.M. and V.S.</w:t>
      </w:r>
      <w:r w:rsidR="005822E1" w:rsidRPr="007B0587">
        <w:t>,</w:t>
      </w:r>
      <w:r w:rsidRPr="007B0587">
        <w:t xml:space="preserve"> explained that he repeatedly complained of back pains, that he </w:t>
      </w:r>
      <w:r w:rsidR="000C63F1" w:rsidRPr="007B0587">
        <w:t>had been</w:t>
      </w:r>
      <w:r w:rsidR="005822E1" w:rsidRPr="007B0587">
        <w:t xml:space="preserve"> </w:t>
      </w:r>
      <w:r w:rsidRPr="007B0587">
        <w:t xml:space="preserve">treated for </w:t>
      </w:r>
      <w:r w:rsidR="00D179BB" w:rsidRPr="007B0587">
        <w:t>“</w:t>
      </w:r>
      <w:r w:rsidRPr="007B0587">
        <w:t>back illness</w:t>
      </w:r>
      <w:r w:rsidR="00D179BB" w:rsidRPr="007B0587">
        <w:t>”</w:t>
      </w:r>
      <w:r w:rsidRPr="007B0587">
        <w:t xml:space="preserve"> before being taken into custody and </w:t>
      </w:r>
      <w:r w:rsidR="00D179BB" w:rsidRPr="007B0587">
        <w:t xml:space="preserve">that he </w:t>
      </w:r>
      <w:r w:rsidRPr="007B0587">
        <w:t xml:space="preserve">received appropriate medical assistance in the institution. According to the conclusion of the forensic medical examination, no injuries were found on the body of </w:t>
      </w:r>
      <w:r w:rsidR="006A0D4A" w:rsidRPr="00C01980">
        <w:t>Mr. Maalem</w:t>
      </w:r>
      <w:r w:rsidRPr="007B0587">
        <w:t xml:space="preserve">. Evidence supporting the alleged beating has not been established. Based on the results of the investigation, on 10 July 2010, the </w:t>
      </w:r>
      <w:r w:rsidR="00D179BB" w:rsidRPr="007B0587">
        <w:t>P</w:t>
      </w:r>
      <w:r w:rsidRPr="007B0587">
        <w:t>rosecutor</w:t>
      </w:r>
      <w:r w:rsidR="00A4401F">
        <w:t>’</w:t>
      </w:r>
      <w:r w:rsidRPr="007B0587">
        <w:t xml:space="preserve">s </w:t>
      </w:r>
      <w:r w:rsidR="00D179BB" w:rsidRPr="007B0587">
        <w:t>O</w:t>
      </w:r>
      <w:r w:rsidRPr="007B0587">
        <w:t xml:space="preserve">ffice of the Yunusabad </w:t>
      </w:r>
      <w:r w:rsidR="00D179BB" w:rsidRPr="007B0587">
        <w:t>D</w:t>
      </w:r>
      <w:r w:rsidRPr="007B0587">
        <w:t>istrict of Tashkent refused to initiate criminal proceedings</w:t>
      </w:r>
      <w:r w:rsidR="00C2772B" w:rsidRPr="007B0587">
        <w:t>,</w:t>
      </w:r>
      <w:r w:rsidRPr="007B0587">
        <w:t xml:space="preserve"> on the basis of </w:t>
      </w:r>
      <w:r w:rsidR="00C2772B" w:rsidRPr="007B0587">
        <w:t>a</w:t>
      </w:r>
      <w:r w:rsidRPr="007B0587">
        <w:t>rticle 83 of the Criminal Procedural Code (absence of corpus delicti)</w:t>
      </w:r>
      <w:r w:rsidR="00C2772B" w:rsidRPr="007B0587">
        <w:t>,</w:t>
      </w:r>
      <w:r w:rsidRPr="007B0587">
        <w:t xml:space="preserve"> and the Tashkent </w:t>
      </w:r>
      <w:r w:rsidR="00C2772B" w:rsidRPr="007B0587">
        <w:t>P</w:t>
      </w:r>
      <w:r w:rsidRPr="007B0587">
        <w:t>rosecutor</w:t>
      </w:r>
      <w:r w:rsidR="00A4401F">
        <w:t>’</w:t>
      </w:r>
      <w:r w:rsidRPr="007B0587">
        <w:t xml:space="preserve">s </w:t>
      </w:r>
      <w:r w:rsidR="00C2772B" w:rsidRPr="007B0587">
        <w:t>O</w:t>
      </w:r>
      <w:r w:rsidRPr="007B0587">
        <w:t xml:space="preserve">ffice upheld this decision. </w:t>
      </w:r>
      <w:r w:rsidR="006A0D4A" w:rsidRPr="00C01980">
        <w:t>Mr. Maalem</w:t>
      </w:r>
      <w:r w:rsidRPr="007B0587">
        <w:t xml:space="preserve"> was treated twice in the hospital while in prison for his </w:t>
      </w:r>
      <w:r w:rsidR="00C2772B" w:rsidRPr="007B0587">
        <w:t xml:space="preserve">medical complaints </w:t>
      </w:r>
      <w:r w:rsidRPr="007B0587">
        <w:t xml:space="preserve">(at the end of 2009 and of 2012) and his general health was satisfactory and stable. </w:t>
      </w:r>
    </w:p>
    <w:p w:rsidR="0003364A" w:rsidRPr="007B0587" w:rsidRDefault="00FD7914" w:rsidP="00C5400D">
      <w:pPr>
        <w:pStyle w:val="H23G"/>
      </w:pPr>
      <w:r w:rsidRPr="007B0587">
        <w:tab/>
      </w:r>
      <w:r w:rsidRPr="007B0587">
        <w:tab/>
      </w:r>
      <w:r w:rsidR="0003364A" w:rsidRPr="007B0587">
        <w:t xml:space="preserve">Author’s comments on the State party’s </w:t>
      </w:r>
      <w:r w:rsidR="00C2772B" w:rsidRPr="007B0587">
        <w:t>a</w:t>
      </w:r>
      <w:r w:rsidR="00140CB2" w:rsidRPr="007B0587">
        <w:t>d</w:t>
      </w:r>
      <w:r w:rsidR="00C2772B" w:rsidRPr="007B0587">
        <w:t xml:space="preserve">ditional </w:t>
      </w:r>
      <w:r w:rsidR="0003364A" w:rsidRPr="007B0587">
        <w:t>observations</w:t>
      </w:r>
    </w:p>
    <w:p w:rsidR="0003364A" w:rsidRPr="007B0587" w:rsidRDefault="0003364A" w:rsidP="007B0587">
      <w:pPr>
        <w:pStyle w:val="SingleTxtG"/>
      </w:pPr>
      <w:r w:rsidRPr="007B0587">
        <w:t>7.</w:t>
      </w:r>
      <w:r w:rsidRPr="007B0587">
        <w:tab/>
        <w:t xml:space="preserve">On 17 February 2017, </w:t>
      </w:r>
      <w:r w:rsidR="006A0D4A" w:rsidRPr="00C01980">
        <w:t xml:space="preserve">Mr. Maalem </w:t>
      </w:r>
      <w:r w:rsidRPr="007B0587">
        <w:t>reiterate</w:t>
      </w:r>
      <w:r w:rsidR="00674EB0" w:rsidRPr="007B0587">
        <w:t>d</w:t>
      </w:r>
      <w:r w:rsidRPr="007B0587">
        <w:t xml:space="preserve"> that he disagree</w:t>
      </w:r>
      <w:r w:rsidR="00674EB0" w:rsidRPr="007B0587">
        <w:t>d</w:t>
      </w:r>
      <w:r w:rsidRPr="007B0587">
        <w:t xml:space="preserve"> with the trial court verdict against him and claim</w:t>
      </w:r>
      <w:r w:rsidR="00674EB0" w:rsidRPr="007B0587">
        <w:t>ed</w:t>
      </w:r>
      <w:r w:rsidRPr="007B0587">
        <w:t xml:space="preserve"> that his guilt </w:t>
      </w:r>
      <w:r w:rsidR="00674EB0" w:rsidRPr="007B0587">
        <w:t xml:space="preserve">had </w:t>
      </w:r>
      <w:r w:rsidRPr="007B0587">
        <w:t xml:space="preserve">not </w:t>
      </w:r>
      <w:r w:rsidR="00674EB0" w:rsidRPr="007B0587">
        <w:t xml:space="preserve">been </w:t>
      </w:r>
      <w:r w:rsidRPr="007B0587">
        <w:t xml:space="preserve">proven </w:t>
      </w:r>
      <w:r w:rsidR="00DE2246" w:rsidRPr="007B0587">
        <w:t>and</w:t>
      </w:r>
      <w:r w:rsidRPr="007B0587">
        <w:t xml:space="preserve"> the accusations against him fabricated. He considers the courts’ decisions unlawful</w:t>
      </w:r>
      <w:r w:rsidR="00674EB0" w:rsidRPr="007B0587">
        <w:t xml:space="preserve"> and</w:t>
      </w:r>
      <w:r w:rsidRPr="007B0587">
        <w:t xml:space="preserve"> unfair and disagrees with the classification </w:t>
      </w:r>
      <w:r w:rsidR="00674EB0" w:rsidRPr="007B0587">
        <w:t xml:space="preserve">of his crime </w:t>
      </w:r>
      <w:r w:rsidRPr="007B0587">
        <w:t>given by the court. He explains again that he was using his own car to work as a taxi driver and provides a detailed narrative of the events of his alleged crime in 2009. He reiterates his claim that he was beaten while in detention and that his first and second lawyer</w:t>
      </w:r>
      <w:r w:rsidR="00140CB2" w:rsidRPr="007B0587">
        <w:t>s</w:t>
      </w:r>
      <w:r w:rsidRPr="007B0587">
        <w:t xml:space="preserve"> advised him not to complain. He challenges the outcome of the internal investigation. </w:t>
      </w:r>
      <w:r w:rsidR="006A0D4A" w:rsidRPr="00C01980">
        <w:t>Mr.</w:t>
      </w:r>
      <w:r w:rsidR="00D9540C">
        <w:t> </w:t>
      </w:r>
      <w:r w:rsidR="006A0D4A" w:rsidRPr="00C01980">
        <w:t xml:space="preserve">Maalem </w:t>
      </w:r>
      <w:r w:rsidR="00AE4456">
        <w:t>also</w:t>
      </w:r>
      <w:r w:rsidR="00AE4456" w:rsidRPr="007B0587">
        <w:t xml:space="preserve"> </w:t>
      </w:r>
      <w:r w:rsidRPr="007B0587">
        <w:t>reiterates his previous arguments with regard to his expulsion from the country.</w:t>
      </w:r>
      <w:r w:rsidR="00B876CF">
        <w:t xml:space="preserve"> </w:t>
      </w:r>
    </w:p>
    <w:p w:rsidR="0003364A" w:rsidRPr="007B0587" w:rsidRDefault="00FD7914" w:rsidP="007B0587">
      <w:pPr>
        <w:pStyle w:val="H23G"/>
      </w:pPr>
      <w:r w:rsidRPr="00E16AEE">
        <w:lastRenderedPageBreak/>
        <w:tab/>
      </w:r>
      <w:r w:rsidRPr="00E16AEE">
        <w:tab/>
      </w:r>
      <w:r w:rsidR="00590830" w:rsidRPr="00E16AEE">
        <w:t>A</w:t>
      </w:r>
      <w:r w:rsidR="0003364A" w:rsidRPr="00E16AEE">
        <w:t xml:space="preserve">dditional observations </w:t>
      </w:r>
    </w:p>
    <w:p w:rsidR="00590830" w:rsidRPr="00D72BF4" w:rsidRDefault="00590830" w:rsidP="007B0587">
      <w:pPr>
        <w:pStyle w:val="H4G"/>
        <w:rPr>
          <w:lang w:val="en-GB"/>
        </w:rPr>
      </w:pPr>
      <w:r w:rsidRPr="00D72BF4">
        <w:rPr>
          <w:lang w:val="en-GB"/>
        </w:rPr>
        <w:tab/>
      </w:r>
      <w:r w:rsidRPr="00D72BF4">
        <w:rPr>
          <w:lang w:val="en-GB"/>
        </w:rPr>
        <w:tab/>
        <w:t>From the State party</w:t>
      </w:r>
    </w:p>
    <w:p w:rsidR="0003364A" w:rsidRPr="007B0587" w:rsidRDefault="0003364A" w:rsidP="007B0587">
      <w:pPr>
        <w:pStyle w:val="SingleTxtG"/>
      </w:pPr>
      <w:r w:rsidRPr="007B0587">
        <w:t>8.1</w:t>
      </w:r>
      <w:r w:rsidRPr="007B0587">
        <w:tab/>
        <w:t xml:space="preserve">On 28 April and 10 October 2017, the State party </w:t>
      </w:r>
      <w:r w:rsidR="00590830" w:rsidRPr="007B0587">
        <w:t xml:space="preserve">again </w:t>
      </w:r>
      <w:r w:rsidRPr="007B0587">
        <w:t>provide</w:t>
      </w:r>
      <w:r w:rsidR="00590830" w:rsidRPr="007B0587">
        <w:t>d</w:t>
      </w:r>
      <w:r w:rsidRPr="007B0587">
        <w:t xml:space="preserve"> a detailed narrative of the facts of </w:t>
      </w:r>
      <w:r w:rsidR="006A0D4A" w:rsidRPr="00C01980">
        <w:t>Mr. Maalem</w:t>
      </w:r>
      <w:r w:rsidRPr="007B0587">
        <w:t xml:space="preserve">’s crime, explaining that all procedural steps against him </w:t>
      </w:r>
      <w:r w:rsidR="009B0DD8" w:rsidRPr="007B0587">
        <w:t xml:space="preserve">had been </w:t>
      </w:r>
      <w:r w:rsidRPr="007B0587">
        <w:t>taken in the presence of his lawyer and that his guilt was fully proven by the testimony of the co-accused</w:t>
      </w:r>
      <w:r w:rsidR="00DE2246" w:rsidRPr="007B0587">
        <w:t xml:space="preserve"> and</w:t>
      </w:r>
      <w:r w:rsidRPr="007B0587">
        <w:t xml:space="preserve"> of the victims who were trafficked, the records/protocols of face-to-face questioning of the co-accused, the questioning of the witnesses and other evidence. In the courtroom</w:t>
      </w:r>
      <w:r w:rsidR="00AE4456">
        <w:t>,</w:t>
      </w:r>
      <w:r w:rsidRPr="007B0587">
        <w:t xml:space="preserve"> he </w:t>
      </w:r>
      <w:r w:rsidR="00DE2246" w:rsidRPr="007B0587">
        <w:t>did</w:t>
      </w:r>
      <w:r w:rsidRPr="007B0587">
        <w:t xml:space="preserve"> not call additional witnesses, nor </w:t>
      </w:r>
      <w:r w:rsidR="00DE2246" w:rsidRPr="007B0587">
        <w:t>did he</w:t>
      </w:r>
      <w:r w:rsidRPr="007B0587">
        <w:t xml:space="preserve"> complain of ill-treatment in the course of the pretrial investigation. The shortcomings in the pretrial investigation raised by </w:t>
      </w:r>
      <w:r w:rsidR="00334218" w:rsidRPr="007B0587">
        <w:t xml:space="preserve">the author </w:t>
      </w:r>
      <w:r w:rsidRPr="007B0587">
        <w:t>and his counsel in their cassation appeals were examined by the cassation court</w:t>
      </w:r>
      <w:r w:rsidR="00AE4456">
        <w:t>,</w:t>
      </w:r>
      <w:r w:rsidRPr="007B0587">
        <w:t xml:space="preserve"> which upheld the first instance verdict</w:t>
      </w:r>
      <w:r w:rsidR="00334218" w:rsidRPr="007B0587">
        <w:t xml:space="preserve"> on 11 June 2010</w:t>
      </w:r>
      <w:r w:rsidRPr="007B0587">
        <w:t xml:space="preserve">. The State party reiterates that </w:t>
      </w:r>
      <w:r w:rsidR="006A0D4A" w:rsidRPr="00C01980">
        <w:t>Mr. Maalem</w:t>
      </w:r>
      <w:r w:rsidR="00DE2246" w:rsidRPr="00C01980">
        <w:t xml:space="preserve"> </w:t>
      </w:r>
      <w:r w:rsidRPr="007B0587">
        <w:t xml:space="preserve">was released on 25 February 2014 and that during his detention in the remand prison he was not subjected to any ill-treatment. </w:t>
      </w:r>
      <w:r w:rsidR="006A0D4A" w:rsidRPr="007B0587">
        <w:t>He</w:t>
      </w:r>
      <w:r w:rsidRPr="007B0587">
        <w:t xml:space="preserve"> was medically examined </w:t>
      </w:r>
      <w:r w:rsidR="00334218" w:rsidRPr="007B0587">
        <w:t xml:space="preserve">upon </w:t>
      </w:r>
      <w:r w:rsidR="006A0D4A" w:rsidRPr="007B0587">
        <w:t>his arrival</w:t>
      </w:r>
      <w:r w:rsidRPr="007B0587">
        <w:t xml:space="preserve"> in the remand prison (full medical examination) and his health was found </w:t>
      </w:r>
      <w:r w:rsidR="00334218" w:rsidRPr="007B0587">
        <w:t xml:space="preserve">to be </w:t>
      </w:r>
      <w:r w:rsidRPr="007B0587">
        <w:t>satisfactory.</w:t>
      </w:r>
      <w:r w:rsidR="00334218" w:rsidRPr="007B0587">
        <w:t xml:space="preserve"> </w:t>
      </w:r>
    </w:p>
    <w:p w:rsidR="0003364A" w:rsidRPr="007B0587" w:rsidRDefault="0003364A" w:rsidP="007B0587">
      <w:pPr>
        <w:pStyle w:val="SingleTxtG"/>
      </w:pPr>
      <w:r w:rsidRPr="007B0587">
        <w:t>8.2</w:t>
      </w:r>
      <w:r w:rsidRPr="007B0587">
        <w:tab/>
        <w:t>In addition, the State party clarifies that</w:t>
      </w:r>
      <w:r w:rsidR="00AE4456">
        <w:t>,</w:t>
      </w:r>
      <w:r w:rsidRPr="007B0587">
        <w:t xml:space="preserve"> in accordance with the </w:t>
      </w:r>
      <w:r w:rsidR="00F87077" w:rsidRPr="007B0587">
        <w:t xml:space="preserve">decision of the Tashkent Mirzo-Ulugbek Civil Inter-district Court </w:t>
      </w:r>
      <w:r w:rsidRPr="007B0587">
        <w:t xml:space="preserve">of 5 May 2014, following </w:t>
      </w:r>
      <w:r w:rsidR="006A0D4A" w:rsidRPr="00C01980">
        <w:t>Ms. Maalem</w:t>
      </w:r>
      <w:r w:rsidRPr="007B0587">
        <w:t xml:space="preserve">’s claim concerning the payment of </w:t>
      </w:r>
      <w:r w:rsidR="00F214E9" w:rsidRPr="007B0587">
        <w:t xml:space="preserve">child support </w:t>
      </w:r>
      <w:r w:rsidRPr="007B0587">
        <w:t xml:space="preserve">by </w:t>
      </w:r>
      <w:r w:rsidR="00332426" w:rsidRPr="00C01980">
        <w:t>Mr. Maalem</w:t>
      </w:r>
      <w:r w:rsidRPr="007B0587">
        <w:t xml:space="preserve">, the execution of the </w:t>
      </w:r>
      <w:r w:rsidR="00332426" w:rsidRPr="007B0587">
        <w:t>expulsion</w:t>
      </w:r>
      <w:r w:rsidRPr="007B0587">
        <w:t xml:space="preserve"> decision </w:t>
      </w:r>
      <w:r w:rsidR="000C63F1" w:rsidRPr="007B0587">
        <w:t xml:space="preserve">has been </w:t>
      </w:r>
      <w:r w:rsidRPr="007B0587">
        <w:t xml:space="preserve">temporarily suspended and his resident permit extended until 17 April 2020. </w:t>
      </w:r>
    </w:p>
    <w:p w:rsidR="0003364A" w:rsidRPr="00D72BF4" w:rsidRDefault="00FD7914" w:rsidP="007B0587">
      <w:pPr>
        <w:pStyle w:val="H4G"/>
        <w:rPr>
          <w:bCs/>
          <w:lang w:val="en-GB"/>
        </w:rPr>
      </w:pPr>
      <w:r w:rsidRPr="00D72BF4">
        <w:rPr>
          <w:lang w:val="en-GB"/>
        </w:rPr>
        <w:tab/>
      </w:r>
      <w:r w:rsidRPr="00D72BF4">
        <w:rPr>
          <w:lang w:val="en-GB"/>
        </w:rPr>
        <w:tab/>
      </w:r>
      <w:r w:rsidR="002E1880" w:rsidRPr="00D72BF4">
        <w:rPr>
          <w:bCs/>
          <w:lang w:val="en-GB"/>
        </w:rPr>
        <w:t>From the authors</w:t>
      </w:r>
    </w:p>
    <w:p w:rsidR="0003364A" w:rsidRPr="007B0587" w:rsidRDefault="0003364A" w:rsidP="007B0587">
      <w:pPr>
        <w:pStyle w:val="SingleTxtG"/>
      </w:pPr>
      <w:r w:rsidRPr="007B0587">
        <w:t>9.1</w:t>
      </w:r>
      <w:r w:rsidRPr="007B0587">
        <w:tab/>
        <w:t xml:space="preserve">On 17 August 2017, </w:t>
      </w:r>
      <w:r w:rsidR="00332426" w:rsidRPr="00C01980">
        <w:t xml:space="preserve">Mr. Maalem </w:t>
      </w:r>
      <w:r w:rsidRPr="007B0587">
        <w:t>commented on the State party</w:t>
      </w:r>
      <w:r w:rsidR="002E1880" w:rsidRPr="007B0587">
        <w:t>’s</w:t>
      </w:r>
      <w:r w:rsidRPr="007B0587">
        <w:t xml:space="preserve"> additional observations. He reiterates his claims in relation to the criminal proceeding against him, both at the pretrial and at the trial phase. He adds new claims that n</w:t>
      </w:r>
      <w:r w:rsidR="00DE2246" w:rsidRPr="007B0587">
        <w:t>either</w:t>
      </w:r>
      <w:r w:rsidRPr="007B0587">
        <w:t xml:space="preserve"> the co-accused n</w:t>
      </w:r>
      <w:r w:rsidR="00DE2246" w:rsidRPr="007B0587">
        <w:t>or</w:t>
      </w:r>
      <w:r w:rsidRPr="007B0587">
        <w:t xml:space="preserve"> the witnesses </w:t>
      </w:r>
      <w:r w:rsidR="00D72BF4">
        <w:t>–</w:t>
      </w:r>
      <w:r w:rsidRPr="007B0587">
        <w:t xml:space="preserve"> the women victims of trafficking</w:t>
      </w:r>
      <w:r w:rsidR="00DE2246" w:rsidRPr="007B0587">
        <w:t xml:space="preserve"> </w:t>
      </w:r>
      <w:r w:rsidR="00D72BF4">
        <w:t>–</w:t>
      </w:r>
      <w:r w:rsidR="00DB6A39" w:rsidRPr="007B0587">
        <w:t>“</w:t>
      </w:r>
      <w:r w:rsidRPr="007B0587">
        <w:t>said anything against him</w:t>
      </w:r>
      <w:r w:rsidR="00DB6A39" w:rsidRPr="007B0587">
        <w:t>”</w:t>
      </w:r>
      <w:r w:rsidRPr="007B0587">
        <w:t xml:space="preserve"> in the courtroom</w:t>
      </w:r>
      <w:r w:rsidR="00DE2246" w:rsidRPr="007B0587">
        <w:t>;</w:t>
      </w:r>
      <w:r w:rsidRPr="007B0587">
        <w:t xml:space="preserve"> that the </w:t>
      </w:r>
      <w:r w:rsidR="00DB6A39" w:rsidRPr="007B0587">
        <w:t>c</w:t>
      </w:r>
      <w:r w:rsidRPr="007B0587">
        <w:t xml:space="preserve">ourt only took into consideration their earlier testimony given during the pretrial investigation; and that the </w:t>
      </w:r>
      <w:r w:rsidR="00DB6A39" w:rsidRPr="007B0587">
        <w:t>c</w:t>
      </w:r>
      <w:r w:rsidRPr="007B0587">
        <w:t xml:space="preserve">ourt denied his and his counsel’s motions to hear three additional witnesses. </w:t>
      </w:r>
    </w:p>
    <w:p w:rsidR="0003364A" w:rsidRPr="007B0587" w:rsidRDefault="0003364A" w:rsidP="007B0587">
      <w:pPr>
        <w:pStyle w:val="SingleTxtG"/>
      </w:pPr>
      <w:r w:rsidRPr="007B0587">
        <w:t>9.2</w:t>
      </w:r>
      <w:r w:rsidRPr="007B0587">
        <w:tab/>
        <w:t xml:space="preserve">He maintains his claim that he was beaten in the remand prison by a police officer and by a cellmate. As </w:t>
      </w:r>
      <w:r w:rsidR="000A7A8F">
        <w:t>regards</w:t>
      </w:r>
      <w:r w:rsidR="000A7A8F" w:rsidRPr="007B0587">
        <w:t xml:space="preserve"> </w:t>
      </w:r>
      <w:r w:rsidRPr="007B0587">
        <w:t>the forensic medical examination, he rebuts the State party</w:t>
      </w:r>
      <w:r w:rsidR="00DB6A39" w:rsidRPr="007B0587">
        <w:t>’s</w:t>
      </w:r>
      <w:r w:rsidRPr="007B0587">
        <w:t xml:space="preserve"> argument</w:t>
      </w:r>
      <w:r w:rsidR="00332426" w:rsidRPr="007B0587">
        <w:t>,</w:t>
      </w:r>
      <w:r w:rsidRPr="007B0587">
        <w:t xml:space="preserve"> clarifying that the examination was conducted two years after the beatings had taken place and therefore no traces could ha</w:t>
      </w:r>
      <w:r w:rsidR="00DE2246" w:rsidRPr="007B0587">
        <w:t>ve</w:t>
      </w:r>
      <w:r w:rsidRPr="007B0587">
        <w:t xml:space="preserve"> remained, except his headaches.</w:t>
      </w:r>
    </w:p>
    <w:p w:rsidR="001C3AF1" w:rsidRPr="00D72BF4" w:rsidRDefault="00FF7735" w:rsidP="007B0587">
      <w:pPr>
        <w:pStyle w:val="H4G"/>
        <w:rPr>
          <w:lang w:val="en-GB"/>
        </w:rPr>
      </w:pPr>
      <w:r w:rsidRPr="00D72BF4">
        <w:rPr>
          <w:lang w:val="en-GB"/>
        </w:rPr>
        <w:tab/>
      </w:r>
      <w:r w:rsidRPr="00D72BF4">
        <w:rPr>
          <w:lang w:val="en-GB"/>
        </w:rPr>
        <w:tab/>
      </w:r>
      <w:r w:rsidR="001C3AF1" w:rsidRPr="00D72BF4">
        <w:rPr>
          <w:lang w:val="en-GB"/>
        </w:rPr>
        <w:t>From the State party</w:t>
      </w:r>
    </w:p>
    <w:p w:rsidR="0003364A" w:rsidRPr="00E16AEE" w:rsidRDefault="00005848" w:rsidP="0003364A">
      <w:pPr>
        <w:spacing w:before="240" w:after="120"/>
        <w:ind w:left="1134" w:right="1134"/>
        <w:jc w:val="both"/>
      </w:pPr>
      <w:r w:rsidRPr="00E16AEE">
        <w:t>9.3</w:t>
      </w:r>
      <w:r w:rsidR="0003364A" w:rsidRPr="00E16AEE">
        <w:tab/>
        <w:t xml:space="preserve">On 10 October 2017, the State party repeated its previous submissions regarding the </w:t>
      </w:r>
      <w:r w:rsidR="00332426" w:rsidRPr="00E16AEE">
        <w:t>2009</w:t>
      </w:r>
      <w:r w:rsidR="0003364A" w:rsidRPr="00E16AEE">
        <w:t xml:space="preserve"> criminal trial, alleged ill-treatment and expulsion.</w:t>
      </w:r>
    </w:p>
    <w:p w:rsidR="0003364A" w:rsidRPr="007B0587" w:rsidRDefault="00FD7914" w:rsidP="007B0587">
      <w:pPr>
        <w:pStyle w:val="H23G"/>
      </w:pPr>
      <w:r w:rsidRPr="00E16AEE">
        <w:tab/>
      </w:r>
      <w:r w:rsidRPr="00E16AEE">
        <w:tab/>
      </w:r>
      <w:r w:rsidR="0003364A" w:rsidRPr="00E16AEE">
        <w:t>Issues and proceedings before the Committee</w:t>
      </w:r>
    </w:p>
    <w:p w:rsidR="0003364A" w:rsidRPr="00D72BF4" w:rsidRDefault="0003364A" w:rsidP="007B0587">
      <w:pPr>
        <w:pStyle w:val="H4G"/>
        <w:rPr>
          <w:lang w:val="en-GB"/>
        </w:rPr>
      </w:pPr>
      <w:r w:rsidRPr="00D72BF4">
        <w:rPr>
          <w:lang w:val="en-GB"/>
        </w:rPr>
        <w:tab/>
      </w:r>
      <w:r w:rsidRPr="00D72BF4">
        <w:rPr>
          <w:lang w:val="en-GB"/>
        </w:rPr>
        <w:tab/>
        <w:t>Consideration of admissibility</w:t>
      </w:r>
    </w:p>
    <w:p w:rsidR="0003364A" w:rsidRPr="00E16AEE" w:rsidRDefault="000C08E2" w:rsidP="007B0587">
      <w:pPr>
        <w:pStyle w:val="SingleTxtG"/>
      </w:pPr>
      <w:r w:rsidRPr="00E16AEE">
        <w:t>10</w:t>
      </w:r>
      <w:r w:rsidR="0003364A" w:rsidRPr="00E16AEE">
        <w:t>.1</w:t>
      </w:r>
      <w:r w:rsidR="00FF7735">
        <w:tab/>
      </w:r>
      <w:r w:rsidR="0003364A" w:rsidRPr="00E16AEE">
        <w:t xml:space="preserve">Before considering any claims contained in a communication, the Committee must decide, in accordance with rule 93 of its rules of procedure, whether it is admissible under the Optional Protocol. </w:t>
      </w:r>
    </w:p>
    <w:p w:rsidR="0003364A" w:rsidRPr="00E16AEE" w:rsidRDefault="000C08E2" w:rsidP="007B0587">
      <w:pPr>
        <w:pStyle w:val="SingleTxtG"/>
      </w:pPr>
      <w:r w:rsidRPr="00E16AEE">
        <w:t>10</w:t>
      </w:r>
      <w:r w:rsidR="0003364A" w:rsidRPr="00E16AEE">
        <w:t>.2</w:t>
      </w:r>
      <w:r w:rsidR="00E20FF5" w:rsidRPr="00E16AEE">
        <w:tab/>
      </w:r>
      <w:r w:rsidR="0003364A" w:rsidRPr="00E16AEE">
        <w:t xml:space="preserve">The Committee has ascertained, as required under article 5 (2) (a) of the Optional Protocol, that the same matter is not being examined under another procedure of international investigation or settlement. </w:t>
      </w:r>
    </w:p>
    <w:p w:rsidR="0003364A" w:rsidRPr="00E16AEE" w:rsidRDefault="000C08E2" w:rsidP="007B0587">
      <w:pPr>
        <w:pStyle w:val="SingleTxtG"/>
      </w:pPr>
      <w:r w:rsidRPr="00E16AEE">
        <w:t>10</w:t>
      </w:r>
      <w:r w:rsidR="0003364A" w:rsidRPr="00E16AEE">
        <w:t>.3</w:t>
      </w:r>
      <w:r w:rsidR="0003364A" w:rsidRPr="00E16AEE">
        <w:tab/>
        <w:t xml:space="preserve">The Committee notes the authors’ claim that they have exhausted all effective domestic remedies available to them. In the absence of any objection by the State party in that connection, the Committee considers that the requirements of article 5 (2) (b) of the Optional Protocol have been met. </w:t>
      </w:r>
    </w:p>
    <w:p w:rsidR="0003364A" w:rsidRPr="007B0587" w:rsidRDefault="000C08E2" w:rsidP="007B0587">
      <w:pPr>
        <w:pStyle w:val="SingleTxtG"/>
      </w:pPr>
      <w:r w:rsidRPr="00E16AEE">
        <w:lastRenderedPageBreak/>
        <w:t>10</w:t>
      </w:r>
      <w:r w:rsidR="0003364A" w:rsidRPr="00E16AEE">
        <w:t>.4</w:t>
      </w:r>
      <w:r w:rsidR="0003364A" w:rsidRPr="00E16AEE">
        <w:tab/>
      </w:r>
      <w:r w:rsidR="0003364A" w:rsidRPr="007B0587">
        <w:t xml:space="preserve">The Committee takes note of </w:t>
      </w:r>
      <w:r w:rsidR="00332426" w:rsidRPr="00C01980">
        <w:t>Mr. Maalem</w:t>
      </w:r>
      <w:r w:rsidR="0003364A" w:rsidRPr="007B0587">
        <w:t xml:space="preserve">’s allegations of ill-treatment by police officers and cellmates during the pretrial detention with the aim </w:t>
      </w:r>
      <w:r w:rsidR="00E20FF5" w:rsidRPr="007B0587">
        <w:t xml:space="preserve">of </w:t>
      </w:r>
      <w:r w:rsidR="0003364A" w:rsidRPr="007B0587">
        <w:t>extract</w:t>
      </w:r>
      <w:r w:rsidR="00E20FF5" w:rsidRPr="007B0587">
        <w:t>ing</w:t>
      </w:r>
      <w:r w:rsidR="0003364A" w:rsidRPr="007B0587">
        <w:t xml:space="preserve"> money and intimidat</w:t>
      </w:r>
      <w:r w:rsidR="000A7A8F">
        <w:t>ing</w:t>
      </w:r>
      <w:r w:rsidR="0003364A" w:rsidRPr="007B0587">
        <w:t xml:space="preserve"> him</w:t>
      </w:r>
      <w:r w:rsidR="0003364A" w:rsidRPr="00C01980">
        <w:rPr>
          <w:bCs/>
        </w:rPr>
        <w:t xml:space="preserve">. </w:t>
      </w:r>
      <w:r w:rsidR="00296C4C" w:rsidRPr="00C01980">
        <w:rPr>
          <w:bCs/>
        </w:rPr>
        <w:t xml:space="preserve">That </w:t>
      </w:r>
      <w:r w:rsidR="00332426" w:rsidRPr="007E0164">
        <w:t xml:space="preserve">Mr. Maalem </w:t>
      </w:r>
      <w:r w:rsidR="0003364A" w:rsidRPr="007B0587">
        <w:t xml:space="preserve">raised this allegation before national authorities, notably </w:t>
      </w:r>
      <w:r w:rsidR="00E20FF5" w:rsidRPr="007B0587">
        <w:t xml:space="preserve">with </w:t>
      </w:r>
      <w:r w:rsidR="0003364A" w:rsidRPr="007B0587">
        <w:t>the Prosecutor</w:t>
      </w:r>
      <w:r w:rsidR="00296C4C" w:rsidRPr="007B0587">
        <w:t>’</w:t>
      </w:r>
      <w:r w:rsidR="0003364A" w:rsidRPr="007B0587">
        <w:t xml:space="preserve">s Office, is not refuted by the State party. In this regard, the Committee takes note of the State party’s argument that an internal investigation took place and on </w:t>
      </w:r>
      <w:r w:rsidR="00556E74" w:rsidRPr="007B0587">
        <w:t xml:space="preserve">that </w:t>
      </w:r>
      <w:r w:rsidR="0003364A" w:rsidRPr="007B0587">
        <w:t>basis the Prosecutor</w:t>
      </w:r>
      <w:r w:rsidR="00296C4C" w:rsidRPr="007B0587">
        <w:t>’</w:t>
      </w:r>
      <w:r w:rsidR="0003364A" w:rsidRPr="007B0587">
        <w:t xml:space="preserve">s </w:t>
      </w:r>
      <w:r w:rsidR="00296C4C" w:rsidRPr="007B0587">
        <w:t>O</w:t>
      </w:r>
      <w:r w:rsidR="0003364A" w:rsidRPr="007B0587">
        <w:t xml:space="preserve">ffice refused to initiate criminal proceedings for lack of corpus delicti. From the </w:t>
      </w:r>
      <w:r w:rsidR="00296C4C" w:rsidRPr="007B0587">
        <w:t xml:space="preserve">information </w:t>
      </w:r>
      <w:r w:rsidR="0003364A" w:rsidRPr="007B0587">
        <w:t xml:space="preserve">before it, the Committee is not in a position to conclude that </w:t>
      </w:r>
      <w:r w:rsidR="00332426" w:rsidRPr="00C01980">
        <w:t xml:space="preserve">Mr. Maalem </w:t>
      </w:r>
      <w:r w:rsidR="0003364A" w:rsidRPr="007B0587">
        <w:t xml:space="preserve">was subjected to treatment contrary to article 7 of the Covenant. </w:t>
      </w:r>
      <w:r w:rsidR="0003364A" w:rsidRPr="00C01980">
        <w:t xml:space="preserve">In the absence of further </w:t>
      </w:r>
      <w:r w:rsidR="0003364A" w:rsidRPr="007E0164">
        <w:t>information from the author</w:t>
      </w:r>
      <w:r w:rsidR="00332426" w:rsidRPr="007E0164">
        <w:t>s</w:t>
      </w:r>
      <w:r w:rsidR="0003364A" w:rsidRPr="00E16AEE">
        <w:t xml:space="preserve"> in this respect, the Committee concludes that </w:t>
      </w:r>
      <w:r w:rsidR="00332426" w:rsidRPr="00E16AEE">
        <w:t>the</w:t>
      </w:r>
      <w:r w:rsidR="0003364A" w:rsidRPr="00E16AEE">
        <w:t xml:space="preserve"> allegations under article 7 have not been sufficiently substantiated for purposes of admissibility and declares them inadmissible under article 2 of the Optional Protocol.</w:t>
      </w:r>
    </w:p>
    <w:p w:rsidR="0003364A" w:rsidRPr="007E0164" w:rsidRDefault="000C08E2" w:rsidP="007B0587">
      <w:pPr>
        <w:pStyle w:val="SingleTxtG"/>
      </w:pPr>
      <w:r w:rsidRPr="007B0587">
        <w:t>10</w:t>
      </w:r>
      <w:r w:rsidR="0003364A" w:rsidRPr="007B0587">
        <w:t>.5</w:t>
      </w:r>
      <w:r w:rsidR="0003364A" w:rsidRPr="007B0587">
        <w:tab/>
        <w:t xml:space="preserve">The Committee notes </w:t>
      </w:r>
      <w:r w:rsidR="00332426" w:rsidRPr="00C01980">
        <w:t>Mr. Maalem</w:t>
      </w:r>
      <w:r w:rsidR="0003364A" w:rsidRPr="007B0587">
        <w:t xml:space="preserve">’s claims under article 14 of the Covenant that fair trial guarantees were breached throughout the criminal proceedings, in particular that he disagrees with the sentence against him and with the </w:t>
      </w:r>
      <w:r w:rsidR="00296C4C" w:rsidRPr="007B0587">
        <w:t>c</w:t>
      </w:r>
      <w:r w:rsidR="0003364A" w:rsidRPr="007B0587">
        <w:t xml:space="preserve">ourt’s assessment of the evidence; that his and his lawyer’s motions to hear additional witnesses on his behalf were denied; that the </w:t>
      </w:r>
      <w:r w:rsidR="009F37C4" w:rsidRPr="007B0587">
        <w:t>c</w:t>
      </w:r>
      <w:r w:rsidR="0003364A" w:rsidRPr="007B0587">
        <w:t xml:space="preserve">ourt accepted testimonies of the co-accused and the women victims of trafficking given at the pretrial phase, </w:t>
      </w:r>
      <w:r w:rsidR="009F37C4" w:rsidRPr="007B0587">
        <w:t xml:space="preserve">some of which </w:t>
      </w:r>
      <w:r w:rsidR="0003364A" w:rsidRPr="007B0587">
        <w:t>they retracted in the courtroom</w:t>
      </w:r>
      <w:r w:rsidR="00005848" w:rsidRPr="007B0587">
        <w:t>. The Committee further notes his claim</w:t>
      </w:r>
      <w:r w:rsidR="00F66366" w:rsidRPr="007B0587">
        <w:t>s</w:t>
      </w:r>
      <w:r w:rsidR="0003364A" w:rsidRPr="007B0587">
        <w:t xml:space="preserve"> that</w:t>
      </w:r>
      <w:r w:rsidR="009F37C4" w:rsidRPr="007B0587">
        <w:t>,</w:t>
      </w:r>
      <w:r w:rsidR="0003364A" w:rsidRPr="007B0587">
        <w:t xml:space="preserve"> during the court hearing of 24 February 2014 when he was granted amnesty, </w:t>
      </w:r>
      <w:r w:rsidR="0003364A" w:rsidRPr="00C01980">
        <w:rPr>
          <w:iCs/>
        </w:rPr>
        <w:t xml:space="preserve">he was not informed about his expulsion </w:t>
      </w:r>
      <w:r w:rsidR="0003364A" w:rsidRPr="007E0164">
        <w:rPr>
          <w:iCs/>
        </w:rPr>
        <w:t xml:space="preserve">from Uzbekistan; </w:t>
      </w:r>
      <w:r w:rsidR="00F66366" w:rsidRPr="007E0164">
        <w:rPr>
          <w:iCs/>
        </w:rPr>
        <w:t xml:space="preserve">and that </w:t>
      </w:r>
      <w:r w:rsidR="0003364A" w:rsidRPr="00E16AEE">
        <w:rPr>
          <w:iCs/>
        </w:rPr>
        <w:t>the hearing was held partly in Uzbek and partly in Russian</w:t>
      </w:r>
      <w:r w:rsidR="00F66366" w:rsidRPr="00E16AEE">
        <w:rPr>
          <w:iCs/>
        </w:rPr>
        <w:t xml:space="preserve"> and the court’s decision was delivered only in Uzbek</w:t>
      </w:r>
      <w:r w:rsidR="0003364A" w:rsidRPr="00E16AEE">
        <w:rPr>
          <w:iCs/>
        </w:rPr>
        <w:t xml:space="preserve">, </w:t>
      </w:r>
      <w:r w:rsidR="00C60107" w:rsidRPr="00E16AEE">
        <w:rPr>
          <w:iCs/>
        </w:rPr>
        <w:t xml:space="preserve">whereas </w:t>
      </w:r>
      <w:r w:rsidR="0003364A" w:rsidRPr="00E16AEE">
        <w:rPr>
          <w:iCs/>
        </w:rPr>
        <w:t xml:space="preserve">he speaks </w:t>
      </w:r>
      <w:r w:rsidR="00F66366" w:rsidRPr="00E16AEE">
        <w:rPr>
          <w:iCs/>
        </w:rPr>
        <w:t xml:space="preserve">only </w:t>
      </w:r>
      <w:r w:rsidR="0003364A" w:rsidRPr="00E16AEE">
        <w:rPr>
          <w:iCs/>
        </w:rPr>
        <w:t>Arabic, French, English and Russian.</w:t>
      </w:r>
      <w:r w:rsidR="00F66366" w:rsidRPr="00E16AEE">
        <w:rPr>
          <w:iCs/>
        </w:rPr>
        <w:t xml:space="preserve"> </w:t>
      </w:r>
      <w:r w:rsidR="007D42A0" w:rsidRPr="00E16AEE">
        <w:rPr>
          <w:iCs/>
        </w:rPr>
        <w:t>The Committee</w:t>
      </w:r>
      <w:r w:rsidR="00784261" w:rsidRPr="00E16AEE">
        <w:rPr>
          <w:iCs/>
        </w:rPr>
        <w:t xml:space="preserve"> notes</w:t>
      </w:r>
      <w:r w:rsidR="007D42A0" w:rsidRPr="00E16AEE">
        <w:rPr>
          <w:iCs/>
        </w:rPr>
        <w:t xml:space="preserve">, however, that there is no record </w:t>
      </w:r>
      <w:r w:rsidR="00784261" w:rsidRPr="00E16AEE">
        <w:rPr>
          <w:iCs/>
        </w:rPr>
        <w:t>in</w:t>
      </w:r>
      <w:r w:rsidR="007D42A0" w:rsidRPr="00E16AEE">
        <w:rPr>
          <w:iCs/>
        </w:rPr>
        <w:t xml:space="preserve"> the file that Mr. Maalem raised this claim before the domestic authorities at the material time.</w:t>
      </w:r>
      <w:r w:rsidR="0003364A" w:rsidRPr="00E16AEE">
        <w:rPr>
          <w:iCs/>
        </w:rPr>
        <w:t xml:space="preserve"> The Committee takes note of the State party’s assertion</w:t>
      </w:r>
      <w:r w:rsidR="00784261" w:rsidRPr="00E16AEE">
        <w:rPr>
          <w:iCs/>
        </w:rPr>
        <w:t>s</w:t>
      </w:r>
      <w:r w:rsidR="0003364A" w:rsidRPr="00E16AEE">
        <w:rPr>
          <w:iCs/>
        </w:rPr>
        <w:t xml:space="preserve"> that </w:t>
      </w:r>
      <w:r w:rsidR="00332426" w:rsidRPr="00E16AEE">
        <w:t xml:space="preserve">Mr. Maalem </w:t>
      </w:r>
      <w:r w:rsidR="0003364A" w:rsidRPr="00E16AEE">
        <w:rPr>
          <w:iCs/>
        </w:rPr>
        <w:t>was represented through</w:t>
      </w:r>
      <w:r w:rsidR="00784261" w:rsidRPr="00E16AEE">
        <w:rPr>
          <w:iCs/>
        </w:rPr>
        <w:t>out</w:t>
      </w:r>
      <w:r w:rsidR="0003364A" w:rsidRPr="00E16AEE">
        <w:rPr>
          <w:iCs/>
        </w:rPr>
        <w:t xml:space="preserve"> the proceedings by a lawyer of his own choosing and </w:t>
      </w:r>
      <w:r w:rsidR="00784261" w:rsidRPr="00E16AEE">
        <w:rPr>
          <w:iCs/>
        </w:rPr>
        <w:t xml:space="preserve">that </w:t>
      </w:r>
      <w:r w:rsidR="0003364A" w:rsidRPr="007B0587">
        <w:rPr>
          <w:iCs/>
        </w:rPr>
        <w:t xml:space="preserve">all procedural steps against him were taken in the presence of his lawyer. Furthermore, his guilt was fully proven by </w:t>
      </w:r>
      <w:r w:rsidR="00215F98" w:rsidRPr="007B0587">
        <w:rPr>
          <w:iCs/>
        </w:rPr>
        <w:t xml:space="preserve">the </w:t>
      </w:r>
      <w:r w:rsidR="0003364A" w:rsidRPr="007B0587">
        <w:rPr>
          <w:iCs/>
        </w:rPr>
        <w:t xml:space="preserve">testimony of </w:t>
      </w:r>
      <w:r w:rsidR="00215F98" w:rsidRPr="007B0587">
        <w:rPr>
          <w:iCs/>
        </w:rPr>
        <w:t xml:space="preserve">the </w:t>
      </w:r>
      <w:r w:rsidR="0003364A" w:rsidRPr="007B0587">
        <w:rPr>
          <w:iCs/>
        </w:rPr>
        <w:t xml:space="preserve">co-accused, </w:t>
      </w:r>
      <w:r w:rsidR="00215F98" w:rsidRPr="007B0587">
        <w:rPr>
          <w:iCs/>
        </w:rPr>
        <w:t xml:space="preserve">the </w:t>
      </w:r>
      <w:r w:rsidR="0003364A" w:rsidRPr="007B0587">
        <w:rPr>
          <w:iCs/>
        </w:rPr>
        <w:t>trafficked victims, records and protocols of face-to-face questioning</w:t>
      </w:r>
      <w:r w:rsidR="00215F98" w:rsidRPr="007B0587">
        <w:rPr>
          <w:iCs/>
        </w:rPr>
        <w:t xml:space="preserve"> of the co-accused</w:t>
      </w:r>
      <w:r w:rsidR="0003364A" w:rsidRPr="007B0587">
        <w:rPr>
          <w:iCs/>
        </w:rPr>
        <w:t xml:space="preserve">, questioning of witnesses and other evidence. The Committee also notes the State party’s clarification that in the courtroom </w:t>
      </w:r>
      <w:r w:rsidR="00332426" w:rsidRPr="00C01980">
        <w:t xml:space="preserve">Mr. Maalem </w:t>
      </w:r>
      <w:r w:rsidR="0003364A" w:rsidRPr="007B0587">
        <w:rPr>
          <w:iCs/>
        </w:rPr>
        <w:t xml:space="preserve">did not call additional witnesses, nor </w:t>
      </w:r>
      <w:r w:rsidR="001B5247" w:rsidRPr="007B0587">
        <w:rPr>
          <w:iCs/>
        </w:rPr>
        <w:t>did he</w:t>
      </w:r>
      <w:r w:rsidR="009E1F35" w:rsidRPr="007B0587">
        <w:rPr>
          <w:iCs/>
        </w:rPr>
        <w:t xml:space="preserve"> </w:t>
      </w:r>
      <w:r w:rsidR="0003364A" w:rsidRPr="007B0587">
        <w:rPr>
          <w:iCs/>
        </w:rPr>
        <w:t xml:space="preserve">complain of ill-treatment in the course of the pretrial investigation. </w:t>
      </w:r>
      <w:r w:rsidR="00E5208B" w:rsidRPr="00C01980">
        <w:t>Based on the information before it, t</w:t>
      </w:r>
      <w:r w:rsidR="0003364A" w:rsidRPr="00C01980">
        <w:t xml:space="preserve">he Committee </w:t>
      </w:r>
      <w:r w:rsidR="00E5208B" w:rsidRPr="007E0164">
        <w:t xml:space="preserve">considers that the author did not sufficiently develop his claims </w:t>
      </w:r>
      <w:r w:rsidR="00F85C08" w:rsidRPr="00E16AEE">
        <w:t xml:space="preserve">regarding </w:t>
      </w:r>
      <w:r w:rsidR="00E5208B" w:rsidRPr="00E16AEE">
        <w:t xml:space="preserve">the right to a fair trial and </w:t>
      </w:r>
      <w:r w:rsidR="0003364A" w:rsidRPr="00E16AEE">
        <w:t xml:space="preserve">declares these claims </w:t>
      </w:r>
      <w:r w:rsidR="0003364A" w:rsidRPr="00E16AEE">
        <w:rPr>
          <w:lang w:eastAsia="ja-JP"/>
        </w:rPr>
        <w:t>insufficiently substantiated and</w:t>
      </w:r>
      <w:r w:rsidR="0003364A" w:rsidRPr="00E16AEE">
        <w:t xml:space="preserve"> inadmissible under article 2 of the Optional Protocol.</w:t>
      </w:r>
      <w:r w:rsidR="00B876CF">
        <w:t xml:space="preserve"> </w:t>
      </w:r>
    </w:p>
    <w:p w:rsidR="0003364A" w:rsidRPr="007B0587" w:rsidRDefault="000C08E2" w:rsidP="007B0587">
      <w:pPr>
        <w:pStyle w:val="SingleTxtG"/>
      </w:pPr>
      <w:r w:rsidRPr="007B0587">
        <w:t>10</w:t>
      </w:r>
      <w:r w:rsidR="0003364A" w:rsidRPr="007B0587">
        <w:t>.6</w:t>
      </w:r>
      <w:r w:rsidR="0003364A" w:rsidRPr="007B0587">
        <w:tab/>
        <w:t>The Committee considers that the authors have sufficiently substantiated their remaining claims, raising issues under articles 23 and 24 of the Covenant</w:t>
      </w:r>
      <w:r w:rsidR="00E5208B" w:rsidRPr="007B0587">
        <w:t>. It also considers that the authors’ claims also raise issues under article 17 of the Covenant. The Committee</w:t>
      </w:r>
      <w:r w:rsidR="00DE2246" w:rsidRPr="007B0587">
        <w:t xml:space="preserve"> </w:t>
      </w:r>
      <w:r w:rsidR="00E5208B" w:rsidRPr="007B0587">
        <w:t>t</w:t>
      </w:r>
      <w:r w:rsidR="0003364A" w:rsidRPr="007B0587">
        <w:t xml:space="preserve">herefore proceeds </w:t>
      </w:r>
      <w:r w:rsidR="00215F98" w:rsidRPr="007B0587">
        <w:t>with its</w:t>
      </w:r>
      <w:r w:rsidR="0003364A" w:rsidRPr="007B0587">
        <w:t xml:space="preserve"> </w:t>
      </w:r>
      <w:r w:rsidR="00F4438F" w:rsidRPr="007B0587">
        <w:t xml:space="preserve">consideration </w:t>
      </w:r>
      <w:r w:rsidR="00786839" w:rsidRPr="007B0587">
        <w:t>of</w:t>
      </w:r>
      <w:r w:rsidR="0003364A" w:rsidRPr="007B0587">
        <w:t xml:space="preserve"> the merits. </w:t>
      </w:r>
    </w:p>
    <w:p w:rsidR="0003364A" w:rsidRPr="00D72BF4" w:rsidRDefault="0003364A" w:rsidP="007B0587">
      <w:pPr>
        <w:pStyle w:val="H4G"/>
        <w:rPr>
          <w:lang w:val="en-GB"/>
        </w:rPr>
      </w:pPr>
      <w:r w:rsidRPr="00D72BF4">
        <w:rPr>
          <w:lang w:val="en-GB"/>
        </w:rPr>
        <w:tab/>
      </w:r>
      <w:r w:rsidRPr="00D72BF4">
        <w:rPr>
          <w:lang w:val="en-GB"/>
        </w:rPr>
        <w:tab/>
        <w:t xml:space="preserve">Consideration of </w:t>
      </w:r>
      <w:r w:rsidR="00786839" w:rsidRPr="00D72BF4">
        <w:rPr>
          <w:lang w:val="en-GB"/>
        </w:rPr>
        <w:t xml:space="preserve">the </w:t>
      </w:r>
      <w:r w:rsidRPr="00D72BF4">
        <w:rPr>
          <w:lang w:val="en-GB"/>
        </w:rPr>
        <w:t>merits</w:t>
      </w:r>
    </w:p>
    <w:p w:rsidR="0003364A" w:rsidRPr="00E16AEE" w:rsidRDefault="000C08E2" w:rsidP="007B0587">
      <w:pPr>
        <w:pStyle w:val="SingleTxtG"/>
      </w:pPr>
      <w:r w:rsidRPr="00E16AEE">
        <w:t>11</w:t>
      </w:r>
      <w:r w:rsidR="0003364A" w:rsidRPr="00E16AEE">
        <w:t>.1</w:t>
      </w:r>
      <w:r w:rsidR="0003364A" w:rsidRPr="00E16AEE">
        <w:tab/>
        <w:t xml:space="preserve">The Committee has considered the communication in the light of all the information submitted </w:t>
      </w:r>
      <w:r w:rsidR="00786839" w:rsidRPr="00E16AEE">
        <w:t xml:space="preserve">to it </w:t>
      </w:r>
      <w:r w:rsidR="0003364A" w:rsidRPr="00E16AEE">
        <w:t>by the parties, in accordance with article 5</w:t>
      </w:r>
      <w:r w:rsidR="00F85C08" w:rsidRPr="00E16AEE">
        <w:t xml:space="preserve"> </w:t>
      </w:r>
      <w:r w:rsidR="0003364A" w:rsidRPr="00E16AEE">
        <w:t>(1) of the Optional Protocol.</w:t>
      </w:r>
    </w:p>
    <w:p w:rsidR="0003364A" w:rsidRPr="00C01980" w:rsidRDefault="000C08E2" w:rsidP="007B0587">
      <w:pPr>
        <w:pStyle w:val="SingleTxtG"/>
      </w:pPr>
      <w:r w:rsidRPr="00E16AEE">
        <w:t>11</w:t>
      </w:r>
      <w:r w:rsidR="0003364A" w:rsidRPr="00E16AEE">
        <w:t>.2</w:t>
      </w:r>
      <w:r w:rsidR="0003364A" w:rsidRPr="00E16AEE">
        <w:tab/>
        <w:t xml:space="preserve">With respect to the claim of </w:t>
      </w:r>
      <w:r w:rsidR="00B876CF">
        <w:t xml:space="preserve">a </w:t>
      </w:r>
      <w:r w:rsidR="0003364A" w:rsidRPr="007E0164">
        <w:t>violation of</w:t>
      </w:r>
      <w:r w:rsidR="009E1F35" w:rsidRPr="00E16AEE">
        <w:t xml:space="preserve"> </w:t>
      </w:r>
      <w:r w:rsidR="0003364A" w:rsidRPr="00E16AEE">
        <w:t xml:space="preserve">article 23, the Committee observes that to separate </w:t>
      </w:r>
      <w:r w:rsidR="00332426" w:rsidRPr="00E16AEE">
        <w:t xml:space="preserve">Mr. Maalem </w:t>
      </w:r>
      <w:r w:rsidR="0003364A" w:rsidRPr="00E16AEE">
        <w:t xml:space="preserve">from his children and the rest of his family in Uzbekistan may give rise to issues under article 17, </w:t>
      </w:r>
      <w:r w:rsidR="0069041C" w:rsidRPr="00E16AEE">
        <w:t xml:space="preserve">read </w:t>
      </w:r>
      <w:r w:rsidR="0003364A" w:rsidRPr="00E16AEE">
        <w:t xml:space="preserve">in conjunction with </w:t>
      </w:r>
      <w:r w:rsidR="00786839" w:rsidRPr="00E16AEE">
        <w:t xml:space="preserve">article </w:t>
      </w:r>
      <w:r w:rsidR="0003364A" w:rsidRPr="00E16AEE">
        <w:t>23</w:t>
      </w:r>
      <w:r w:rsidR="00786839" w:rsidRPr="00E16AEE">
        <w:t xml:space="preserve"> </w:t>
      </w:r>
      <w:r w:rsidR="0003364A" w:rsidRPr="00E16AEE">
        <w:t>(1)</w:t>
      </w:r>
      <w:r w:rsidR="00786839" w:rsidRPr="00E16AEE">
        <w:t>,</w:t>
      </w:r>
      <w:r w:rsidR="0003364A" w:rsidRPr="00E16AEE">
        <w:t xml:space="preserve"> of the Covenant. The Committee reiterates its jurisprudence </w:t>
      </w:r>
      <w:r w:rsidR="0069041C" w:rsidRPr="00E16AEE">
        <w:t xml:space="preserve">according to which </w:t>
      </w:r>
      <w:r w:rsidR="0003364A" w:rsidRPr="00E16AEE">
        <w:t>there may be cases in which a State party’s refusal to allow one member of the family to remain in its territory would involve interference in that person’s family life. However, the mere fact that one member of the family is entitled to remain in the territory of a State party does not necessarily mean that requiring other members of the family to leave involves such interference.</w:t>
      </w:r>
      <w:r w:rsidR="0003364A" w:rsidRPr="007B0587">
        <w:rPr>
          <w:rStyle w:val="FootnoteReference"/>
        </w:rPr>
        <w:footnoteReference w:id="4"/>
      </w:r>
    </w:p>
    <w:p w:rsidR="0003364A" w:rsidRPr="00E16AEE" w:rsidRDefault="000C08E2" w:rsidP="007B0587">
      <w:pPr>
        <w:pStyle w:val="SingleTxtG"/>
      </w:pPr>
      <w:r w:rsidRPr="00C01980">
        <w:lastRenderedPageBreak/>
        <w:t>11</w:t>
      </w:r>
      <w:r w:rsidR="0003364A" w:rsidRPr="007E0164">
        <w:t>.3</w:t>
      </w:r>
      <w:r w:rsidR="0003364A" w:rsidRPr="007E0164">
        <w:tab/>
        <w:t>In the present case, the Committee considers that the decision of the State party to expel</w:t>
      </w:r>
      <w:r w:rsidR="0003364A" w:rsidRPr="00E16AEE">
        <w:t xml:space="preserve"> the father of five children, some </w:t>
      </w:r>
      <w:r w:rsidR="00EC0AE3" w:rsidRPr="00E16AEE">
        <w:t xml:space="preserve">of them </w:t>
      </w:r>
      <w:r w:rsidR="0003364A" w:rsidRPr="00E16AEE">
        <w:t xml:space="preserve">minors, coupled with a restriction </w:t>
      </w:r>
      <w:r w:rsidR="00EC0AE3" w:rsidRPr="00E16AEE">
        <w:t xml:space="preserve">on </w:t>
      </w:r>
      <w:r w:rsidR="0003364A" w:rsidRPr="00E16AEE">
        <w:t>re-entry in</w:t>
      </w:r>
      <w:r w:rsidR="00EC0AE3" w:rsidRPr="00E16AEE">
        <w:t>to</w:t>
      </w:r>
      <w:r w:rsidR="0003364A" w:rsidRPr="00E16AEE">
        <w:t xml:space="preserve"> the country, </w:t>
      </w:r>
      <w:r w:rsidR="00EC0AE3" w:rsidRPr="00E16AEE">
        <w:t xml:space="preserve">constitutes </w:t>
      </w:r>
      <w:r w:rsidR="0003364A" w:rsidRPr="00E16AEE">
        <w:t xml:space="preserve">“interference” with the family, </w:t>
      </w:r>
      <w:r w:rsidR="00D1678A" w:rsidRPr="00E16AEE">
        <w:t>in particular</w:t>
      </w:r>
      <w:r w:rsidR="0003364A" w:rsidRPr="00E16AEE">
        <w:t xml:space="preserve"> in circumstances </w:t>
      </w:r>
      <w:r w:rsidR="00B876CF">
        <w:t xml:space="preserve">in </w:t>
      </w:r>
      <w:r w:rsidR="0003364A" w:rsidRPr="007E0164">
        <w:t>wh</w:t>
      </w:r>
      <w:r w:rsidR="00B876CF">
        <w:t>ich</w:t>
      </w:r>
      <w:r w:rsidR="0003364A" w:rsidRPr="00E16AEE">
        <w:t>, as in the present case, substantial changes in family life would follow. In that regard, the Committee observes that</w:t>
      </w:r>
      <w:r w:rsidR="00BD4A0E" w:rsidRPr="00E16AEE">
        <w:t>,</w:t>
      </w:r>
      <w:r w:rsidR="0003364A" w:rsidRPr="00E16AEE">
        <w:t xml:space="preserve"> although </w:t>
      </w:r>
      <w:r w:rsidR="00332426" w:rsidRPr="00E16AEE">
        <w:t>Mr. Maalem</w:t>
      </w:r>
      <w:r w:rsidR="0003364A" w:rsidRPr="00E16AEE">
        <w:t xml:space="preserve">’s family life has been subjected to significant restrictions during his incarceration </w:t>
      </w:r>
      <w:r w:rsidR="00A07E13" w:rsidRPr="00E16AEE">
        <w:t xml:space="preserve">from </w:t>
      </w:r>
      <w:r w:rsidR="0003364A" w:rsidRPr="00E16AEE">
        <w:t xml:space="preserve">2009 </w:t>
      </w:r>
      <w:r w:rsidR="00A07E13" w:rsidRPr="00E16AEE">
        <w:t>to</w:t>
      </w:r>
      <w:r w:rsidR="0003364A" w:rsidRPr="00E16AEE">
        <w:t xml:space="preserve"> 2014, he has been able to preserve and maintain a close relationship with his family. </w:t>
      </w:r>
    </w:p>
    <w:p w:rsidR="0003364A" w:rsidRPr="00C01980" w:rsidRDefault="000C08E2" w:rsidP="007B0587">
      <w:pPr>
        <w:pStyle w:val="SingleTxtG"/>
      </w:pPr>
      <w:r w:rsidRPr="00E16AEE">
        <w:t>11</w:t>
      </w:r>
      <w:r w:rsidR="0003364A" w:rsidRPr="00E16AEE">
        <w:t>.4</w:t>
      </w:r>
      <w:r w:rsidR="00FD7914" w:rsidRPr="00E16AEE">
        <w:tab/>
      </w:r>
      <w:r w:rsidR="0003364A" w:rsidRPr="00E16AEE">
        <w:t>The Committee recalls that the notion of arbitrariness includes elements of inappropriateness, injustice, lack of predictability and due process of law,</w:t>
      </w:r>
      <w:r w:rsidR="0003364A" w:rsidRPr="00EC6BDA">
        <w:rPr>
          <w:rStyle w:val="FootnoteReference"/>
        </w:rPr>
        <w:footnoteReference w:id="5"/>
      </w:r>
      <w:r w:rsidR="0003364A" w:rsidRPr="00C01980">
        <w:t xml:space="preserve"> as well as elements of reasonableness, necessity and proportionality.</w:t>
      </w:r>
      <w:r w:rsidR="0003364A" w:rsidRPr="00EC6BDA">
        <w:rPr>
          <w:rStyle w:val="FootnoteReference"/>
        </w:rPr>
        <w:footnoteReference w:id="6"/>
      </w:r>
      <w:r w:rsidR="0003364A" w:rsidRPr="00C01980">
        <w:t xml:space="preserve"> The Committee also recalls that</w:t>
      </w:r>
      <w:r w:rsidR="00DE1A1B">
        <w:t>,</w:t>
      </w:r>
      <w:r w:rsidR="0003364A" w:rsidRPr="00C01980">
        <w:t xml:space="preserve"> in cases </w:t>
      </w:r>
      <w:r w:rsidR="00DE1A1B">
        <w:t xml:space="preserve">in </w:t>
      </w:r>
      <w:r w:rsidR="0003364A" w:rsidRPr="00C01980">
        <w:t>wh</w:t>
      </w:r>
      <w:r w:rsidR="00DE1A1B">
        <w:t>ich</w:t>
      </w:r>
      <w:r w:rsidR="0003364A" w:rsidRPr="00C01980">
        <w:t xml:space="preserve"> one part of a family must leave the territory of the State party while the other part would be entitled to remain, the relevant criteria</w:t>
      </w:r>
      <w:r w:rsidR="0003364A" w:rsidRPr="007E0164">
        <w:t xml:space="preserve"> for assessing whether the specific interference with family life can be objectively justified must be considered in the light, on the one hand, of the significance of the State party’s reasons for the removal of the person concerned and, on the </w:t>
      </w:r>
      <w:r w:rsidR="0003364A" w:rsidRPr="00E16AEE">
        <w:t>other hand, of the degree of hardship the family and its members would encounter as a consequence of such removal.</w:t>
      </w:r>
      <w:r w:rsidR="0003364A" w:rsidRPr="00EC6BDA">
        <w:rPr>
          <w:rStyle w:val="FootnoteReference"/>
        </w:rPr>
        <w:footnoteReference w:id="7"/>
      </w:r>
    </w:p>
    <w:p w:rsidR="0003364A" w:rsidRPr="00E16AEE" w:rsidRDefault="000C08E2" w:rsidP="007B0587">
      <w:pPr>
        <w:pStyle w:val="SingleTxtG"/>
      </w:pPr>
      <w:r w:rsidRPr="007E0164">
        <w:t>11</w:t>
      </w:r>
      <w:r w:rsidR="0003364A" w:rsidRPr="007E0164">
        <w:t>.5</w:t>
      </w:r>
      <w:r w:rsidR="0003364A" w:rsidRPr="007E0164">
        <w:tab/>
      </w:r>
      <w:r w:rsidR="0003364A" w:rsidRPr="00E16AEE">
        <w:t xml:space="preserve">In the present case, the Committee observes that </w:t>
      </w:r>
      <w:r w:rsidR="00332426" w:rsidRPr="00E16AEE">
        <w:t>Mr. Maalem</w:t>
      </w:r>
      <w:r w:rsidR="0003364A" w:rsidRPr="00E16AEE">
        <w:t xml:space="preserve">’s removal pursued a legitimate objective, which is the </w:t>
      </w:r>
      <w:r w:rsidR="007D42A0" w:rsidRPr="00E16AEE">
        <w:t xml:space="preserve">consequence of the </w:t>
      </w:r>
      <w:r w:rsidR="0003364A" w:rsidRPr="00E16AEE">
        <w:t xml:space="preserve">enforcement of the State party’s criminal law. In addition, the State party explained that the decision to expel </w:t>
      </w:r>
      <w:r w:rsidR="00332426" w:rsidRPr="00E16AEE">
        <w:t xml:space="preserve">Mr. Maalem </w:t>
      </w:r>
      <w:r w:rsidR="0003364A" w:rsidRPr="00E16AEE">
        <w:t xml:space="preserve">was issued on 24 February 2014 and upheld on cassation on 25 March 2014. </w:t>
      </w:r>
      <w:r w:rsidR="00DD0DC1" w:rsidRPr="00E16AEE">
        <w:t>The Committee</w:t>
      </w:r>
      <w:r w:rsidR="0003364A" w:rsidRPr="00E16AEE">
        <w:t xml:space="preserve"> notes that subsequently, on </w:t>
      </w:r>
      <w:r w:rsidR="0003364A" w:rsidRPr="007B0587">
        <w:t xml:space="preserve">5 May 2014, the Tashkent Mirzo-Ulugbek </w:t>
      </w:r>
      <w:r w:rsidR="00AD0683" w:rsidRPr="007B0587">
        <w:t>C</w:t>
      </w:r>
      <w:r w:rsidR="0003364A" w:rsidRPr="007B0587">
        <w:t xml:space="preserve">ivil </w:t>
      </w:r>
      <w:r w:rsidR="00AD0683" w:rsidRPr="007B0587">
        <w:t>I</w:t>
      </w:r>
      <w:r w:rsidR="0003364A" w:rsidRPr="007B0587">
        <w:t xml:space="preserve">nter-district </w:t>
      </w:r>
      <w:r w:rsidR="00AD0683" w:rsidRPr="007B0587">
        <w:t>C</w:t>
      </w:r>
      <w:r w:rsidR="0003364A" w:rsidRPr="007B0587">
        <w:t xml:space="preserve">ourt temporarily suspended the execution of the expulsion decision as </w:t>
      </w:r>
      <w:r w:rsidR="007D42A0" w:rsidRPr="007B0587">
        <w:t>child support</w:t>
      </w:r>
      <w:r w:rsidR="0003364A" w:rsidRPr="007B0587">
        <w:t xml:space="preserve"> </w:t>
      </w:r>
      <w:r w:rsidR="00AD0683" w:rsidRPr="007B0587">
        <w:t xml:space="preserve">was </w:t>
      </w:r>
      <w:r w:rsidR="0003364A" w:rsidRPr="007B0587">
        <w:t xml:space="preserve">due </w:t>
      </w:r>
      <w:r w:rsidR="00AD0683" w:rsidRPr="007B0587">
        <w:t xml:space="preserve">to be paid </w:t>
      </w:r>
      <w:r w:rsidR="0003364A" w:rsidRPr="007B0587">
        <w:t xml:space="preserve">by </w:t>
      </w:r>
      <w:r w:rsidR="00DD0DC1" w:rsidRPr="00C01980">
        <w:t>Mr.</w:t>
      </w:r>
      <w:r w:rsidR="00C8702D">
        <w:t> </w:t>
      </w:r>
      <w:r w:rsidR="00DD0DC1" w:rsidRPr="00C01980">
        <w:t xml:space="preserve">Maalem </w:t>
      </w:r>
      <w:r w:rsidR="0003364A" w:rsidRPr="007B0587">
        <w:t>to his minor children</w:t>
      </w:r>
      <w:r w:rsidR="00AD0683" w:rsidRPr="007B0587">
        <w:t>,</w:t>
      </w:r>
      <w:r w:rsidR="0003364A" w:rsidRPr="007B0587">
        <w:t xml:space="preserve"> and his residen</w:t>
      </w:r>
      <w:r w:rsidR="00F85C08" w:rsidRPr="007B0587">
        <w:t>ce</w:t>
      </w:r>
      <w:r w:rsidR="0003364A" w:rsidRPr="007B0587">
        <w:t xml:space="preserve"> permit was extended until 17 April 2020. However, the Committee also notes </w:t>
      </w:r>
      <w:r w:rsidR="00DD0DC1" w:rsidRPr="00C01980">
        <w:t>Mr. Maalem</w:t>
      </w:r>
      <w:r w:rsidR="0003364A" w:rsidRPr="007B0587">
        <w:t>’s argument</w:t>
      </w:r>
      <w:r w:rsidR="0003364A" w:rsidRPr="00C01980">
        <w:t xml:space="preserve"> that the State party applied retroactively to his case a more severe and restrictive version of the regulation providing for </w:t>
      </w:r>
      <w:r w:rsidR="0003364A" w:rsidRPr="007E0164">
        <w:t xml:space="preserve">mandatory expulsion and </w:t>
      </w:r>
      <w:r w:rsidR="00F85C08" w:rsidRPr="00E16AEE">
        <w:t xml:space="preserve">a </w:t>
      </w:r>
      <w:r w:rsidR="0003364A" w:rsidRPr="00E16AEE">
        <w:t xml:space="preserve">subsequent </w:t>
      </w:r>
      <w:r w:rsidR="00AD0683" w:rsidRPr="00E16AEE">
        <w:t>re-</w:t>
      </w:r>
      <w:r w:rsidR="0003364A" w:rsidRPr="00E16AEE">
        <w:t>entry ban</w:t>
      </w:r>
      <w:r w:rsidR="00DE1A1B">
        <w:t>,</w:t>
      </w:r>
      <w:r w:rsidR="0003364A" w:rsidRPr="007E0164">
        <w:t xml:space="preserve"> which allow</w:t>
      </w:r>
      <w:r w:rsidR="00CB3304" w:rsidRPr="007E0164">
        <w:t xml:space="preserve">s </w:t>
      </w:r>
      <w:r w:rsidR="001B5247" w:rsidRPr="00E16AEE">
        <w:t>no</w:t>
      </w:r>
      <w:r w:rsidR="0003364A" w:rsidRPr="00E16AEE">
        <w:t xml:space="preserve"> exception, </w:t>
      </w:r>
      <w:r w:rsidR="001B5247" w:rsidRPr="00E16AEE">
        <w:t xml:space="preserve">rather than </w:t>
      </w:r>
      <w:r w:rsidR="0003364A" w:rsidRPr="00E16AEE">
        <w:t xml:space="preserve">an earlier version of the regulation under which </w:t>
      </w:r>
      <w:r w:rsidR="00B911AA" w:rsidRPr="00E16AEE">
        <w:t xml:space="preserve">convicted </w:t>
      </w:r>
      <w:r w:rsidR="0003364A" w:rsidRPr="00E16AEE">
        <w:t xml:space="preserve">aliens who had lawful grounds to reside in the State party would not automatically </w:t>
      </w:r>
      <w:r w:rsidR="00B911AA" w:rsidRPr="00E16AEE">
        <w:t xml:space="preserve">be </w:t>
      </w:r>
      <w:r w:rsidR="0003364A" w:rsidRPr="00E16AEE">
        <w:t>subjected to expulsion.</w:t>
      </w:r>
    </w:p>
    <w:p w:rsidR="0003364A" w:rsidRPr="00E16AEE" w:rsidRDefault="000C08E2" w:rsidP="007B0587">
      <w:pPr>
        <w:pStyle w:val="SingleTxtG"/>
      </w:pPr>
      <w:r w:rsidRPr="00E16AEE">
        <w:t>11</w:t>
      </w:r>
      <w:r w:rsidR="0003364A" w:rsidRPr="00E16AEE">
        <w:t>.6</w:t>
      </w:r>
      <w:r w:rsidR="0003364A" w:rsidRPr="00E16AEE">
        <w:tab/>
        <w:t xml:space="preserve">The Committee notes that the State party justifies </w:t>
      </w:r>
      <w:r w:rsidR="00DD0DC1" w:rsidRPr="00E16AEE">
        <w:t>Mr. Maalem</w:t>
      </w:r>
      <w:r w:rsidR="0003364A" w:rsidRPr="00E16AEE">
        <w:t xml:space="preserve">’s removal from the country by the fact that he </w:t>
      </w:r>
      <w:r w:rsidR="000E36BD" w:rsidRPr="00E16AEE">
        <w:t>was</w:t>
      </w:r>
      <w:r w:rsidR="0003364A" w:rsidRPr="00E16AEE">
        <w:t xml:space="preserve"> convicted of the offence of human trafficking and subsequently granted amnesty, which leads automatically</w:t>
      </w:r>
      <w:r w:rsidR="000E36BD" w:rsidRPr="00E16AEE">
        <w:t>,</w:t>
      </w:r>
      <w:r w:rsidR="0003364A" w:rsidRPr="00E16AEE">
        <w:t xml:space="preserve"> without exception</w:t>
      </w:r>
      <w:r w:rsidR="000E36BD" w:rsidRPr="00E16AEE">
        <w:t xml:space="preserve">, to the expulsion of </w:t>
      </w:r>
      <w:r w:rsidR="0003364A" w:rsidRPr="00E16AEE">
        <w:t xml:space="preserve">aliens who have been lawfully residing in Uzbekistan. </w:t>
      </w:r>
      <w:r w:rsidR="00DE1A1B">
        <w:t>F</w:t>
      </w:r>
      <w:r w:rsidR="00DE1A1B" w:rsidRPr="00950D0C">
        <w:t>urthermore</w:t>
      </w:r>
      <w:r w:rsidR="00DE1A1B">
        <w:t>,</w:t>
      </w:r>
      <w:r w:rsidR="00DE1A1B" w:rsidRPr="00950D0C">
        <w:t xml:space="preserve"> </w:t>
      </w:r>
      <w:r w:rsidR="00DE1A1B">
        <w:t>t</w:t>
      </w:r>
      <w:r w:rsidR="0003364A" w:rsidRPr="007E0164">
        <w:t xml:space="preserve">he State party is </w:t>
      </w:r>
      <w:r w:rsidR="0003364A" w:rsidRPr="00E16AEE">
        <w:t xml:space="preserve">of the view that the expulsion decision is fully in line with domestic legislation and serves a legitimate State interest. However, it is to be noted that </w:t>
      </w:r>
      <w:r w:rsidR="00DD0DC1" w:rsidRPr="00E16AEE">
        <w:t xml:space="preserve">Mr. Maalem </w:t>
      </w:r>
      <w:r w:rsidR="0003364A" w:rsidRPr="00E16AEE">
        <w:t xml:space="preserve">has served his sentence and </w:t>
      </w:r>
      <w:r w:rsidR="00E5208B" w:rsidRPr="00E16AEE">
        <w:t xml:space="preserve">that there is no evidence that he </w:t>
      </w:r>
      <w:r w:rsidR="0003364A" w:rsidRPr="00E16AEE">
        <w:t>constitute</w:t>
      </w:r>
      <w:r w:rsidR="00E5208B" w:rsidRPr="00E16AEE">
        <w:t>s</w:t>
      </w:r>
      <w:r w:rsidR="0003364A" w:rsidRPr="00E16AEE">
        <w:t xml:space="preserve"> a security problem for the State party. The Committee takes note of the authors’ argument that their children cannot be expected to follow their father to Algeria, as they are Uzbek nationals and have no ties with th</w:t>
      </w:r>
      <w:r w:rsidR="003E3C22" w:rsidRPr="00E16AEE">
        <w:t>at</w:t>
      </w:r>
      <w:r w:rsidR="0003364A" w:rsidRPr="00E16AEE">
        <w:t xml:space="preserve"> country. The Committee also notes that if </w:t>
      </w:r>
      <w:r w:rsidR="00DD0DC1" w:rsidRPr="00E16AEE">
        <w:t xml:space="preserve">Mr. Maalem </w:t>
      </w:r>
      <w:r w:rsidR="0003364A" w:rsidRPr="00E16AEE">
        <w:t xml:space="preserve">were to be deported to Algeria </w:t>
      </w:r>
      <w:r w:rsidR="00D72BF4">
        <w:t>–</w:t>
      </w:r>
      <w:r w:rsidR="0003364A" w:rsidRPr="00E16AEE">
        <w:t xml:space="preserve"> a country that he left more than 30 years ago </w:t>
      </w:r>
      <w:r w:rsidR="00D72BF4">
        <w:t>–</w:t>
      </w:r>
      <w:r w:rsidR="0003364A" w:rsidRPr="00E16AEE">
        <w:t xml:space="preserve"> the nature and quality of his family relationships could not be adequately maintained through regular visits, due to the re-entry restrictions imposed on him. </w:t>
      </w:r>
    </w:p>
    <w:p w:rsidR="0003364A" w:rsidRPr="00E16AEE" w:rsidRDefault="000C08E2" w:rsidP="007B0587">
      <w:pPr>
        <w:pStyle w:val="SingleTxtG"/>
      </w:pPr>
      <w:r w:rsidRPr="00E16AEE">
        <w:t>11</w:t>
      </w:r>
      <w:r w:rsidR="0003364A" w:rsidRPr="00E16AEE">
        <w:t>.7</w:t>
      </w:r>
      <w:r w:rsidR="0003364A" w:rsidRPr="00E16AEE">
        <w:tab/>
        <w:t>The Committee recalls the principle that</w:t>
      </w:r>
      <w:r w:rsidR="003E3C22" w:rsidRPr="00E16AEE">
        <w:t>,</w:t>
      </w:r>
      <w:r w:rsidR="0003364A" w:rsidRPr="00E16AEE">
        <w:t xml:space="preserve"> in all decisions affecting children, the child’s best interests shall be </w:t>
      </w:r>
      <w:r w:rsidR="006363B3" w:rsidRPr="00E16AEE">
        <w:t xml:space="preserve">the </w:t>
      </w:r>
      <w:r w:rsidR="0003364A" w:rsidRPr="00E16AEE">
        <w:t>primary consideration. The Committee considers that the State party failed to give primary consideration to the best interests of the authors’ children in the present case and that, as a result, its interference with the authors’ family life and the ensuing</w:t>
      </w:r>
      <w:r w:rsidR="0003364A" w:rsidRPr="00E16AEE">
        <w:rPr>
          <w:color w:val="000000"/>
          <w:lang w:eastAsia="fr-FR"/>
        </w:rPr>
        <w:t xml:space="preserve"> </w:t>
      </w:r>
      <w:r w:rsidR="0003364A" w:rsidRPr="00E16AEE">
        <w:t xml:space="preserve">insufficient protection afforded to the family generated excessive hardship </w:t>
      </w:r>
      <w:r w:rsidR="006363B3" w:rsidRPr="00E16AEE">
        <w:t xml:space="preserve">for </w:t>
      </w:r>
      <w:r w:rsidR="0003364A" w:rsidRPr="00E16AEE">
        <w:t xml:space="preserve">the authors and their children. The issuance of an expulsion order against </w:t>
      </w:r>
      <w:r w:rsidR="00DD0DC1" w:rsidRPr="00E16AEE">
        <w:t xml:space="preserve">Mr. Maalem </w:t>
      </w:r>
      <w:r w:rsidR="006363B3" w:rsidRPr="00E16AEE">
        <w:t xml:space="preserve">presented </w:t>
      </w:r>
      <w:r w:rsidR="0003364A" w:rsidRPr="00E16AEE">
        <w:t xml:space="preserve">the authors with the choice of leaving the State party as a family unit, and exposing their children to unforeseen challenges, or breaking </w:t>
      </w:r>
      <w:r w:rsidR="006363B3" w:rsidRPr="00E16AEE">
        <w:t xml:space="preserve">up </w:t>
      </w:r>
      <w:r w:rsidR="0003364A" w:rsidRPr="00E16AEE">
        <w:t xml:space="preserve">the family unit. </w:t>
      </w:r>
      <w:r w:rsidR="001B5247" w:rsidRPr="00E16AEE">
        <w:t>Either</w:t>
      </w:r>
      <w:r w:rsidR="0003364A" w:rsidRPr="00E16AEE">
        <w:t xml:space="preserve"> alternative confronting the family </w:t>
      </w:r>
      <w:r w:rsidR="001B5247" w:rsidRPr="00E16AEE">
        <w:lastRenderedPageBreak/>
        <w:t>w</w:t>
      </w:r>
      <w:r w:rsidR="0003364A" w:rsidRPr="00E16AEE">
        <w:t xml:space="preserve">ould not have been in the best interests of the children. It is undisputed that </w:t>
      </w:r>
      <w:r w:rsidR="00DD0DC1" w:rsidRPr="00E16AEE">
        <w:t xml:space="preserve">Mr. Maalem </w:t>
      </w:r>
      <w:r w:rsidR="0003364A" w:rsidRPr="00E16AEE">
        <w:t xml:space="preserve">left Algeria </w:t>
      </w:r>
      <w:r w:rsidR="003615B6" w:rsidRPr="00E16AEE">
        <w:t xml:space="preserve">when he was </w:t>
      </w:r>
      <w:r w:rsidR="0003364A" w:rsidRPr="00E16AEE">
        <w:t>young, ha</w:t>
      </w:r>
      <w:r w:rsidR="00B3594F" w:rsidRPr="00E16AEE">
        <w:t>s</w:t>
      </w:r>
      <w:r w:rsidR="0003364A" w:rsidRPr="00E16AEE">
        <w:t xml:space="preserve"> resided for more than 30 years in Uzbekistan and ha</w:t>
      </w:r>
      <w:r w:rsidR="00B3594F" w:rsidRPr="00E16AEE">
        <w:t>s</w:t>
      </w:r>
      <w:r w:rsidR="0003364A" w:rsidRPr="00E16AEE">
        <w:t xml:space="preserve"> established connection</w:t>
      </w:r>
      <w:r w:rsidR="00B3594F" w:rsidRPr="00E16AEE">
        <w:t>s</w:t>
      </w:r>
      <w:r w:rsidR="0003364A" w:rsidRPr="00E16AEE">
        <w:t xml:space="preserve"> with the State party.</w:t>
      </w:r>
      <w:r w:rsidR="009E1F35" w:rsidRPr="00E16AEE">
        <w:t xml:space="preserve"> </w:t>
      </w:r>
      <w:r w:rsidR="0003364A" w:rsidRPr="00E16AEE">
        <w:t xml:space="preserve">The State party has not adequately explained why its legitimate objective in upholding its criminal policy concerning aliens on its territory, notably applying </w:t>
      </w:r>
      <w:r w:rsidR="001F3DC5" w:rsidRPr="00E16AEE">
        <w:t xml:space="preserve">retroactively a more restrictive version of the regulation providing for </w:t>
      </w:r>
      <w:r w:rsidR="0003364A" w:rsidRPr="00E16AEE">
        <w:t>automatic expulsion</w:t>
      </w:r>
      <w:r w:rsidR="001F3DC5" w:rsidRPr="00E16AEE">
        <w:t>, without exception,</w:t>
      </w:r>
      <w:r w:rsidR="0003364A" w:rsidRPr="00E16AEE">
        <w:t xml:space="preserve"> of aliens who have committed crimes and served their sentences should have outweighed the best interests of the authors’ children. In the light of all the circumstances of the present case, the Committee considers that the expulsion order issued against </w:t>
      </w:r>
      <w:r w:rsidR="00DD0DC1" w:rsidRPr="00E16AEE">
        <w:t xml:space="preserve">Mr. Maalem </w:t>
      </w:r>
      <w:r w:rsidR="0003364A" w:rsidRPr="00E16AEE">
        <w:t xml:space="preserve">constituted disproportionate interference with the family life of both authors and their children, which cannot be justified in the light of the reasons invoked by the State party to remove </w:t>
      </w:r>
      <w:r w:rsidR="00DD0DC1" w:rsidRPr="00E16AEE">
        <w:t>him</w:t>
      </w:r>
      <w:r w:rsidR="0003364A" w:rsidRPr="00E16AEE">
        <w:t xml:space="preserve"> to Algeria</w:t>
      </w:r>
      <w:r w:rsidR="008209F9" w:rsidRPr="00E16AEE">
        <w:t xml:space="preserve">. </w:t>
      </w:r>
      <w:r w:rsidR="0003364A" w:rsidRPr="00E16AEE">
        <w:t xml:space="preserve">The Committee concludes that </w:t>
      </w:r>
      <w:r w:rsidR="00DD0DC1" w:rsidRPr="00E16AEE">
        <w:t>Mr. Maalem</w:t>
      </w:r>
      <w:r w:rsidR="0003364A" w:rsidRPr="00E16AEE">
        <w:t xml:space="preserve">’s expulsion order resulted in arbitrary interference with the right </w:t>
      </w:r>
      <w:r w:rsidR="00CD0B07" w:rsidRPr="00E16AEE">
        <w:t xml:space="preserve">to </w:t>
      </w:r>
      <w:r w:rsidR="0003364A" w:rsidRPr="00E16AEE">
        <w:t>family life, in breach of article 17 (1), read alone and in conjunction with article 23 (1)</w:t>
      </w:r>
      <w:r w:rsidR="00AF6BC5" w:rsidRPr="00E16AEE">
        <w:t>,</w:t>
      </w:r>
      <w:r w:rsidR="0003364A" w:rsidRPr="00E16AEE">
        <w:t xml:space="preserve"> of the Covenant, in respect of the authors and their children. </w:t>
      </w:r>
    </w:p>
    <w:p w:rsidR="0003364A" w:rsidRPr="00E16AEE" w:rsidRDefault="000C08E2" w:rsidP="007B0587">
      <w:pPr>
        <w:pStyle w:val="SingleTxtG"/>
      </w:pPr>
      <w:r w:rsidRPr="00E16AEE">
        <w:t>11</w:t>
      </w:r>
      <w:r w:rsidR="0003364A" w:rsidRPr="00E16AEE">
        <w:t>.</w:t>
      </w:r>
      <w:r w:rsidR="00DD0DC1" w:rsidRPr="00E16AEE">
        <w:t>8</w:t>
      </w:r>
      <w:r w:rsidR="0003364A" w:rsidRPr="00E16AEE">
        <w:tab/>
        <w:t>Concerning the claim under article 24, the Committee reiterates that the principle of the best interests of the child forms an integral part of every child’s right to such measures of protection as required by his or her status as a minor, on the part of his or her family, society and the State, as required by article 24 (1) of the Covenant.</w:t>
      </w:r>
      <w:r w:rsidR="0003364A" w:rsidRPr="00EC6BDA">
        <w:rPr>
          <w:rStyle w:val="FootnoteReference"/>
        </w:rPr>
        <w:footnoteReference w:id="8"/>
      </w:r>
      <w:r w:rsidR="0003364A" w:rsidRPr="00C01980">
        <w:t xml:space="preserve"> In the light of its conclusions under articles 17 and 23, the Committee considers that the expulsion order against </w:t>
      </w:r>
      <w:r w:rsidR="00DD0DC1" w:rsidRPr="007E0164">
        <w:t xml:space="preserve">Mr. Maalem </w:t>
      </w:r>
      <w:r w:rsidR="0003364A" w:rsidRPr="007E0164">
        <w:t>has violated article 24 owing to a failure to provide his minor children with the necessary protection owed to them as children b</w:t>
      </w:r>
      <w:r w:rsidR="0003364A" w:rsidRPr="00E16AEE">
        <w:t>y the State party</w:t>
      </w:r>
      <w:r w:rsidR="008209F9" w:rsidRPr="00E16AEE">
        <w:t>.</w:t>
      </w:r>
      <w:r w:rsidR="0003364A" w:rsidRPr="00E16AEE">
        <w:t xml:space="preserve"> </w:t>
      </w:r>
    </w:p>
    <w:p w:rsidR="0003364A" w:rsidRPr="00E16AEE" w:rsidRDefault="000C08E2" w:rsidP="007B0587">
      <w:pPr>
        <w:pStyle w:val="SingleTxtG"/>
      </w:pPr>
      <w:r w:rsidRPr="00E16AEE">
        <w:t>12</w:t>
      </w:r>
      <w:r w:rsidR="0003364A" w:rsidRPr="00E16AEE">
        <w:t>.</w:t>
      </w:r>
      <w:r w:rsidR="0003364A" w:rsidRPr="00E16AEE">
        <w:tab/>
        <w:t>The Committee, acting under article 5</w:t>
      </w:r>
      <w:r w:rsidR="00225708" w:rsidRPr="00E16AEE">
        <w:t xml:space="preserve"> </w:t>
      </w:r>
      <w:r w:rsidR="0003364A" w:rsidRPr="00E16AEE">
        <w:t xml:space="preserve">(4) of the Optional Protocol, is of the view that </w:t>
      </w:r>
      <w:r w:rsidR="00DD0DC1" w:rsidRPr="00E16AEE">
        <w:t>Mr.</w:t>
      </w:r>
      <w:r w:rsidR="00C8702D">
        <w:t> </w:t>
      </w:r>
      <w:r w:rsidR="00DD0DC1" w:rsidRPr="00E16AEE">
        <w:t>Maalem</w:t>
      </w:r>
      <w:r w:rsidR="0003364A" w:rsidRPr="00E16AEE">
        <w:t xml:space="preserve">’s expulsion to Algeria would violate </w:t>
      </w:r>
      <w:r w:rsidR="00E203FD" w:rsidRPr="00E16AEE">
        <w:t xml:space="preserve">the rights of the authors and their children </w:t>
      </w:r>
      <w:r w:rsidR="0003364A" w:rsidRPr="00E16AEE">
        <w:t>under article 17</w:t>
      </w:r>
      <w:r w:rsidR="001F3DC5" w:rsidRPr="00E16AEE">
        <w:t>,</w:t>
      </w:r>
      <w:r w:rsidR="0003364A" w:rsidRPr="00E16AEE">
        <w:t xml:space="preserve"> read alone and in conjunction with article 23(1)</w:t>
      </w:r>
      <w:r w:rsidR="00225708" w:rsidRPr="00E16AEE">
        <w:t>,</w:t>
      </w:r>
      <w:r w:rsidR="0003364A" w:rsidRPr="00E16AEE">
        <w:t xml:space="preserve"> of the Covenant and</w:t>
      </w:r>
      <w:r w:rsidR="009E1F35" w:rsidRPr="00E16AEE">
        <w:t xml:space="preserve"> </w:t>
      </w:r>
      <w:r w:rsidR="00DD0DC1" w:rsidRPr="00E16AEE">
        <w:t>under</w:t>
      </w:r>
      <w:r w:rsidR="009E1F35" w:rsidRPr="00E16AEE">
        <w:t xml:space="preserve"> </w:t>
      </w:r>
      <w:r w:rsidR="0003364A" w:rsidRPr="00E16AEE">
        <w:t>article 24</w:t>
      </w:r>
      <w:r w:rsidR="00225708" w:rsidRPr="00E16AEE">
        <w:t xml:space="preserve"> </w:t>
      </w:r>
      <w:r w:rsidR="0003364A" w:rsidRPr="00E16AEE">
        <w:t>(1) of the Covenant, in relation to their minor children.</w:t>
      </w:r>
    </w:p>
    <w:p w:rsidR="0003364A" w:rsidRPr="00E16AEE" w:rsidRDefault="000C08E2" w:rsidP="007B0587">
      <w:pPr>
        <w:pStyle w:val="SingleTxtG"/>
      </w:pPr>
      <w:r w:rsidRPr="00E16AEE">
        <w:t>13</w:t>
      </w:r>
      <w:r w:rsidR="0003364A" w:rsidRPr="00E16AEE">
        <w:t>.</w:t>
      </w:r>
      <w:r w:rsidR="0003364A" w:rsidRPr="00E16AEE">
        <w:tab/>
      </w:r>
      <w:r w:rsidR="00F23150">
        <w:t>In accordance with</w:t>
      </w:r>
      <w:r w:rsidR="0003364A" w:rsidRPr="007E0164">
        <w:t xml:space="preserve"> article 2</w:t>
      </w:r>
      <w:r w:rsidR="00752D5A" w:rsidRPr="007E0164">
        <w:t xml:space="preserve"> </w:t>
      </w:r>
      <w:r w:rsidR="0003364A" w:rsidRPr="007E0164">
        <w:t>(3</w:t>
      </w:r>
      <w:r w:rsidR="0003364A" w:rsidRPr="00E16AEE">
        <w:t xml:space="preserve">) (a) of the Covenant, the State party is under </w:t>
      </w:r>
      <w:r w:rsidR="00752D5A" w:rsidRPr="00E16AEE">
        <w:t xml:space="preserve">an </w:t>
      </w:r>
      <w:r w:rsidR="0003364A" w:rsidRPr="00E16AEE">
        <w:t xml:space="preserve">obligation to provide </w:t>
      </w:r>
      <w:r w:rsidR="00F23150" w:rsidRPr="00B01321">
        <w:rPr>
          <w:color w:val="000000"/>
        </w:rPr>
        <w:t>individuals whose Covenant rights have been violated</w:t>
      </w:r>
      <w:r w:rsidR="00F23150" w:rsidRPr="007E0164" w:rsidDel="00F23150">
        <w:t xml:space="preserve"> </w:t>
      </w:r>
      <w:r w:rsidR="0003364A" w:rsidRPr="00E16AEE">
        <w:t xml:space="preserve">with an effective remedy. </w:t>
      </w:r>
      <w:r w:rsidR="00B60820" w:rsidRPr="00E16AEE">
        <w:t xml:space="preserve">Accordingly, </w:t>
      </w:r>
      <w:r w:rsidR="0003364A" w:rsidRPr="00E16AEE">
        <w:t xml:space="preserve">the State party </w:t>
      </w:r>
      <w:r w:rsidR="00F85C08" w:rsidRPr="00E16AEE">
        <w:t xml:space="preserve">is </w:t>
      </w:r>
      <w:r w:rsidR="00B60820" w:rsidRPr="00E16AEE">
        <w:t>obligated</w:t>
      </w:r>
      <w:r w:rsidR="007E0164" w:rsidRPr="007E0164">
        <w:t xml:space="preserve"> </w:t>
      </w:r>
      <w:r w:rsidR="007E0164" w:rsidRPr="00461C7D">
        <w:t>to</w:t>
      </w:r>
      <w:r w:rsidR="0003364A" w:rsidRPr="007E0164">
        <w:t xml:space="preserve">, </w:t>
      </w:r>
      <w:r w:rsidR="0003364A" w:rsidRPr="007B0587">
        <w:t>inter alia</w:t>
      </w:r>
      <w:r w:rsidR="00B60820" w:rsidRPr="00C01980">
        <w:t>,</w:t>
      </w:r>
      <w:r w:rsidR="00B60820" w:rsidRPr="007E0164">
        <w:t xml:space="preserve"> take appropriate steps to</w:t>
      </w:r>
      <w:r w:rsidR="0003364A" w:rsidRPr="007E0164">
        <w:t xml:space="preserve"> </w:t>
      </w:r>
      <w:r w:rsidR="0003364A" w:rsidRPr="00E16AEE">
        <w:t xml:space="preserve">proceed to a review of the decision to expel </w:t>
      </w:r>
      <w:r w:rsidR="00DD0DC1" w:rsidRPr="00E16AEE">
        <w:t>Mr. Maalem</w:t>
      </w:r>
      <w:r w:rsidR="0003364A" w:rsidRPr="00E16AEE">
        <w:t xml:space="preserve"> with </w:t>
      </w:r>
      <w:r w:rsidR="003C39AE" w:rsidRPr="00E16AEE">
        <w:t xml:space="preserve">a </w:t>
      </w:r>
      <w:r w:rsidR="00465771" w:rsidRPr="00E16AEE">
        <w:t>restriction</w:t>
      </w:r>
      <w:r w:rsidR="003C39AE" w:rsidRPr="00E16AEE">
        <w:t xml:space="preserve"> on his </w:t>
      </w:r>
      <w:r w:rsidR="0003364A" w:rsidRPr="00E16AEE">
        <w:t>re-entry, taking into account the State party’s obligations under the Covenant. The State party is also under an obligation to take all steps necessary to prevent similar violations from occurring in the future.</w:t>
      </w:r>
    </w:p>
    <w:p w:rsidR="0003364A" w:rsidRPr="00E16AEE" w:rsidRDefault="000C08E2" w:rsidP="007B0587">
      <w:pPr>
        <w:pStyle w:val="SingleTxtG"/>
      </w:pPr>
      <w:r w:rsidRPr="00E16AEE">
        <w:t>14</w:t>
      </w:r>
      <w:r w:rsidR="0003364A" w:rsidRPr="00E16AEE">
        <w:t>.</w:t>
      </w:r>
      <w:r w:rsidR="0003364A" w:rsidRPr="00E16AEE">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t>
      </w:r>
      <w:r w:rsidR="00A57D52" w:rsidRPr="00E16AEE">
        <w:t xml:space="preserve">when it has been determined that </w:t>
      </w:r>
      <w:r w:rsidR="0003364A" w:rsidRPr="00E16AEE">
        <w:t xml:space="preserve">a violation has </w:t>
      </w:r>
      <w:r w:rsidR="00A57D52" w:rsidRPr="00E16AEE">
        <w:t>occurred</w:t>
      </w:r>
      <w:r w:rsidR="0003364A" w:rsidRPr="00E16AEE">
        <w:t>, the Committee wishes to receive from the State party, within 180</w:t>
      </w:r>
      <w:r w:rsidR="00C8702D">
        <w:t> </w:t>
      </w:r>
      <w:r w:rsidR="0003364A" w:rsidRPr="00E16AEE">
        <w:t>days, information about the measures taken to give effect to the Committee’s Views. The State party is also requested to publish the Committee’s Views</w:t>
      </w:r>
      <w:r w:rsidR="00E52FC0" w:rsidRPr="00E16AEE">
        <w:t xml:space="preserve"> and to have them</w:t>
      </w:r>
      <w:r w:rsidR="00B876CF">
        <w:t xml:space="preserve"> </w:t>
      </w:r>
      <w:r w:rsidR="00E52FC0" w:rsidRPr="007E0164">
        <w:t>widely disseminated</w:t>
      </w:r>
      <w:r w:rsidR="00B876CF">
        <w:t xml:space="preserve"> </w:t>
      </w:r>
      <w:r w:rsidR="00E52FC0" w:rsidRPr="007E0164">
        <w:t>in the</w:t>
      </w:r>
      <w:r w:rsidR="00546DC6" w:rsidRPr="007E0164">
        <w:t xml:space="preserve"> </w:t>
      </w:r>
      <w:r w:rsidR="0003364A" w:rsidRPr="007E0164">
        <w:t>official language of the State party</w:t>
      </w:r>
      <w:r w:rsidR="0003364A" w:rsidRPr="00E16AEE">
        <w:t>.</w:t>
      </w:r>
    </w:p>
    <w:p w:rsidR="008564DF" w:rsidRPr="00E16AEE" w:rsidRDefault="00FD7914" w:rsidP="00F20676">
      <w:pPr>
        <w:spacing w:before="240"/>
        <w:ind w:left="1134" w:right="1134"/>
        <w:jc w:val="center"/>
        <w:rPr>
          <w:i/>
          <w:iCs/>
        </w:rPr>
      </w:pPr>
      <w:r w:rsidRPr="00E16AEE">
        <w:rPr>
          <w:u w:val="single"/>
        </w:rPr>
        <w:tab/>
      </w:r>
      <w:r w:rsidRPr="00E16AEE">
        <w:rPr>
          <w:u w:val="single"/>
        </w:rPr>
        <w:tab/>
      </w:r>
      <w:r w:rsidRPr="00E16AEE">
        <w:rPr>
          <w:u w:val="single"/>
        </w:rPr>
        <w:tab/>
      </w:r>
    </w:p>
    <w:sectPr w:rsidR="008564DF" w:rsidRPr="00E16AEE" w:rsidSect="007B0587">
      <w:headerReference w:type="even" r:id="rId9"/>
      <w:headerReference w:type="default" r:id="rId10"/>
      <w:footerReference w:type="even" r:id="rId11"/>
      <w:footerReference w:type="default" r:id="rId12"/>
      <w:footerReference w:type="first" r:id="rId13"/>
      <w:endnotePr>
        <w:numFmt w:val="decimal"/>
      </w:endnotePr>
      <w:pgSz w:w="12240" w:h="15840" w:code="1"/>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32" w:rsidRDefault="00BD5C32"/>
  </w:endnote>
  <w:endnote w:type="continuationSeparator" w:id="0">
    <w:p w:rsidR="00BD5C32" w:rsidRDefault="00BD5C32"/>
  </w:endnote>
  <w:endnote w:type="continuationNotice" w:id="1">
    <w:p w:rsidR="00BD5C32" w:rsidRDefault="00BD5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87" w:rsidRPr="008564DF" w:rsidRDefault="007B0587" w:rsidP="008564DF">
    <w:pPr>
      <w:pStyle w:val="Footer"/>
      <w:tabs>
        <w:tab w:val="right" w:pos="9638"/>
      </w:tabs>
      <w:rPr>
        <w:sz w:val="18"/>
      </w:rPr>
    </w:pPr>
    <w:r w:rsidRPr="008564DF">
      <w:rPr>
        <w:b/>
        <w:sz w:val="18"/>
      </w:rPr>
      <w:fldChar w:fldCharType="begin"/>
    </w:r>
    <w:r w:rsidRPr="008564DF">
      <w:rPr>
        <w:b/>
        <w:sz w:val="18"/>
      </w:rPr>
      <w:instrText xml:space="preserve"> PAGE  \* MERGEFORMAT </w:instrText>
    </w:r>
    <w:r w:rsidRPr="008564DF">
      <w:rPr>
        <w:b/>
        <w:sz w:val="18"/>
      </w:rPr>
      <w:fldChar w:fldCharType="separate"/>
    </w:r>
    <w:r w:rsidR="005713CC">
      <w:rPr>
        <w:b/>
        <w:noProof/>
        <w:sz w:val="18"/>
      </w:rPr>
      <w:t>2</w:t>
    </w:r>
    <w:r w:rsidRPr="008564D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87" w:rsidRPr="008564DF" w:rsidRDefault="007B0587" w:rsidP="008564DF">
    <w:pPr>
      <w:pStyle w:val="Footer"/>
      <w:tabs>
        <w:tab w:val="right" w:pos="9638"/>
      </w:tabs>
      <w:rPr>
        <w:b/>
        <w:sz w:val="18"/>
      </w:rPr>
    </w:pPr>
    <w:r>
      <w:tab/>
    </w:r>
    <w:r w:rsidRPr="008564DF">
      <w:rPr>
        <w:b/>
        <w:sz w:val="18"/>
      </w:rPr>
      <w:fldChar w:fldCharType="begin"/>
    </w:r>
    <w:r w:rsidRPr="008564DF">
      <w:rPr>
        <w:b/>
        <w:sz w:val="18"/>
      </w:rPr>
      <w:instrText xml:space="preserve"> PAGE  \* MERGEFORMAT </w:instrText>
    </w:r>
    <w:r w:rsidRPr="008564DF">
      <w:rPr>
        <w:b/>
        <w:sz w:val="18"/>
      </w:rPr>
      <w:fldChar w:fldCharType="separate"/>
    </w:r>
    <w:r w:rsidR="005713CC">
      <w:rPr>
        <w:b/>
        <w:noProof/>
        <w:sz w:val="18"/>
      </w:rPr>
      <w:t>9</w:t>
    </w:r>
    <w:r w:rsidRPr="008564D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A5" w:rsidRDefault="001A63A5" w:rsidP="001A63A5">
    <w:pPr>
      <w:pStyle w:val="Footer"/>
    </w:pP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5655755</wp:posOffset>
          </wp:positionH>
          <wp:positionV relativeFrom="margin">
            <wp:posOffset>8198485</wp:posOffset>
          </wp:positionV>
          <wp:extent cx="638175" cy="638175"/>
          <wp:effectExtent l="0" t="0" r="9525" b="9525"/>
          <wp:wrapNone/>
          <wp:docPr id="2" name="Picture 1" descr="https://undocs.org/m2/QRCode.ashx?DS=CCPR/C/123/D/2371/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3/D/2371/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1" layoutInCell="1" allowOverlap="1">
          <wp:simplePos x="0" y="0"/>
          <wp:positionH relativeFrom="margin">
            <wp:posOffset>4437380</wp:posOffset>
          </wp:positionH>
          <wp:positionV relativeFrom="margin">
            <wp:posOffset>8573135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1A63A5" w:rsidRDefault="001A63A5" w:rsidP="001A63A5">
    <w:pPr>
      <w:pStyle w:val="Footer"/>
      <w:ind w:right="1134"/>
      <w:rPr>
        <w:sz w:val="20"/>
      </w:rPr>
    </w:pPr>
    <w:r>
      <w:rPr>
        <w:sz w:val="20"/>
      </w:rPr>
      <w:t>GE.18-14611(E)</w:t>
    </w:r>
  </w:p>
  <w:p w:rsidR="001A63A5" w:rsidRPr="001A63A5" w:rsidRDefault="001A63A5" w:rsidP="001A63A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32" w:rsidRPr="000B175B" w:rsidRDefault="00BD5C32" w:rsidP="000B175B">
      <w:pPr>
        <w:tabs>
          <w:tab w:val="right" w:pos="2155"/>
        </w:tabs>
        <w:spacing w:after="80"/>
        <w:ind w:left="680"/>
        <w:rPr>
          <w:u w:val="single"/>
        </w:rPr>
      </w:pPr>
      <w:r>
        <w:rPr>
          <w:u w:val="single"/>
        </w:rPr>
        <w:tab/>
      </w:r>
    </w:p>
  </w:footnote>
  <w:footnote w:type="continuationSeparator" w:id="0">
    <w:p w:rsidR="00BD5C32" w:rsidRPr="00FC68B7" w:rsidRDefault="00BD5C32" w:rsidP="00FC68B7">
      <w:pPr>
        <w:tabs>
          <w:tab w:val="left" w:pos="2155"/>
        </w:tabs>
        <w:spacing w:after="80"/>
        <w:ind w:left="680"/>
        <w:rPr>
          <w:u w:val="single"/>
        </w:rPr>
      </w:pPr>
      <w:r>
        <w:rPr>
          <w:u w:val="single"/>
        </w:rPr>
        <w:tab/>
      </w:r>
    </w:p>
  </w:footnote>
  <w:footnote w:type="continuationNotice" w:id="1">
    <w:p w:rsidR="00BD5C32" w:rsidRDefault="00BD5C32"/>
  </w:footnote>
  <w:footnote w:id="2">
    <w:p w:rsidR="007B0587" w:rsidRPr="00D72BF4" w:rsidRDefault="007B0587">
      <w:pPr>
        <w:pStyle w:val="FootnoteText"/>
        <w:rPr>
          <w:lang w:val="en-GB"/>
        </w:rPr>
      </w:pPr>
      <w:r w:rsidRPr="00D72BF4">
        <w:rPr>
          <w:rStyle w:val="FootnoteReference"/>
          <w:sz w:val="20"/>
          <w:lang w:val="en-GB"/>
        </w:rPr>
        <w:tab/>
      </w:r>
      <w:r w:rsidRPr="00D72BF4">
        <w:rPr>
          <w:rStyle w:val="FootnoteReference"/>
          <w:sz w:val="20"/>
          <w:vertAlign w:val="baseline"/>
          <w:lang w:val="en-GB"/>
        </w:rPr>
        <w:t>*</w:t>
      </w:r>
      <w:r w:rsidRPr="00D72BF4">
        <w:rPr>
          <w:rStyle w:val="FootnoteReference"/>
          <w:sz w:val="20"/>
          <w:vertAlign w:val="baseline"/>
          <w:lang w:val="en-GB"/>
        </w:rPr>
        <w:tab/>
      </w:r>
      <w:r w:rsidRPr="00D72BF4">
        <w:rPr>
          <w:lang w:val="en-GB"/>
        </w:rPr>
        <w:t>Adopted by the Committee at its 123rd session (2−27 July 2018).</w:t>
      </w:r>
    </w:p>
  </w:footnote>
  <w:footnote w:id="3">
    <w:p w:rsidR="007B0587" w:rsidRPr="00D72BF4" w:rsidRDefault="007B0587" w:rsidP="00D72BF4">
      <w:pPr>
        <w:pStyle w:val="FootnoteText"/>
        <w:rPr>
          <w:lang w:val="en-GB"/>
        </w:rPr>
      </w:pPr>
      <w:r w:rsidRPr="00D72BF4">
        <w:rPr>
          <w:rStyle w:val="FootnoteReference"/>
          <w:lang w:val="en-GB"/>
        </w:rPr>
        <w:tab/>
      </w:r>
      <w:r w:rsidRPr="00D72BF4">
        <w:rPr>
          <w:rStyle w:val="FootnoteReference"/>
          <w:sz w:val="20"/>
          <w:vertAlign w:val="baseline"/>
          <w:lang w:val="en-GB"/>
        </w:rPr>
        <w:t>**</w:t>
      </w:r>
      <w:r w:rsidRPr="00D72BF4">
        <w:rPr>
          <w:rStyle w:val="FootnoteReference"/>
          <w:sz w:val="20"/>
          <w:vertAlign w:val="baseline"/>
          <w:lang w:val="en-GB"/>
        </w:rPr>
        <w:tab/>
      </w:r>
      <w:r w:rsidRPr="00D72BF4">
        <w:rPr>
          <w:lang w:val="en-GB"/>
        </w:rPr>
        <w:t xml:space="preserve">The following members of the Committee participated in the examination of the communication: Tania María Abdo Rocholl, Yadh Ben Achour, Ilze Brands Kehris, Sarah Cleveland, Ahmed Amin Fathalla, Olivier de Frouville, Christof Heyns, Bamariam Koita, Marcia V.J. Kran, </w:t>
      </w:r>
      <w:r w:rsidRPr="00D72BF4">
        <w:rPr>
          <w:spacing w:val="-1"/>
          <w:szCs w:val="18"/>
          <w:lang w:val="en-GB"/>
        </w:rPr>
        <w:t xml:space="preserve">Mauro Politi, </w:t>
      </w:r>
      <w:r w:rsidRPr="00D72BF4">
        <w:rPr>
          <w:lang w:val="en-GB"/>
        </w:rPr>
        <w:t xml:space="preserve">José Manuel Santos Pais, </w:t>
      </w:r>
      <w:r w:rsidRPr="00D72BF4">
        <w:rPr>
          <w:spacing w:val="-1"/>
          <w:szCs w:val="18"/>
          <w:lang w:val="en-GB"/>
        </w:rPr>
        <w:t xml:space="preserve">Yuval Shany </w:t>
      </w:r>
      <w:r w:rsidRPr="00D72BF4">
        <w:rPr>
          <w:lang w:val="en-GB"/>
        </w:rPr>
        <w:t>and Margo Waterval.</w:t>
      </w:r>
    </w:p>
  </w:footnote>
  <w:footnote w:id="4">
    <w:p w:rsidR="007B0587" w:rsidRPr="007B0587" w:rsidRDefault="007B0587" w:rsidP="00BD02A7">
      <w:pPr>
        <w:pStyle w:val="FootnoteText"/>
        <w:rPr>
          <w:lang w:val="en-GB"/>
        </w:rPr>
      </w:pPr>
      <w:r w:rsidRPr="00D72BF4">
        <w:rPr>
          <w:lang w:val="en-GB"/>
        </w:rPr>
        <w:tab/>
      </w:r>
      <w:r w:rsidRPr="00EC6BDA">
        <w:rPr>
          <w:rStyle w:val="FootnoteReference"/>
        </w:rPr>
        <w:footnoteRef/>
      </w:r>
      <w:r w:rsidRPr="00D72BF4">
        <w:rPr>
          <w:rStyle w:val="FootnoteReference"/>
          <w:lang w:val="en-GB"/>
        </w:rPr>
        <w:tab/>
      </w:r>
      <w:r w:rsidRPr="00D72BF4">
        <w:rPr>
          <w:lang w:val="en-GB"/>
        </w:rPr>
        <w:t xml:space="preserve">See </w:t>
      </w:r>
      <w:r w:rsidRPr="00D72BF4">
        <w:rPr>
          <w:i/>
          <w:lang w:val="en-GB"/>
        </w:rPr>
        <w:t>Byahuranga v. Denmark</w:t>
      </w:r>
      <w:r w:rsidRPr="00D72BF4">
        <w:rPr>
          <w:lang w:val="en-GB"/>
        </w:rPr>
        <w:t xml:space="preserve"> (</w:t>
      </w:r>
      <w:hyperlink r:id="rId1" w:tgtFrame="_blank" w:history="1">
        <w:r w:rsidRPr="007B0587">
          <w:rPr>
            <w:rStyle w:val="Hyperlink"/>
            <w:bCs/>
            <w:lang w:val="en-GB"/>
          </w:rPr>
          <w:t>CCPR/C/82/D/1222/2003</w:t>
        </w:r>
      </w:hyperlink>
      <w:r w:rsidRPr="00D72BF4">
        <w:rPr>
          <w:lang w:val="en-GB"/>
        </w:rPr>
        <w:t xml:space="preserve">), para. 11.5; </w:t>
      </w:r>
      <w:r w:rsidRPr="00D72BF4">
        <w:rPr>
          <w:i/>
          <w:lang w:val="en-GB"/>
        </w:rPr>
        <w:t>Winata v. Australia</w:t>
      </w:r>
      <w:r w:rsidRPr="00D72BF4">
        <w:rPr>
          <w:lang w:val="en-GB"/>
        </w:rPr>
        <w:t xml:space="preserve"> (CCPR/C/72/D/930/2000), para. </w:t>
      </w:r>
      <w:r w:rsidRPr="007B0587">
        <w:rPr>
          <w:lang w:val="en-GB"/>
        </w:rPr>
        <w:t xml:space="preserve">7.1; and </w:t>
      </w:r>
      <w:r w:rsidRPr="007B0587">
        <w:rPr>
          <w:i/>
          <w:lang w:val="en-GB"/>
        </w:rPr>
        <w:t>Madafferi v. Australia</w:t>
      </w:r>
      <w:r w:rsidRPr="007B0587">
        <w:rPr>
          <w:lang w:val="en-GB"/>
        </w:rPr>
        <w:t xml:space="preserve"> (</w:t>
      </w:r>
      <w:hyperlink r:id="rId2" w:tgtFrame="_blank" w:history="1">
        <w:r w:rsidRPr="007B0587">
          <w:rPr>
            <w:rStyle w:val="Hyperlink"/>
            <w:lang w:val="en-GB"/>
          </w:rPr>
          <w:t>CCPR/C/81/D/1011/2001</w:t>
        </w:r>
      </w:hyperlink>
      <w:r w:rsidRPr="007B0587">
        <w:rPr>
          <w:lang w:val="en-GB"/>
        </w:rPr>
        <w:t>), para. 9.7.</w:t>
      </w:r>
    </w:p>
  </w:footnote>
  <w:footnote w:id="5">
    <w:p w:rsidR="007B0587" w:rsidRPr="00D72BF4" w:rsidRDefault="007B0587" w:rsidP="00BD02A7">
      <w:pPr>
        <w:pStyle w:val="FootnoteText"/>
        <w:rPr>
          <w:lang w:val="en-GB"/>
        </w:rPr>
      </w:pPr>
      <w:r w:rsidRPr="007B0587">
        <w:rPr>
          <w:lang w:val="en-GB"/>
        </w:rPr>
        <w:tab/>
      </w:r>
      <w:r w:rsidRPr="00EC6BDA">
        <w:rPr>
          <w:rStyle w:val="FootnoteReference"/>
        </w:rPr>
        <w:footnoteRef/>
      </w:r>
      <w:r w:rsidRPr="007B0587">
        <w:rPr>
          <w:lang w:val="en-GB"/>
        </w:rPr>
        <w:tab/>
        <w:t xml:space="preserve">See </w:t>
      </w:r>
      <w:r w:rsidRPr="007B0587">
        <w:rPr>
          <w:i/>
          <w:lang w:val="en-GB"/>
        </w:rPr>
        <w:t>Ilyasov v. Kazakhstan</w:t>
      </w:r>
      <w:r w:rsidRPr="007B0587">
        <w:rPr>
          <w:lang w:val="en-GB"/>
        </w:rPr>
        <w:t xml:space="preserve"> (CCPR/C/111/D/2009/2010), para. </w:t>
      </w:r>
      <w:r w:rsidRPr="00D72BF4">
        <w:rPr>
          <w:lang w:val="en-GB"/>
        </w:rPr>
        <w:t>7.4.</w:t>
      </w:r>
    </w:p>
  </w:footnote>
  <w:footnote w:id="6">
    <w:p w:rsidR="007B0587" w:rsidRPr="00D72BF4" w:rsidRDefault="007B0587" w:rsidP="00BD02A7">
      <w:pPr>
        <w:pStyle w:val="FootnoteText"/>
        <w:rPr>
          <w:lang w:val="en-GB"/>
        </w:rPr>
      </w:pPr>
      <w:r w:rsidRPr="00D72BF4">
        <w:rPr>
          <w:lang w:val="en-GB"/>
        </w:rPr>
        <w:tab/>
      </w:r>
      <w:r w:rsidRPr="00EC6BDA">
        <w:rPr>
          <w:rStyle w:val="FootnoteReference"/>
        </w:rPr>
        <w:footnoteRef/>
      </w:r>
      <w:r w:rsidRPr="00D72BF4">
        <w:rPr>
          <w:lang w:val="en-GB"/>
        </w:rPr>
        <w:tab/>
        <w:t xml:space="preserve">See general comment No. 35 (2014) on liberty and security of person, para. 12. </w:t>
      </w:r>
    </w:p>
  </w:footnote>
  <w:footnote w:id="7">
    <w:p w:rsidR="007B0587" w:rsidRPr="00C01980" w:rsidRDefault="007B0587" w:rsidP="00BD02A7">
      <w:pPr>
        <w:pStyle w:val="FootnoteText"/>
      </w:pPr>
      <w:r w:rsidRPr="00D72BF4">
        <w:rPr>
          <w:lang w:val="en-GB"/>
        </w:rPr>
        <w:tab/>
      </w:r>
      <w:r w:rsidRPr="00EC6BDA">
        <w:rPr>
          <w:rStyle w:val="FootnoteReference"/>
        </w:rPr>
        <w:footnoteRef/>
      </w:r>
      <w:r w:rsidRPr="00D72BF4">
        <w:rPr>
          <w:lang w:val="en-GB"/>
        </w:rPr>
        <w:tab/>
        <w:t xml:space="preserve">See </w:t>
      </w:r>
      <w:r w:rsidRPr="00D72BF4">
        <w:rPr>
          <w:i/>
          <w:lang w:val="en-GB"/>
        </w:rPr>
        <w:t>Madafferi v. Australia</w:t>
      </w:r>
      <w:r w:rsidRPr="00D72BF4">
        <w:rPr>
          <w:lang w:val="en-GB"/>
        </w:rPr>
        <w:t xml:space="preserve">, para. 9.8; and </w:t>
      </w:r>
      <w:r w:rsidRPr="00D72BF4">
        <w:rPr>
          <w:i/>
          <w:lang w:val="en-GB"/>
        </w:rPr>
        <w:t>D.T. v. Canada</w:t>
      </w:r>
      <w:r w:rsidRPr="00D72BF4">
        <w:rPr>
          <w:lang w:val="en-GB"/>
        </w:rPr>
        <w:t xml:space="preserve"> (CCPR/C/117/D/2081/2011), para. </w:t>
      </w:r>
      <w:r w:rsidRPr="00C01980">
        <w:t>7.6.</w:t>
      </w:r>
    </w:p>
  </w:footnote>
  <w:footnote w:id="8">
    <w:p w:rsidR="007B0587" w:rsidRPr="007E0164" w:rsidRDefault="007B0587" w:rsidP="00BD02A7">
      <w:pPr>
        <w:pStyle w:val="FootnoteText"/>
      </w:pPr>
      <w:r w:rsidRPr="00C01980">
        <w:tab/>
      </w:r>
      <w:r w:rsidRPr="00EC6BDA">
        <w:rPr>
          <w:rStyle w:val="FootnoteReference"/>
        </w:rPr>
        <w:footnoteRef/>
      </w:r>
      <w:r w:rsidRPr="00C01980">
        <w:rPr>
          <w:rStyle w:val="FootnoteReference"/>
        </w:rPr>
        <w:t xml:space="preserve"> </w:t>
      </w:r>
      <w:r w:rsidRPr="00C01980">
        <w:tab/>
      </w:r>
      <w:r w:rsidRPr="007E0164">
        <w:t xml:space="preserve">See </w:t>
      </w:r>
      <w:r w:rsidRPr="007B0587">
        <w:rPr>
          <w:i/>
        </w:rPr>
        <w:t>Bakhtiyari v. Australia</w:t>
      </w:r>
      <w:r w:rsidRPr="00C01980">
        <w:t xml:space="preserve"> (CCPR/C/79/D/1069/2002), para. </w:t>
      </w:r>
      <w:r w:rsidRPr="007E0164">
        <w:t>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87" w:rsidRPr="00741502" w:rsidRDefault="007B0587" w:rsidP="00BA16C6">
    <w:pPr>
      <w:pStyle w:val="Header"/>
    </w:pPr>
    <w:r w:rsidRPr="00741502">
      <w:t xml:space="preserve">CCPR/C/123/D/2371/2014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87" w:rsidRPr="008564DF" w:rsidRDefault="007B0587">
    <w:pPr>
      <w:pStyle w:val="Header"/>
      <w:jc w:val="right"/>
    </w:pPr>
    <w:r w:rsidRPr="00741502">
      <w:t>CCPR/C/123/D/2371/2014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D75BF"/>
    <w:multiLevelType w:val="multilevel"/>
    <w:tmpl w:val="0116015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C"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C" w:vendorID="64" w:dllVersion="0" w:nlCheck="1" w:checkStyle="0"/>
  <w:activeWritingStyle w:appName="MSWord" w:lang="en-GB"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F"/>
    <w:rsid w:val="00005848"/>
    <w:rsid w:val="0001035A"/>
    <w:rsid w:val="000272B3"/>
    <w:rsid w:val="0003364A"/>
    <w:rsid w:val="000405B6"/>
    <w:rsid w:val="000406C4"/>
    <w:rsid w:val="00045E30"/>
    <w:rsid w:val="00050F6B"/>
    <w:rsid w:val="00055305"/>
    <w:rsid w:val="00057E97"/>
    <w:rsid w:val="00060C3A"/>
    <w:rsid w:val="00064CEE"/>
    <w:rsid w:val="00072C8C"/>
    <w:rsid w:val="000733B5"/>
    <w:rsid w:val="00074450"/>
    <w:rsid w:val="00081815"/>
    <w:rsid w:val="00082AB1"/>
    <w:rsid w:val="0008658F"/>
    <w:rsid w:val="000913A5"/>
    <w:rsid w:val="000931C0"/>
    <w:rsid w:val="00096A25"/>
    <w:rsid w:val="000A7A8F"/>
    <w:rsid w:val="000A7FF8"/>
    <w:rsid w:val="000B175B"/>
    <w:rsid w:val="000B3A0F"/>
    <w:rsid w:val="000B4EF7"/>
    <w:rsid w:val="000C08E2"/>
    <w:rsid w:val="000C1FA1"/>
    <w:rsid w:val="000C29D7"/>
    <w:rsid w:val="000C2C03"/>
    <w:rsid w:val="000C2D2E"/>
    <w:rsid w:val="000C63F1"/>
    <w:rsid w:val="000E0415"/>
    <w:rsid w:val="000E36BD"/>
    <w:rsid w:val="001032E9"/>
    <w:rsid w:val="001103AA"/>
    <w:rsid w:val="00124A52"/>
    <w:rsid w:val="00140B2B"/>
    <w:rsid w:val="00140CB2"/>
    <w:rsid w:val="0014718D"/>
    <w:rsid w:val="001511A9"/>
    <w:rsid w:val="00153149"/>
    <w:rsid w:val="00165F3A"/>
    <w:rsid w:val="00175E68"/>
    <w:rsid w:val="00180B0C"/>
    <w:rsid w:val="00183968"/>
    <w:rsid w:val="00187AA2"/>
    <w:rsid w:val="001A5AE1"/>
    <w:rsid w:val="001A63A5"/>
    <w:rsid w:val="001A6686"/>
    <w:rsid w:val="001B4B04"/>
    <w:rsid w:val="001B5247"/>
    <w:rsid w:val="001C3AF1"/>
    <w:rsid w:val="001C6663"/>
    <w:rsid w:val="001C75BA"/>
    <w:rsid w:val="001C7895"/>
    <w:rsid w:val="001D0C8C"/>
    <w:rsid w:val="001D26DF"/>
    <w:rsid w:val="001D3A03"/>
    <w:rsid w:val="001D3C3B"/>
    <w:rsid w:val="001E1602"/>
    <w:rsid w:val="001F3DC5"/>
    <w:rsid w:val="00202DA8"/>
    <w:rsid w:val="002115A5"/>
    <w:rsid w:val="00211E0B"/>
    <w:rsid w:val="00215F98"/>
    <w:rsid w:val="00225708"/>
    <w:rsid w:val="00226335"/>
    <w:rsid w:val="0023210C"/>
    <w:rsid w:val="0023331A"/>
    <w:rsid w:val="00233F14"/>
    <w:rsid w:val="00264B62"/>
    <w:rsid w:val="00267F5F"/>
    <w:rsid w:val="00270EAF"/>
    <w:rsid w:val="00275881"/>
    <w:rsid w:val="00286B4D"/>
    <w:rsid w:val="00296C4C"/>
    <w:rsid w:val="002C1951"/>
    <w:rsid w:val="002D026A"/>
    <w:rsid w:val="002D187D"/>
    <w:rsid w:val="002E1880"/>
    <w:rsid w:val="002E2951"/>
    <w:rsid w:val="002F175C"/>
    <w:rsid w:val="002F37EA"/>
    <w:rsid w:val="00310390"/>
    <w:rsid w:val="003229D8"/>
    <w:rsid w:val="00332426"/>
    <w:rsid w:val="00334218"/>
    <w:rsid w:val="0033515A"/>
    <w:rsid w:val="00337065"/>
    <w:rsid w:val="00352709"/>
    <w:rsid w:val="003615B6"/>
    <w:rsid w:val="00367567"/>
    <w:rsid w:val="00371178"/>
    <w:rsid w:val="003813A1"/>
    <w:rsid w:val="0038336C"/>
    <w:rsid w:val="00390860"/>
    <w:rsid w:val="003A6810"/>
    <w:rsid w:val="003B77AB"/>
    <w:rsid w:val="003C2CC4"/>
    <w:rsid w:val="003C39AE"/>
    <w:rsid w:val="003D4B23"/>
    <w:rsid w:val="003E0A1B"/>
    <w:rsid w:val="003E3C22"/>
    <w:rsid w:val="004076CD"/>
    <w:rsid w:val="00410C89"/>
    <w:rsid w:val="0041210E"/>
    <w:rsid w:val="00414687"/>
    <w:rsid w:val="00417559"/>
    <w:rsid w:val="00421DDB"/>
    <w:rsid w:val="00426B9B"/>
    <w:rsid w:val="004325CB"/>
    <w:rsid w:val="004327A0"/>
    <w:rsid w:val="00436B33"/>
    <w:rsid w:val="00442A83"/>
    <w:rsid w:val="00444F6C"/>
    <w:rsid w:val="00451DF0"/>
    <w:rsid w:val="0045495B"/>
    <w:rsid w:val="00454CB1"/>
    <w:rsid w:val="00465771"/>
    <w:rsid w:val="00466CD4"/>
    <w:rsid w:val="00487488"/>
    <w:rsid w:val="00496F96"/>
    <w:rsid w:val="004B5FB6"/>
    <w:rsid w:val="004D61E2"/>
    <w:rsid w:val="004E4408"/>
    <w:rsid w:val="004E5242"/>
    <w:rsid w:val="00502545"/>
    <w:rsid w:val="00510DAF"/>
    <w:rsid w:val="0052136D"/>
    <w:rsid w:val="005262E6"/>
    <w:rsid w:val="0052775E"/>
    <w:rsid w:val="005420F2"/>
    <w:rsid w:val="00546DC6"/>
    <w:rsid w:val="00556E74"/>
    <w:rsid w:val="005628B6"/>
    <w:rsid w:val="005713CC"/>
    <w:rsid w:val="005822E1"/>
    <w:rsid w:val="005848B3"/>
    <w:rsid w:val="00590830"/>
    <w:rsid w:val="005A1259"/>
    <w:rsid w:val="005A26C1"/>
    <w:rsid w:val="005B3DB3"/>
    <w:rsid w:val="005B63E1"/>
    <w:rsid w:val="005C1A98"/>
    <w:rsid w:val="005D0097"/>
    <w:rsid w:val="005D7E83"/>
    <w:rsid w:val="005F06AA"/>
    <w:rsid w:val="005F7717"/>
    <w:rsid w:val="005F7B75"/>
    <w:rsid w:val="006001EE"/>
    <w:rsid w:val="00605042"/>
    <w:rsid w:val="00607DEE"/>
    <w:rsid w:val="00611FC4"/>
    <w:rsid w:val="006175FF"/>
    <w:rsid w:val="006176FB"/>
    <w:rsid w:val="00625D6E"/>
    <w:rsid w:val="0063059B"/>
    <w:rsid w:val="006363B3"/>
    <w:rsid w:val="00640B26"/>
    <w:rsid w:val="006427D5"/>
    <w:rsid w:val="00652D0A"/>
    <w:rsid w:val="00654EEC"/>
    <w:rsid w:val="00662BB6"/>
    <w:rsid w:val="00667330"/>
    <w:rsid w:val="0067178B"/>
    <w:rsid w:val="00674EB0"/>
    <w:rsid w:val="00675B95"/>
    <w:rsid w:val="00684C21"/>
    <w:rsid w:val="0069041C"/>
    <w:rsid w:val="00696E99"/>
    <w:rsid w:val="006A0D4A"/>
    <w:rsid w:val="006A6786"/>
    <w:rsid w:val="006A7D1A"/>
    <w:rsid w:val="006D37AF"/>
    <w:rsid w:val="006D4B88"/>
    <w:rsid w:val="006D51D0"/>
    <w:rsid w:val="006E564B"/>
    <w:rsid w:val="006E7191"/>
    <w:rsid w:val="00703577"/>
    <w:rsid w:val="007039DC"/>
    <w:rsid w:val="00724F03"/>
    <w:rsid w:val="0072632A"/>
    <w:rsid w:val="007327D5"/>
    <w:rsid w:val="0074031E"/>
    <w:rsid w:val="00741502"/>
    <w:rsid w:val="00752D5A"/>
    <w:rsid w:val="007629C8"/>
    <w:rsid w:val="007703B7"/>
    <w:rsid w:val="00784261"/>
    <w:rsid w:val="00786839"/>
    <w:rsid w:val="007A4C34"/>
    <w:rsid w:val="007B0587"/>
    <w:rsid w:val="007B3E01"/>
    <w:rsid w:val="007B6BA5"/>
    <w:rsid w:val="007C3390"/>
    <w:rsid w:val="007C3A2E"/>
    <w:rsid w:val="007C4F4B"/>
    <w:rsid w:val="007C784F"/>
    <w:rsid w:val="007D1FF1"/>
    <w:rsid w:val="007D3E3E"/>
    <w:rsid w:val="007D42A0"/>
    <w:rsid w:val="007E0164"/>
    <w:rsid w:val="007E0B2D"/>
    <w:rsid w:val="007F6611"/>
    <w:rsid w:val="007F740A"/>
    <w:rsid w:val="007F7F51"/>
    <w:rsid w:val="008105B8"/>
    <w:rsid w:val="008209F9"/>
    <w:rsid w:val="008219A3"/>
    <w:rsid w:val="008242D7"/>
    <w:rsid w:val="008257B1"/>
    <w:rsid w:val="008378B8"/>
    <w:rsid w:val="00843767"/>
    <w:rsid w:val="008564DF"/>
    <w:rsid w:val="0086779C"/>
    <w:rsid w:val="008679D9"/>
    <w:rsid w:val="00874880"/>
    <w:rsid w:val="00887F42"/>
    <w:rsid w:val="008979B1"/>
    <w:rsid w:val="008A1DB2"/>
    <w:rsid w:val="008A6B25"/>
    <w:rsid w:val="008A6C4F"/>
    <w:rsid w:val="008B2335"/>
    <w:rsid w:val="008B5B1E"/>
    <w:rsid w:val="008C270F"/>
    <w:rsid w:val="008E0678"/>
    <w:rsid w:val="008E267B"/>
    <w:rsid w:val="008E424C"/>
    <w:rsid w:val="00901B54"/>
    <w:rsid w:val="00910F40"/>
    <w:rsid w:val="00912C08"/>
    <w:rsid w:val="00914E9D"/>
    <w:rsid w:val="009223CA"/>
    <w:rsid w:val="009303D1"/>
    <w:rsid w:val="00940F93"/>
    <w:rsid w:val="0095347F"/>
    <w:rsid w:val="00970073"/>
    <w:rsid w:val="009760F3"/>
    <w:rsid w:val="0097647A"/>
    <w:rsid w:val="009772B8"/>
    <w:rsid w:val="009831E5"/>
    <w:rsid w:val="00983FC9"/>
    <w:rsid w:val="009902CB"/>
    <w:rsid w:val="009909F5"/>
    <w:rsid w:val="00997914"/>
    <w:rsid w:val="009A0E8D"/>
    <w:rsid w:val="009A6266"/>
    <w:rsid w:val="009B0DD8"/>
    <w:rsid w:val="009B26E7"/>
    <w:rsid w:val="009C4E87"/>
    <w:rsid w:val="009E1F35"/>
    <w:rsid w:val="009E3757"/>
    <w:rsid w:val="009F012E"/>
    <w:rsid w:val="009F37C4"/>
    <w:rsid w:val="009F779A"/>
    <w:rsid w:val="00A00A3F"/>
    <w:rsid w:val="00A01489"/>
    <w:rsid w:val="00A044BE"/>
    <w:rsid w:val="00A05BE3"/>
    <w:rsid w:val="00A07E13"/>
    <w:rsid w:val="00A204FC"/>
    <w:rsid w:val="00A20D69"/>
    <w:rsid w:val="00A21D35"/>
    <w:rsid w:val="00A338F1"/>
    <w:rsid w:val="00A36488"/>
    <w:rsid w:val="00A4401F"/>
    <w:rsid w:val="00A44615"/>
    <w:rsid w:val="00A51DB4"/>
    <w:rsid w:val="00A56D24"/>
    <w:rsid w:val="00A57D52"/>
    <w:rsid w:val="00A61800"/>
    <w:rsid w:val="00A711A2"/>
    <w:rsid w:val="00A72F22"/>
    <w:rsid w:val="00A7360F"/>
    <w:rsid w:val="00A748A6"/>
    <w:rsid w:val="00A769F4"/>
    <w:rsid w:val="00A776B4"/>
    <w:rsid w:val="00A94361"/>
    <w:rsid w:val="00AA0FA8"/>
    <w:rsid w:val="00AA293C"/>
    <w:rsid w:val="00AB275F"/>
    <w:rsid w:val="00AC1C17"/>
    <w:rsid w:val="00AD0683"/>
    <w:rsid w:val="00AD24F0"/>
    <w:rsid w:val="00AE4456"/>
    <w:rsid w:val="00AF6BC5"/>
    <w:rsid w:val="00B13E9B"/>
    <w:rsid w:val="00B16B6A"/>
    <w:rsid w:val="00B30179"/>
    <w:rsid w:val="00B339A7"/>
    <w:rsid w:val="00B3594F"/>
    <w:rsid w:val="00B365E4"/>
    <w:rsid w:val="00B45776"/>
    <w:rsid w:val="00B54240"/>
    <w:rsid w:val="00B56E4A"/>
    <w:rsid w:val="00B56E9C"/>
    <w:rsid w:val="00B60820"/>
    <w:rsid w:val="00B64B1F"/>
    <w:rsid w:val="00B6553F"/>
    <w:rsid w:val="00B66E5E"/>
    <w:rsid w:val="00B72350"/>
    <w:rsid w:val="00B77D05"/>
    <w:rsid w:val="00B77DAC"/>
    <w:rsid w:val="00B81206"/>
    <w:rsid w:val="00B814DE"/>
    <w:rsid w:val="00B81E12"/>
    <w:rsid w:val="00B84652"/>
    <w:rsid w:val="00B876CF"/>
    <w:rsid w:val="00B9067B"/>
    <w:rsid w:val="00B911AA"/>
    <w:rsid w:val="00B95898"/>
    <w:rsid w:val="00B967B2"/>
    <w:rsid w:val="00B97BFE"/>
    <w:rsid w:val="00B97E5E"/>
    <w:rsid w:val="00BA16C6"/>
    <w:rsid w:val="00BB0899"/>
    <w:rsid w:val="00BB4216"/>
    <w:rsid w:val="00BC2C23"/>
    <w:rsid w:val="00BC74E9"/>
    <w:rsid w:val="00BD02A7"/>
    <w:rsid w:val="00BD4A0E"/>
    <w:rsid w:val="00BD5C32"/>
    <w:rsid w:val="00BE6778"/>
    <w:rsid w:val="00BE6E46"/>
    <w:rsid w:val="00BF68A8"/>
    <w:rsid w:val="00C0118C"/>
    <w:rsid w:val="00C01980"/>
    <w:rsid w:val="00C01AF4"/>
    <w:rsid w:val="00C0510B"/>
    <w:rsid w:val="00C11A03"/>
    <w:rsid w:val="00C1206E"/>
    <w:rsid w:val="00C20AF2"/>
    <w:rsid w:val="00C2772B"/>
    <w:rsid w:val="00C463DD"/>
    <w:rsid w:val="00C4724C"/>
    <w:rsid w:val="00C47B17"/>
    <w:rsid w:val="00C5400D"/>
    <w:rsid w:val="00C60107"/>
    <w:rsid w:val="00C60342"/>
    <w:rsid w:val="00C629A0"/>
    <w:rsid w:val="00C702EF"/>
    <w:rsid w:val="00C70E44"/>
    <w:rsid w:val="00C716E5"/>
    <w:rsid w:val="00C745C3"/>
    <w:rsid w:val="00C8240A"/>
    <w:rsid w:val="00C8702D"/>
    <w:rsid w:val="00CB19DE"/>
    <w:rsid w:val="00CB3304"/>
    <w:rsid w:val="00CB6D1D"/>
    <w:rsid w:val="00CC2F22"/>
    <w:rsid w:val="00CD0B07"/>
    <w:rsid w:val="00CE4A8F"/>
    <w:rsid w:val="00D03FCF"/>
    <w:rsid w:val="00D04F51"/>
    <w:rsid w:val="00D11F6E"/>
    <w:rsid w:val="00D1678A"/>
    <w:rsid w:val="00D179BB"/>
    <w:rsid w:val="00D17ADE"/>
    <w:rsid w:val="00D2031B"/>
    <w:rsid w:val="00D21D0F"/>
    <w:rsid w:val="00D25FE2"/>
    <w:rsid w:val="00D43252"/>
    <w:rsid w:val="00D47EEA"/>
    <w:rsid w:val="00D60A34"/>
    <w:rsid w:val="00D62201"/>
    <w:rsid w:val="00D72BF4"/>
    <w:rsid w:val="00D7606E"/>
    <w:rsid w:val="00D95303"/>
    <w:rsid w:val="00D9540C"/>
    <w:rsid w:val="00D978C6"/>
    <w:rsid w:val="00DA1608"/>
    <w:rsid w:val="00DA3111"/>
    <w:rsid w:val="00DA3C1C"/>
    <w:rsid w:val="00DB0C79"/>
    <w:rsid w:val="00DB542C"/>
    <w:rsid w:val="00DB6A39"/>
    <w:rsid w:val="00DB7E86"/>
    <w:rsid w:val="00DC046E"/>
    <w:rsid w:val="00DD0DC1"/>
    <w:rsid w:val="00DE1A1B"/>
    <w:rsid w:val="00DE2246"/>
    <w:rsid w:val="00E16AEE"/>
    <w:rsid w:val="00E203FD"/>
    <w:rsid w:val="00E20FF5"/>
    <w:rsid w:val="00E27346"/>
    <w:rsid w:val="00E33488"/>
    <w:rsid w:val="00E5208B"/>
    <w:rsid w:val="00E52FC0"/>
    <w:rsid w:val="00E623E4"/>
    <w:rsid w:val="00E65A1F"/>
    <w:rsid w:val="00E71BC8"/>
    <w:rsid w:val="00E7260F"/>
    <w:rsid w:val="00E779FC"/>
    <w:rsid w:val="00E904F5"/>
    <w:rsid w:val="00E96630"/>
    <w:rsid w:val="00EB2581"/>
    <w:rsid w:val="00EB4092"/>
    <w:rsid w:val="00EB53EB"/>
    <w:rsid w:val="00EC0AE3"/>
    <w:rsid w:val="00EC6BDA"/>
    <w:rsid w:val="00ED3D0A"/>
    <w:rsid w:val="00ED5746"/>
    <w:rsid w:val="00ED7A2A"/>
    <w:rsid w:val="00EF1D7F"/>
    <w:rsid w:val="00F1160F"/>
    <w:rsid w:val="00F20676"/>
    <w:rsid w:val="00F20C3D"/>
    <w:rsid w:val="00F214E9"/>
    <w:rsid w:val="00F23150"/>
    <w:rsid w:val="00F26A3A"/>
    <w:rsid w:val="00F37FAC"/>
    <w:rsid w:val="00F43E9E"/>
    <w:rsid w:val="00F4438F"/>
    <w:rsid w:val="00F4626E"/>
    <w:rsid w:val="00F47B96"/>
    <w:rsid w:val="00F547C2"/>
    <w:rsid w:val="00F66366"/>
    <w:rsid w:val="00F7111F"/>
    <w:rsid w:val="00F72132"/>
    <w:rsid w:val="00F77046"/>
    <w:rsid w:val="00F8039D"/>
    <w:rsid w:val="00F84D9A"/>
    <w:rsid w:val="00F85098"/>
    <w:rsid w:val="00F85C08"/>
    <w:rsid w:val="00F87077"/>
    <w:rsid w:val="00F9057C"/>
    <w:rsid w:val="00F906D7"/>
    <w:rsid w:val="00F91BD5"/>
    <w:rsid w:val="00F93781"/>
    <w:rsid w:val="00FB0BBF"/>
    <w:rsid w:val="00FB17BA"/>
    <w:rsid w:val="00FB4FF0"/>
    <w:rsid w:val="00FB613B"/>
    <w:rsid w:val="00FC33EC"/>
    <w:rsid w:val="00FC4264"/>
    <w:rsid w:val="00FC68B7"/>
    <w:rsid w:val="00FD7914"/>
    <w:rsid w:val="00FE106A"/>
    <w:rsid w:val="00FF0674"/>
    <w:rsid w:val="00FF773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76FCF-DD8B-4641-828B-418E20EA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C"/>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semiHidden/>
    <w:qFormat/>
    <w:rsid w:val="000272B3"/>
    <w:pPr>
      <w:spacing w:line="240" w:lineRule="auto"/>
      <w:outlineLvl w:val="1"/>
    </w:pPr>
  </w:style>
  <w:style w:type="paragraph" w:styleId="Heading3">
    <w:name w:val="heading 3"/>
    <w:basedOn w:val="Normal"/>
    <w:next w:val="Normal"/>
    <w:semiHidden/>
    <w:qFormat/>
    <w:rsid w:val="000272B3"/>
    <w:pPr>
      <w:spacing w:line="240" w:lineRule="auto"/>
      <w:outlineLvl w:val="2"/>
    </w:pPr>
  </w:style>
  <w:style w:type="paragraph" w:styleId="Heading4">
    <w:name w:val="heading 4"/>
    <w:basedOn w:val="Normal"/>
    <w:next w:val="Normal"/>
    <w:semiHidden/>
    <w:qFormat/>
    <w:rsid w:val="000272B3"/>
    <w:pPr>
      <w:spacing w:line="240" w:lineRule="auto"/>
      <w:outlineLvl w:val="3"/>
    </w:pPr>
  </w:style>
  <w:style w:type="paragraph" w:styleId="Heading5">
    <w:name w:val="heading 5"/>
    <w:basedOn w:val="Normal"/>
    <w:next w:val="Normal"/>
    <w:semiHidden/>
    <w:qFormat/>
    <w:rsid w:val="000272B3"/>
    <w:pPr>
      <w:spacing w:line="240" w:lineRule="auto"/>
      <w:outlineLvl w:val="4"/>
    </w:pPr>
  </w:style>
  <w:style w:type="paragraph" w:styleId="Heading6">
    <w:name w:val="heading 6"/>
    <w:basedOn w:val="Normal"/>
    <w:next w:val="Normal"/>
    <w:semiHidden/>
    <w:qFormat/>
    <w:rsid w:val="000272B3"/>
    <w:pPr>
      <w:spacing w:line="240" w:lineRule="auto"/>
      <w:outlineLvl w:val="5"/>
    </w:pPr>
  </w:style>
  <w:style w:type="paragraph" w:styleId="Heading7">
    <w:name w:val="heading 7"/>
    <w:basedOn w:val="Normal"/>
    <w:next w:val="Normal"/>
    <w:semiHidden/>
    <w:qFormat/>
    <w:rsid w:val="000272B3"/>
    <w:pPr>
      <w:spacing w:line="240" w:lineRule="auto"/>
      <w:outlineLvl w:val="6"/>
    </w:pPr>
  </w:style>
  <w:style w:type="paragraph" w:styleId="Heading8">
    <w:name w:val="heading 8"/>
    <w:basedOn w:val="Normal"/>
    <w:next w:val="Normal"/>
    <w:semiHidden/>
    <w:qFormat/>
    <w:rsid w:val="000272B3"/>
    <w:pPr>
      <w:spacing w:line="240" w:lineRule="auto"/>
      <w:outlineLvl w:val="7"/>
    </w:pPr>
  </w:style>
  <w:style w:type="paragraph" w:styleId="Heading9">
    <w:name w:val="heading 9"/>
    <w:basedOn w:val="Normal"/>
    <w:next w:val="Normal"/>
    <w:semiHidden/>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qFormat/>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F773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EndnoteText">
    <w:name w:val="endnote text"/>
    <w:aliases w:val="2_G"/>
    <w:basedOn w:val="FootnoteText"/>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qFormat/>
    <w:rsid w:val="000272B3"/>
    <w:rPr>
      <w:rFonts w:ascii="Times New Roman" w:hAnsi="Times New Roman"/>
      <w:sz w:val="18"/>
      <w:vertAlign w:val="superscript"/>
      <w:lang w:val="fr-CH"/>
    </w:rPr>
  </w:style>
  <w:style w:type="character" w:styleId="FootnoteReference">
    <w:name w:val="footnote reference"/>
    <w:aliases w:val="4_G"/>
    <w:qFormat/>
    <w:rsid w:val="00FF7735"/>
    <w:rPr>
      <w:rFonts w:ascii="Times New Roman" w:hAnsi="Times New Roman"/>
      <w:sz w:val="18"/>
      <w:vertAlign w:val="superscript"/>
      <w:lang w:val="fr-CH"/>
    </w:rPr>
  </w:style>
  <w:style w:type="character" w:styleId="PageNumber">
    <w:name w:val="page number"/>
    <w:aliases w:val="7_G"/>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Footer">
    <w:name w:val="footer"/>
    <w:aliases w:val="3_G"/>
    <w:basedOn w:val="Normal"/>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9540C"/>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SimSun"/>
      <w:i/>
      <w:lang w:val="fr-CH" w:eastAsia="zh-CN"/>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FC33EC"/>
    <w:pPr>
      <w:spacing w:line="240" w:lineRule="auto"/>
    </w:pPr>
    <w:rPr>
      <w:rFonts w:ascii="Tahoma" w:hAnsi="Tahoma" w:cs="Tahoma"/>
      <w:sz w:val="16"/>
      <w:szCs w:val="16"/>
    </w:rPr>
  </w:style>
  <w:style w:type="character" w:customStyle="1" w:styleId="BalloonTextChar">
    <w:name w:val="Balloon Text Char"/>
    <w:link w:val="BalloonText"/>
    <w:semiHidden/>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FF7735"/>
    <w:rPr>
      <w:rFonts w:eastAsia="SimSun"/>
      <w:sz w:val="18"/>
      <w:lang w:val="fr-CH" w:eastAsia="zh-CN"/>
    </w:rPr>
  </w:style>
  <w:style w:type="character" w:styleId="CommentReference">
    <w:name w:val="annotation reference"/>
    <w:semiHidden/>
    <w:unhideWhenUsed/>
    <w:rsid w:val="00454CB1"/>
    <w:rPr>
      <w:sz w:val="16"/>
      <w:szCs w:val="16"/>
    </w:rPr>
  </w:style>
  <w:style w:type="paragraph" w:styleId="CommentText">
    <w:name w:val="annotation text"/>
    <w:basedOn w:val="Normal"/>
    <w:link w:val="CommentTextChar"/>
    <w:semiHidden/>
    <w:unhideWhenUsed/>
    <w:rsid w:val="00454CB1"/>
    <w:pPr>
      <w:spacing w:line="240" w:lineRule="auto"/>
    </w:pPr>
  </w:style>
  <w:style w:type="character" w:customStyle="1" w:styleId="CommentTextChar">
    <w:name w:val="Comment Text Char"/>
    <w:link w:val="CommentText"/>
    <w:semiHidden/>
    <w:rsid w:val="00454CB1"/>
    <w:rPr>
      <w:lang w:val="en-GB" w:eastAsia="en-US"/>
    </w:rPr>
  </w:style>
  <w:style w:type="paragraph" w:styleId="CommentSubject">
    <w:name w:val="annotation subject"/>
    <w:basedOn w:val="CommentText"/>
    <w:next w:val="CommentText"/>
    <w:link w:val="CommentSubjectChar"/>
    <w:semiHidden/>
    <w:unhideWhenUsed/>
    <w:rsid w:val="00454CB1"/>
    <w:rPr>
      <w:b/>
      <w:bCs/>
    </w:rPr>
  </w:style>
  <w:style w:type="character" w:customStyle="1" w:styleId="CommentSubjectChar">
    <w:name w:val="Comment Subject Char"/>
    <w:link w:val="CommentSubject"/>
    <w:semiHidden/>
    <w:rsid w:val="00454CB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documents-dds-ny.un.org/doc/UNDOC/DER/G04/435/70/pdf/G0443570.pdf?OpenElement" TargetMode="External"/><Relationship Id="rId1" Type="http://schemas.openxmlformats.org/officeDocument/2006/relationships/hyperlink" Target="https://documents-dds-ny.un.org/doc/UNDOC/DER/G04/450/92/pdf/G0445092.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F150-1E0B-4187-AB3A-DFF4E809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5076</Words>
  <Characters>28935</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CCPR/C/123/D/2371/2014</vt:lpstr>
      <vt:lpstr>CCPR/C/123/DR/2371/2014</vt:lpstr>
    </vt:vector>
  </TitlesOfParts>
  <Company>CSD</Company>
  <LinksUpToDate>false</LinksUpToDate>
  <CharactersWithSpaces>33944</CharactersWithSpaces>
  <SharedDoc>false</SharedDoc>
  <HLinks>
    <vt:vector size="12" baseType="variant">
      <vt:variant>
        <vt:i4>5439516</vt:i4>
      </vt:variant>
      <vt:variant>
        <vt:i4>3</vt:i4>
      </vt:variant>
      <vt:variant>
        <vt:i4>0</vt:i4>
      </vt:variant>
      <vt:variant>
        <vt:i4>5</vt:i4>
      </vt:variant>
      <vt:variant>
        <vt:lpwstr>https://documents-dds-ny.un.org/doc/UNDOC/DER/G04/435/70/pdf/G0443570.pdf?OpenElement</vt:lpwstr>
      </vt:variant>
      <vt:variant>
        <vt:lpwstr/>
      </vt:variant>
      <vt:variant>
        <vt:i4>6225936</vt:i4>
      </vt:variant>
      <vt:variant>
        <vt:i4>0</vt:i4>
      </vt:variant>
      <vt:variant>
        <vt:i4>0</vt:i4>
      </vt:variant>
      <vt:variant>
        <vt:i4>5</vt:i4>
      </vt:variant>
      <vt:variant>
        <vt:lpwstr>https://documents-dds-ny.un.org/doc/UNDOC/DER/G04/450/92/pdf/G0445092.pdf?OpenElement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CCPR/C/123/D/2371/2014</dc:title>
  <dc:subject>1814611</dc:subject>
  <dc:creator>ABDELAZIM Mohamed</dc:creator>
  <cp:keywords/>
  <dc:description/>
  <cp:lastModifiedBy>Sarah Willig</cp:lastModifiedBy>
  <cp:revision>2</cp:revision>
  <cp:lastPrinted>2018-08-27T16:14:00Z</cp:lastPrinted>
  <dcterms:created xsi:type="dcterms:W3CDTF">2019-04-23T22:13:00Z</dcterms:created>
  <dcterms:modified xsi:type="dcterms:W3CDTF">2019-04-23T22:13:00Z</dcterms:modified>
</cp:coreProperties>
</file>