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C51530" w14:paraId="359600B6" w14:textId="77777777" w:rsidTr="00B6553F">
        <w:trPr>
          <w:cantSplit/>
          <w:trHeight w:hRule="exact" w:val="851"/>
        </w:trPr>
        <w:tc>
          <w:tcPr>
            <w:tcW w:w="1276" w:type="dxa"/>
            <w:tcBorders>
              <w:bottom w:val="single" w:sz="4" w:space="0" w:color="auto"/>
            </w:tcBorders>
            <w:vAlign w:val="bottom"/>
          </w:tcPr>
          <w:p w14:paraId="019A7483" w14:textId="77777777" w:rsidR="009B451C" w:rsidRPr="009B451C" w:rsidRDefault="009B451C" w:rsidP="009B451C">
            <w:pPr>
              <w:spacing w:line="20" w:lineRule="exact"/>
              <w:jc w:val="both"/>
              <w:rPr>
                <w:sz w:val="2"/>
              </w:rPr>
            </w:pPr>
            <w:r>
              <w:rPr>
                <w:rStyle w:val="CommentReference"/>
                <w:lang w:val="x-none"/>
              </w:rPr>
              <w:commentReference w:id="0"/>
            </w:r>
            <w:bookmarkStart w:id="1" w:name="_GoBack"/>
            <w:bookmarkEnd w:id="1"/>
          </w:p>
          <w:p w14:paraId="1D74747F" w14:textId="77777777" w:rsidR="00B56E9C" w:rsidRPr="00C51530" w:rsidRDefault="009E74DB" w:rsidP="00F10F62">
            <w:pPr>
              <w:spacing w:after="80"/>
              <w:jc w:val="both"/>
            </w:pPr>
            <w:r>
              <w:t xml:space="preserve"> </w:t>
            </w:r>
          </w:p>
        </w:tc>
        <w:tc>
          <w:tcPr>
            <w:tcW w:w="2268" w:type="dxa"/>
            <w:tcBorders>
              <w:bottom w:val="single" w:sz="4" w:space="0" w:color="auto"/>
            </w:tcBorders>
            <w:vAlign w:val="bottom"/>
          </w:tcPr>
          <w:p w14:paraId="17A5FABE" w14:textId="77777777" w:rsidR="00B56E9C" w:rsidRPr="00C51530" w:rsidRDefault="00B56E9C" w:rsidP="00B6553F">
            <w:pPr>
              <w:spacing w:after="80" w:line="300" w:lineRule="exact"/>
              <w:rPr>
                <w:b/>
                <w:sz w:val="24"/>
                <w:szCs w:val="24"/>
              </w:rPr>
            </w:pPr>
            <w:r w:rsidRPr="00C51530">
              <w:rPr>
                <w:sz w:val="28"/>
                <w:szCs w:val="28"/>
              </w:rPr>
              <w:t>United Nations</w:t>
            </w:r>
          </w:p>
        </w:tc>
        <w:tc>
          <w:tcPr>
            <w:tcW w:w="6095" w:type="dxa"/>
            <w:gridSpan w:val="2"/>
            <w:tcBorders>
              <w:bottom w:val="single" w:sz="4" w:space="0" w:color="auto"/>
            </w:tcBorders>
            <w:vAlign w:val="bottom"/>
          </w:tcPr>
          <w:p w14:paraId="5590F864" w14:textId="77777777" w:rsidR="00B56E9C" w:rsidRPr="00C51530" w:rsidRDefault="008216A5" w:rsidP="00E70F78">
            <w:pPr>
              <w:jc w:val="right"/>
            </w:pPr>
            <w:r w:rsidRPr="00C51530">
              <w:rPr>
                <w:sz w:val="40"/>
              </w:rPr>
              <w:t>CCPR</w:t>
            </w:r>
            <w:r w:rsidRPr="00C51530">
              <w:t>/C/1</w:t>
            </w:r>
            <w:r w:rsidR="00711F00" w:rsidRPr="00C51530">
              <w:t>1</w:t>
            </w:r>
            <w:r w:rsidR="00A17E37" w:rsidRPr="00C51530">
              <w:t>5</w:t>
            </w:r>
            <w:r w:rsidRPr="00C51530">
              <w:t>/D/</w:t>
            </w:r>
            <w:r w:rsidR="00834821" w:rsidRPr="00C51530">
              <w:t>2</w:t>
            </w:r>
            <w:r w:rsidR="001C1379" w:rsidRPr="00C51530">
              <w:t>141</w:t>
            </w:r>
            <w:r w:rsidRPr="00C51530">
              <w:t>/</w:t>
            </w:r>
            <w:r w:rsidR="00AE50CE" w:rsidRPr="00C51530">
              <w:t>20</w:t>
            </w:r>
            <w:r w:rsidR="00A17E37" w:rsidRPr="00C51530">
              <w:t>1</w:t>
            </w:r>
            <w:r w:rsidR="001C1379" w:rsidRPr="00C51530">
              <w:t>2</w:t>
            </w:r>
          </w:p>
        </w:tc>
      </w:tr>
      <w:tr w:rsidR="00B56E9C" w:rsidRPr="00C51530" w14:paraId="4AA5A1C1" w14:textId="77777777" w:rsidTr="00A9008E">
        <w:trPr>
          <w:cantSplit/>
          <w:trHeight w:hRule="exact" w:val="2706"/>
        </w:trPr>
        <w:tc>
          <w:tcPr>
            <w:tcW w:w="1276" w:type="dxa"/>
            <w:tcBorders>
              <w:top w:val="single" w:sz="4" w:space="0" w:color="auto"/>
              <w:bottom w:val="single" w:sz="12" w:space="0" w:color="auto"/>
            </w:tcBorders>
          </w:tcPr>
          <w:p w14:paraId="56A62952" w14:textId="77777777" w:rsidR="00B56E9C" w:rsidRPr="00C51530" w:rsidRDefault="00A61F33" w:rsidP="00B6553F">
            <w:pPr>
              <w:spacing w:before="120"/>
            </w:pPr>
            <w:r w:rsidRPr="00C51530">
              <w:rPr>
                <w:noProof/>
                <w:lang w:val="en-US"/>
              </w:rPr>
              <w:drawing>
                <wp:inline distT="0" distB="0" distL="0" distR="0" wp14:anchorId="174BA560" wp14:editId="4C141E47">
                  <wp:extent cx="709295" cy="59817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295" cy="59817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F8C1B83" w14:textId="77777777" w:rsidR="00B56E9C" w:rsidRPr="00C51530" w:rsidRDefault="00B56E9C" w:rsidP="00267F5F">
            <w:pPr>
              <w:spacing w:before="120" w:line="380" w:lineRule="exact"/>
              <w:rPr>
                <w:b/>
                <w:sz w:val="34"/>
                <w:szCs w:val="40"/>
              </w:rPr>
            </w:pPr>
            <w:r w:rsidRPr="00C51530">
              <w:rPr>
                <w:b/>
                <w:sz w:val="34"/>
                <w:szCs w:val="40"/>
              </w:rPr>
              <w:t xml:space="preserve">International </w:t>
            </w:r>
            <w:r w:rsidR="00060C3A" w:rsidRPr="00C51530">
              <w:rPr>
                <w:b/>
                <w:sz w:val="34"/>
                <w:szCs w:val="40"/>
              </w:rPr>
              <w:t>Covenant on</w:t>
            </w:r>
            <w:r w:rsidR="00060C3A" w:rsidRPr="00C51530">
              <w:rPr>
                <w:b/>
                <w:sz w:val="34"/>
                <w:szCs w:val="40"/>
              </w:rPr>
              <w:br/>
              <w:t>Civil and Political R</w:t>
            </w:r>
            <w:r w:rsidR="00703577" w:rsidRPr="00C51530">
              <w:rPr>
                <w:b/>
                <w:sz w:val="34"/>
                <w:szCs w:val="40"/>
              </w:rPr>
              <w:t>ights</w:t>
            </w:r>
          </w:p>
          <w:p w14:paraId="7D083991" w14:textId="77777777" w:rsidR="00427695" w:rsidRPr="00C51530" w:rsidRDefault="00427695" w:rsidP="00267F5F">
            <w:pPr>
              <w:spacing w:before="120" w:line="380" w:lineRule="exact"/>
              <w:rPr>
                <w:sz w:val="34"/>
              </w:rPr>
            </w:pPr>
          </w:p>
        </w:tc>
        <w:tc>
          <w:tcPr>
            <w:tcW w:w="2835" w:type="dxa"/>
            <w:tcBorders>
              <w:top w:val="single" w:sz="4" w:space="0" w:color="auto"/>
              <w:bottom w:val="single" w:sz="12" w:space="0" w:color="auto"/>
            </w:tcBorders>
          </w:tcPr>
          <w:p w14:paraId="3F956CBB" w14:textId="77777777" w:rsidR="00B56E9C" w:rsidRPr="00C51530" w:rsidRDefault="008216A5" w:rsidP="008216A5">
            <w:pPr>
              <w:spacing w:before="240" w:line="240" w:lineRule="exact"/>
            </w:pPr>
            <w:r w:rsidRPr="00C51530">
              <w:t xml:space="preserve">Distr.: </w:t>
            </w:r>
            <w:r w:rsidR="00427695" w:rsidRPr="00C51530">
              <w:t>General</w:t>
            </w:r>
          </w:p>
          <w:p w14:paraId="627921EA" w14:textId="77777777" w:rsidR="008216A5" w:rsidRPr="00C51530" w:rsidRDefault="00C51530" w:rsidP="00C51530">
            <w:pPr>
              <w:spacing w:line="240" w:lineRule="exact"/>
            </w:pPr>
            <w:r w:rsidRPr="00C51530">
              <w:t>7</w:t>
            </w:r>
            <w:r w:rsidR="00427695" w:rsidRPr="00C51530">
              <w:t xml:space="preserve"> </w:t>
            </w:r>
            <w:r w:rsidRPr="00C51530">
              <w:t>Dec</w:t>
            </w:r>
            <w:r w:rsidR="00427695" w:rsidRPr="00C51530">
              <w:t>ember</w:t>
            </w:r>
            <w:r w:rsidR="008D299D" w:rsidRPr="00C51530">
              <w:t xml:space="preserve"> 201</w:t>
            </w:r>
            <w:r w:rsidR="00366CF9" w:rsidRPr="00C51530">
              <w:t>5</w:t>
            </w:r>
          </w:p>
          <w:p w14:paraId="5C1701FF" w14:textId="77777777" w:rsidR="008216A5" w:rsidRPr="00C51530" w:rsidRDefault="008216A5" w:rsidP="008216A5">
            <w:pPr>
              <w:spacing w:line="240" w:lineRule="exact"/>
            </w:pPr>
          </w:p>
          <w:p w14:paraId="79B4745E" w14:textId="77777777" w:rsidR="008216A5" w:rsidRPr="00C51530" w:rsidRDefault="008216A5" w:rsidP="008216A5">
            <w:pPr>
              <w:spacing w:line="240" w:lineRule="exact"/>
            </w:pPr>
            <w:r w:rsidRPr="00C51530">
              <w:t>Original: English</w:t>
            </w:r>
          </w:p>
          <w:p w14:paraId="1AE12719" w14:textId="77777777" w:rsidR="000E7537" w:rsidRPr="00C51530" w:rsidRDefault="000E7537" w:rsidP="008216A5">
            <w:pPr>
              <w:spacing w:line="240" w:lineRule="exact"/>
            </w:pPr>
          </w:p>
        </w:tc>
      </w:tr>
    </w:tbl>
    <w:p w14:paraId="4F3B4161" w14:textId="77777777" w:rsidR="008216A5" w:rsidRPr="00C51530" w:rsidRDefault="008216A5" w:rsidP="008216A5">
      <w:pPr>
        <w:spacing w:before="120"/>
        <w:rPr>
          <w:b/>
          <w:sz w:val="24"/>
          <w:szCs w:val="24"/>
        </w:rPr>
      </w:pPr>
      <w:r w:rsidRPr="00C51530">
        <w:rPr>
          <w:b/>
          <w:sz w:val="24"/>
          <w:szCs w:val="24"/>
        </w:rPr>
        <w:t>Human Rights Committee</w:t>
      </w:r>
    </w:p>
    <w:p w14:paraId="2F47FF08" w14:textId="77777777" w:rsidR="003134AC" w:rsidRPr="00C51530" w:rsidRDefault="003134AC" w:rsidP="003134AC">
      <w:pPr>
        <w:pStyle w:val="HChG"/>
      </w:pPr>
      <w:r w:rsidRPr="00C51530">
        <w:tab/>
      </w:r>
      <w:r w:rsidRPr="00C51530">
        <w:tab/>
        <w:t xml:space="preserve">Communication No. </w:t>
      </w:r>
      <w:r w:rsidR="00834821" w:rsidRPr="00C51530">
        <w:t>2</w:t>
      </w:r>
      <w:r w:rsidR="001C1379" w:rsidRPr="00C51530">
        <w:t>141</w:t>
      </w:r>
      <w:r w:rsidR="00834821" w:rsidRPr="00C51530">
        <w:t>/</w:t>
      </w:r>
      <w:r w:rsidRPr="00C51530">
        <w:t>20</w:t>
      </w:r>
      <w:r w:rsidR="00834821" w:rsidRPr="00C51530">
        <w:t>1</w:t>
      </w:r>
      <w:r w:rsidR="001C1379" w:rsidRPr="00C51530">
        <w:t>2</w:t>
      </w:r>
    </w:p>
    <w:p w14:paraId="780F92BF" w14:textId="77777777" w:rsidR="00E70F78" w:rsidRPr="00C51530" w:rsidRDefault="003134AC" w:rsidP="006F5B58">
      <w:pPr>
        <w:pStyle w:val="H1G"/>
        <w:rPr>
          <w:bCs/>
        </w:rPr>
      </w:pPr>
      <w:r w:rsidRPr="00C51530">
        <w:tab/>
      </w:r>
      <w:r w:rsidRPr="00C51530">
        <w:tab/>
      </w:r>
      <w:r w:rsidR="00E70F78" w:rsidRPr="00C51530">
        <w:t xml:space="preserve">Views adopted by the Committee at its 115th session </w:t>
      </w:r>
      <w:r w:rsidR="00427695" w:rsidRPr="00C51530">
        <w:br/>
      </w:r>
      <w:r w:rsidR="00E70F78" w:rsidRPr="00C51530">
        <w:t>(</w:t>
      </w:r>
      <w:r w:rsidR="00E70F78" w:rsidRPr="00C51530">
        <w:rPr>
          <w:bCs/>
        </w:rPr>
        <w:t>19 October</w:t>
      </w:r>
      <w:r w:rsidR="005F7416" w:rsidRPr="00C51530">
        <w:rPr>
          <w:bCs/>
        </w:rPr>
        <w:t>-</w:t>
      </w:r>
      <w:r w:rsidR="00E70F78" w:rsidRPr="00C51530">
        <w:rPr>
          <w:bCs/>
        </w:rPr>
        <w:t>6 November 2015)</w:t>
      </w:r>
    </w:p>
    <w:p w14:paraId="087D961D" w14:textId="77777777" w:rsidR="00CC6A70" w:rsidRPr="00C51530" w:rsidRDefault="003134AC" w:rsidP="00C51530">
      <w:pPr>
        <w:pStyle w:val="SingleTxtG"/>
        <w:ind w:left="4536" w:hanging="3402"/>
        <w:jc w:val="left"/>
        <w:rPr>
          <w:lang w:val="en-GB"/>
        </w:rPr>
      </w:pPr>
      <w:r w:rsidRPr="00C51530">
        <w:rPr>
          <w:i/>
          <w:lang w:val="en-GB"/>
        </w:rPr>
        <w:t>Submitted by:</w:t>
      </w:r>
      <w:r w:rsidRPr="00C51530">
        <w:rPr>
          <w:lang w:val="en-GB"/>
        </w:rPr>
        <w:tab/>
      </w:r>
      <w:r w:rsidR="001C1379" w:rsidRPr="00C51530">
        <w:rPr>
          <w:lang w:val="en-GB"/>
        </w:rPr>
        <w:t xml:space="preserve">Kostenko Philippe Arkadyevich </w:t>
      </w:r>
      <w:r w:rsidR="00CC6A70" w:rsidRPr="00C51530">
        <w:rPr>
          <w:lang w:val="en-GB"/>
        </w:rPr>
        <w:t>(represented by counsels, Olga Tseytlina and Sergey Golubok)</w:t>
      </w:r>
    </w:p>
    <w:p w14:paraId="54F4793A" w14:textId="77777777" w:rsidR="003134AC" w:rsidRPr="00C51530" w:rsidRDefault="003134AC" w:rsidP="00C51530">
      <w:pPr>
        <w:pStyle w:val="SingleTxtG"/>
        <w:ind w:left="4536" w:hanging="3402"/>
        <w:jc w:val="left"/>
        <w:rPr>
          <w:lang w:val="en-GB"/>
        </w:rPr>
      </w:pPr>
      <w:r w:rsidRPr="00C51530">
        <w:rPr>
          <w:i/>
          <w:lang w:val="en-GB"/>
        </w:rPr>
        <w:t>Alleged victim:</w:t>
      </w:r>
      <w:r w:rsidRPr="00C51530">
        <w:rPr>
          <w:lang w:val="en-GB"/>
        </w:rPr>
        <w:tab/>
        <w:t>The author</w:t>
      </w:r>
    </w:p>
    <w:p w14:paraId="41DB83BB" w14:textId="77777777" w:rsidR="003134AC" w:rsidRPr="00C51530" w:rsidRDefault="003134AC" w:rsidP="00C51530">
      <w:pPr>
        <w:pStyle w:val="SingleTxtG"/>
        <w:ind w:left="4536" w:hanging="3402"/>
        <w:jc w:val="left"/>
        <w:rPr>
          <w:lang w:val="en-GB"/>
        </w:rPr>
      </w:pPr>
      <w:r w:rsidRPr="00C51530">
        <w:rPr>
          <w:i/>
          <w:lang w:val="en-GB"/>
        </w:rPr>
        <w:t>State party:</w:t>
      </w:r>
      <w:r w:rsidRPr="00C51530">
        <w:rPr>
          <w:lang w:val="en-GB"/>
        </w:rPr>
        <w:tab/>
      </w:r>
      <w:r w:rsidR="00A17E37" w:rsidRPr="00C51530">
        <w:rPr>
          <w:lang w:val="en-GB"/>
        </w:rPr>
        <w:t>Russian Federation</w:t>
      </w:r>
    </w:p>
    <w:p w14:paraId="1D5978B9" w14:textId="77777777" w:rsidR="003134AC" w:rsidRPr="00C51530" w:rsidRDefault="003134AC" w:rsidP="00C51530">
      <w:pPr>
        <w:pStyle w:val="SingleTxtG"/>
        <w:ind w:left="4536" w:hanging="3402"/>
        <w:jc w:val="left"/>
        <w:rPr>
          <w:lang w:val="en-GB"/>
        </w:rPr>
      </w:pPr>
      <w:r w:rsidRPr="00C51530">
        <w:rPr>
          <w:i/>
          <w:lang w:val="en-GB"/>
        </w:rPr>
        <w:t>Date of communication:</w:t>
      </w:r>
      <w:r w:rsidRPr="00C51530">
        <w:rPr>
          <w:lang w:val="en-GB"/>
        </w:rPr>
        <w:tab/>
      </w:r>
      <w:r w:rsidR="001C1379" w:rsidRPr="00C51530">
        <w:rPr>
          <w:lang w:val="en-GB"/>
        </w:rPr>
        <w:t xml:space="preserve">28 February 2012 </w:t>
      </w:r>
      <w:r w:rsidR="0000397C" w:rsidRPr="00C51530">
        <w:rPr>
          <w:lang w:val="en-GB"/>
        </w:rPr>
        <w:t>(initial submission)</w:t>
      </w:r>
    </w:p>
    <w:p w14:paraId="0C79183E" w14:textId="77777777" w:rsidR="003134AC" w:rsidRPr="00C51530" w:rsidRDefault="003134AC">
      <w:pPr>
        <w:pStyle w:val="SingleTxtG"/>
        <w:ind w:left="4536" w:hanging="3402"/>
        <w:jc w:val="left"/>
        <w:rPr>
          <w:lang w:val="en-GB"/>
        </w:rPr>
      </w:pPr>
      <w:r w:rsidRPr="00C51530">
        <w:rPr>
          <w:i/>
          <w:lang w:val="en-GB"/>
        </w:rPr>
        <w:t>Document references:</w:t>
      </w:r>
      <w:r w:rsidRPr="00C51530">
        <w:rPr>
          <w:lang w:val="en-GB"/>
        </w:rPr>
        <w:tab/>
        <w:t xml:space="preserve">Special Rapporteur’s </w:t>
      </w:r>
      <w:r w:rsidR="00D46C27" w:rsidRPr="00C51530">
        <w:rPr>
          <w:lang w:val="en-GB"/>
        </w:rPr>
        <w:t>rule</w:t>
      </w:r>
      <w:r w:rsidRPr="00C51530">
        <w:rPr>
          <w:lang w:val="en-GB"/>
        </w:rPr>
        <w:t xml:space="preserve"> 97 decision, transmitted to the State party on </w:t>
      </w:r>
      <w:r w:rsidR="001C1379" w:rsidRPr="00C51530">
        <w:rPr>
          <w:lang w:val="en-GB"/>
        </w:rPr>
        <w:t>21 Mar</w:t>
      </w:r>
      <w:r w:rsidR="00C16F6A">
        <w:rPr>
          <w:lang w:val="en-GB"/>
        </w:rPr>
        <w:t>ch</w:t>
      </w:r>
      <w:r w:rsidR="001C1379" w:rsidRPr="00C51530">
        <w:rPr>
          <w:lang w:val="en-GB"/>
        </w:rPr>
        <w:t xml:space="preserve"> 2012 </w:t>
      </w:r>
      <w:r w:rsidRPr="00C51530">
        <w:rPr>
          <w:lang w:val="en-GB"/>
        </w:rPr>
        <w:t>(not issued in document form)</w:t>
      </w:r>
    </w:p>
    <w:p w14:paraId="1CA3BD7F" w14:textId="77777777" w:rsidR="003134AC" w:rsidRPr="00C51530" w:rsidRDefault="003134AC" w:rsidP="00C51530">
      <w:pPr>
        <w:pStyle w:val="SingleTxtG"/>
        <w:ind w:left="4536" w:hanging="3402"/>
        <w:jc w:val="left"/>
        <w:rPr>
          <w:lang w:val="en-GB"/>
        </w:rPr>
      </w:pPr>
      <w:r w:rsidRPr="00C51530">
        <w:rPr>
          <w:i/>
          <w:lang w:val="en-GB"/>
        </w:rPr>
        <w:t>Date of adoption of Views:</w:t>
      </w:r>
      <w:r w:rsidRPr="00C51530">
        <w:rPr>
          <w:lang w:val="en-GB"/>
        </w:rPr>
        <w:tab/>
      </w:r>
      <w:r w:rsidR="00427695" w:rsidRPr="006F5B58">
        <w:rPr>
          <w:lang w:val="en-GB"/>
        </w:rPr>
        <w:t>23</w:t>
      </w:r>
      <w:r w:rsidR="00427695" w:rsidRPr="00C51530">
        <w:rPr>
          <w:lang w:val="en-GB"/>
        </w:rPr>
        <w:t xml:space="preserve"> </w:t>
      </w:r>
      <w:r w:rsidR="00A17E37" w:rsidRPr="00C51530">
        <w:rPr>
          <w:lang w:val="en-GB"/>
        </w:rPr>
        <w:t>October</w:t>
      </w:r>
      <w:r w:rsidRPr="00C51530">
        <w:rPr>
          <w:lang w:val="en-GB"/>
        </w:rPr>
        <w:t xml:space="preserve"> 201</w:t>
      </w:r>
      <w:r w:rsidR="001844A0" w:rsidRPr="00C51530">
        <w:rPr>
          <w:lang w:val="en-GB"/>
        </w:rPr>
        <w:t>5</w:t>
      </w:r>
    </w:p>
    <w:p w14:paraId="50A962BD" w14:textId="77777777" w:rsidR="009D0FD4" w:rsidRPr="00C51530" w:rsidRDefault="009D0FD4" w:rsidP="00C51530">
      <w:pPr>
        <w:pStyle w:val="SingleTxtG"/>
        <w:ind w:left="4536" w:hanging="3402"/>
        <w:jc w:val="left"/>
        <w:rPr>
          <w:lang w:val="en-GB"/>
        </w:rPr>
      </w:pPr>
      <w:r w:rsidRPr="00C51530">
        <w:rPr>
          <w:i/>
          <w:iCs/>
          <w:lang w:val="en-GB"/>
        </w:rPr>
        <w:t>Subject matter:</w:t>
      </w:r>
      <w:r w:rsidRPr="00C51530">
        <w:rPr>
          <w:i/>
          <w:iCs/>
          <w:lang w:val="en-GB"/>
        </w:rPr>
        <w:tab/>
      </w:r>
      <w:r w:rsidRPr="00C51530">
        <w:rPr>
          <w:lang w:val="en-GB"/>
        </w:rPr>
        <w:t>Author’s detention, trial</w:t>
      </w:r>
      <w:r w:rsidR="00D56C70">
        <w:rPr>
          <w:lang w:val="en-GB"/>
        </w:rPr>
        <w:t>,</w:t>
      </w:r>
      <w:r w:rsidRPr="00C51530">
        <w:rPr>
          <w:lang w:val="en-GB"/>
        </w:rPr>
        <w:t xml:space="preserve"> conviction and sentencing on charges of using obscene language towards </w:t>
      </w:r>
      <w:r w:rsidR="00725151">
        <w:rPr>
          <w:lang w:val="en-GB"/>
        </w:rPr>
        <w:t xml:space="preserve">the </w:t>
      </w:r>
      <w:r w:rsidRPr="00C51530">
        <w:rPr>
          <w:lang w:val="en-GB"/>
        </w:rPr>
        <w:t>police</w:t>
      </w:r>
    </w:p>
    <w:p w14:paraId="0D3DCFF2" w14:textId="77777777" w:rsidR="00A17E37" w:rsidRPr="00C51530" w:rsidRDefault="00A17E37" w:rsidP="005C634E">
      <w:pPr>
        <w:pStyle w:val="SingleTxtG"/>
        <w:ind w:left="4536" w:hanging="3402"/>
        <w:jc w:val="left"/>
        <w:rPr>
          <w:iCs/>
          <w:lang w:val="en-GB"/>
        </w:rPr>
      </w:pPr>
      <w:r w:rsidRPr="00C51530">
        <w:rPr>
          <w:i/>
          <w:iCs/>
          <w:lang w:val="en-GB"/>
        </w:rPr>
        <w:t xml:space="preserve">Procedural issue: </w:t>
      </w:r>
      <w:r w:rsidR="000B3A40" w:rsidRPr="00C51530">
        <w:rPr>
          <w:i/>
          <w:iCs/>
          <w:lang w:val="en-GB"/>
        </w:rPr>
        <w:tab/>
      </w:r>
      <w:r w:rsidR="000B3A40" w:rsidRPr="00C51530">
        <w:rPr>
          <w:i/>
          <w:iCs/>
          <w:lang w:val="en-GB"/>
        </w:rPr>
        <w:tab/>
      </w:r>
      <w:r w:rsidR="000B3A40" w:rsidRPr="00C51530">
        <w:rPr>
          <w:iCs/>
          <w:lang w:val="en-GB"/>
        </w:rPr>
        <w:t>Admissibility</w:t>
      </w:r>
      <w:r w:rsidR="005C634E">
        <w:rPr>
          <w:iCs/>
          <w:lang w:val="en-GB"/>
        </w:rPr>
        <w:t xml:space="preserve"> –</w:t>
      </w:r>
      <w:r w:rsidR="000B3A40" w:rsidRPr="00C51530">
        <w:rPr>
          <w:iCs/>
          <w:lang w:val="en-GB"/>
        </w:rPr>
        <w:t xml:space="preserve"> exhaustion</w:t>
      </w:r>
      <w:r w:rsidR="005C634E">
        <w:rPr>
          <w:iCs/>
          <w:lang w:val="en-GB"/>
        </w:rPr>
        <w:t xml:space="preserve"> of domestic remedies</w:t>
      </w:r>
      <w:r w:rsidR="000331A1" w:rsidRPr="00C51530">
        <w:rPr>
          <w:iCs/>
          <w:lang w:val="en-GB"/>
        </w:rPr>
        <w:t>; admissibility</w:t>
      </w:r>
      <w:r w:rsidR="009D0FD4" w:rsidRPr="00C51530">
        <w:rPr>
          <w:iCs/>
          <w:lang w:val="en-GB"/>
        </w:rPr>
        <w:t xml:space="preserve"> </w:t>
      </w:r>
      <w:r w:rsidR="005C634E">
        <w:rPr>
          <w:iCs/>
          <w:lang w:val="en-GB"/>
        </w:rPr>
        <w:t>–</w:t>
      </w:r>
      <w:r w:rsidR="009D0FD4" w:rsidRPr="00C51530">
        <w:rPr>
          <w:iCs/>
          <w:lang w:val="en-GB"/>
        </w:rPr>
        <w:t xml:space="preserve"> </w:t>
      </w:r>
      <w:r w:rsidR="005C634E">
        <w:rPr>
          <w:iCs/>
          <w:lang w:val="en-GB"/>
        </w:rPr>
        <w:t>manifestly ill-founded</w:t>
      </w:r>
    </w:p>
    <w:p w14:paraId="175F1DE1" w14:textId="77777777" w:rsidR="003134AC" w:rsidRPr="00C51530" w:rsidRDefault="003134AC" w:rsidP="00C51530">
      <w:pPr>
        <w:pStyle w:val="SingleTxtG"/>
        <w:ind w:left="4536" w:hanging="3402"/>
        <w:jc w:val="left"/>
        <w:rPr>
          <w:lang w:val="en-GB"/>
        </w:rPr>
      </w:pPr>
      <w:r w:rsidRPr="00C51530">
        <w:rPr>
          <w:i/>
          <w:iCs/>
          <w:lang w:val="en-GB"/>
        </w:rPr>
        <w:t xml:space="preserve">Substantive issues: </w:t>
      </w:r>
      <w:r w:rsidRPr="00C51530">
        <w:rPr>
          <w:i/>
          <w:iCs/>
          <w:lang w:val="en-GB"/>
        </w:rPr>
        <w:tab/>
      </w:r>
      <w:r w:rsidR="000331A1" w:rsidRPr="00C51530">
        <w:rPr>
          <w:lang w:val="en-GB"/>
        </w:rPr>
        <w:t>Administrative arrest/detention; freedom of assembly; freedom of opinion and expression; necessary in a democratic society</w:t>
      </w:r>
    </w:p>
    <w:p w14:paraId="370A0599" w14:textId="77777777" w:rsidR="005C11C1" w:rsidRPr="00C51530" w:rsidRDefault="003134AC" w:rsidP="00C51530">
      <w:pPr>
        <w:pStyle w:val="SingleTxtG"/>
        <w:ind w:left="4536" w:hanging="3402"/>
        <w:jc w:val="left"/>
        <w:rPr>
          <w:lang w:val="en-GB"/>
        </w:rPr>
      </w:pPr>
      <w:r w:rsidRPr="00C51530">
        <w:rPr>
          <w:i/>
          <w:iCs/>
          <w:lang w:val="en-GB"/>
        </w:rPr>
        <w:t>Articles of the Covenant:</w:t>
      </w:r>
      <w:r w:rsidRPr="00C51530">
        <w:rPr>
          <w:lang w:val="en-GB"/>
        </w:rPr>
        <w:t xml:space="preserve"> </w:t>
      </w:r>
      <w:r w:rsidRPr="00C51530">
        <w:rPr>
          <w:lang w:val="en-GB"/>
        </w:rPr>
        <w:tab/>
      </w:r>
      <w:r w:rsidR="00CC6A70" w:rsidRPr="00C51530">
        <w:rPr>
          <w:lang w:val="en-GB"/>
        </w:rPr>
        <w:t>14, 19 and 21</w:t>
      </w:r>
    </w:p>
    <w:p w14:paraId="168595A7" w14:textId="77777777" w:rsidR="007E3B72" w:rsidRPr="00C51530" w:rsidRDefault="003134AC" w:rsidP="0038670F">
      <w:pPr>
        <w:pStyle w:val="SingleTxtG"/>
        <w:ind w:left="4536" w:hanging="3402"/>
        <w:jc w:val="left"/>
        <w:rPr>
          <w:lang w:val="en-GB"/>
        </w:rPr>
      </w:pPr>
      <w:r w:rsidRPr="00C51530">
        <w:rPr>
          <w:i/>
          <w:iCs/>
          <w:lang w:val="en-GB"/>
        </w:rPr>
        <w:t>Article</w:t>
      </w:r>
      <w:r w:rsidR="00725151">
        <w:rPr>
          <w:i/>
          <w:iCs/>
          <w:lang w:val="en-GB"/>
        </w:rPr>
        <w:t>s</w:t>
      </w:r>
      <w:r w:rsidRPr="00C51530">
        <w:rPr>
          <w:i/>
          <w:iCs/>
          <w:lang w:val="en-GB"/>
        </w:rPr>
        <w:t xml:space="preserve"> of the Optional Protocol:</w:t>
      </w:r>
      <w:r w:rsidR="00735F4E" w:rsidRPr="00C51530">
        <w:rPr>
          <w:i/>
          <w:iCs/>
          <w:lang w:val="en-GB"/>
        </w:rPr>
        <w:tab/>
      </w:r>
      <w:r w:rsidR="000331A1" w:rsidRPr="00C51530">
        <w:rPr>
          <w:iCs/>
          <w:lang w:val="en-GB"/>
        </w:rPr>
        <w:t>2</w:t>
      </w:r>
      <w:r w:rsidR="0038670F">
        <w:rPr>
          <w:iCs/>
          <w:lang w:val="en-GB"/>
        </w:rPr>
        <w:t xml:space="preserve"> and</w:t>
      </w:r>
      <w:r w:rsidR="000331A1" w:rsidRPr="00C51530">
        <w:rPr>
          <w:iCs/>
          <w:lang w:val="en-GB"/>
        </w:rPr>
        <w:t xml:space="preserve"> 5 </w:t>
      </w:r>
      <w:r w:rsidR="0038670F">
        <w:rPr>
          <w:iCs/>
          <w:lang w:val="en-GB"/>
        </w:rPr>
        <w:t>(</w:t>
      </w:r>
      <w:r w:rsidR="000331A1" w:rsidRPr="00C51530">
        <w:rPr>
          <w:iCs/>
          <w:lang w:val="en-GB"/>
        </w:rPr>
        <w:t>2</w:t>
      </w:r>
      <w:r w:rsidR="0038670F">
        <w:rPr>
          <w:iCs/>
          <w:lang w:val="en-GB"/>
        </w:rPr>
        <w:t>)</w:t>
      </w:r>
      <w:r w:rsidR="000331A1" w:rsidRPr="00C51530">
        <w:rPr>
          <w:iCs/>
          <w:lang w:val="en-GB"/>
        </w:rPr>
        <w:t xml:space="preserve"> (b)</w:t>
      </w:r>
    </w:p>
    <w:p w14:paraId="1DCADDB2" w14:textId="77777777" w:rsidR="003134AC" w:rsidRPr="00C51530" w:rsidRDefault="003134AC" w:rsidP="00C51530">
      <w:pPr>
        <w:pStyle w:val="SingleTxtG"/>
        <w:jc w:val="left"/>
        <w:rPr>
          <w:lang w:val="en-GB"/>
        </w:rPr>
      </w:pPr>
    </w:p>
    <w:p w14:paraId="0AA7A7B8" w14:textId="77777777" w:rsidR="003134AC" w:rsidRPr="00C51530" w:rsidRDefault="003134AC" w:rsidP="003134AC">
      <w:pPr>
        <w:pStyle w:val="HChG"/>
      </w:pPr>
      <w:r w:rsidRPr="00C51530">
        <w:br w:type="page"/>
      </w:r>
      <w:r w:rsidRPr="00C51530">
        <w:lastRenderedPageBreak/>
        <w:t>Annex</w:t>
      </w:r>
    </w:p>
    <w:p w14:paraId="5CD9FE35" w14:textId="77777777" w:rsidR="003134AC" w:rsidRPr="00C51530" w:rsidRDefault="003134AC" w:rsidP="00AF5C70">
      <w:pPr>
        <w:pStyle w:val="HChG"/>
        <w:rPr>
          <w:bCs/>
        </w:rPr>
      </w:pPr>
      <w:r w:rsidRPr="00C51530">
        <w:tab/>
      </w:r>
      <w:r w:rsidRPr="00C51530">
        <w:tab/>
        <w:t xml:space="preserve">Views of the Human Rights Committee under article 5 </w:t>
      </w:r>
      <w:r w:rsidR="00AF5C70">
        <w:t>(</w:t>
      </w:r>
      <w:r w:rsidRPr="00C51530">
        <w:t>4</w:t>
      </w:r>
      <w:r w:rsidR="00AF5C70">
        <w:t>)</w:t>
      </w:r>
      <w:r w:rsidRPr="00C51530">
        <w:t xml:space="preserve"> of the Optional Protocol to the International Covenant on Civil and Political rights (11</w:t>
      </w:r>
      <w:r w:rsidR="00834821" w:rsidRPr="00C51530">
        <w:t>5</w:t>
      </w:r>
      <w:r w:rsidRPr="00C51530">
        <w:t xml:space="preserve">th </w:t>
      </w:r>
      <w:r w:rsidRPr="00C51530">
        <w:rPr>
          <w:bCs/>
        </w:rPr>
        <w:t>session)</w:t>
      </w:r>
    </w:p>
    <w:p w14:paraId="31FA1238" w14:textId="77777777" w:rsidR="003134AC" w:rsidRPr="00C51530" w:rsidRDefault="003134AC" w:rsidP="003134AC">
      <w:pPr>
        <w:pStyle w:val="SingleTxtG"/>
        <w:rPr>
          <w:b/>
          <w:bCs/>
          <w:lang w:val="en-GB"/>
        </w:rPr>
      </w:pPr>
      <w:r w:rsidRPr="00C51530">
        <w:rPr>
          <w:lang w:val="en-GB"/>
        </w:rPr>
        <w:t>concerning</w:t>
      </w:r>
    </w:p>
    <w:p w14:paraId="6199B573" w14:textId="77777777" w:rsidR="003134AC" w:rsidRPr="00C51530" w:rsidRDefault="003134AC" w:rsidP="003134AC">
      <w:pPr>
        <w:pStyle w:val="H1G"/>
      </w:pPr>
      <w:r w:rsidRPr="00C51530">
        <w:tab/>
      </w:r>
      <w:r w:rsidRPr="00C51530">
        <w:tab/>
        <w:t xml:space="preserve">Communication No. </w:t>
      </w:r>
      <w:r w:rsidR="001C1379" w:rsidRPr="00C51530">
        <w:t>2141/2012</w:t>
      </w:r>
      <w:r w:rsidR="00E70F78" w:rsidRPr="00C51530">
        <w:rPr>
          <w:rStyle w:val="FootnoteReference"/>
          <w:b w:val="0"/>
          <w:sz w:val="20"/>
          <w:vertAlign w:val="baseline"/>
        </w:rPr>
        <w:footnoteReference w:customMarkFollows="1" w:id="2"/>
        <w:t>*</w:t>
      </w:r>
    </w:p>
    <w:p w14:paraId="60D2E513" w14:textId="77777777" w:rsidR="00CC6A70" w:rsidRPr="00C51530" w:rsidRDefault="00CC6A70" w:rsidP="00C51530">
      <w:pPr>
        <w:pStyle w:val="SingleTxtG"/>
        <w:ind w:left="4536" w:hanging="3402"/>
        <w:jc w:val="left"/>
        <w:rPr>
          <w:lang w:val="en-GB"/>
        </w:rPr>
      </w:pPr>
      <w:r w:rsidRPr="00C51530">
        <w:rPr>
          <w:i/>
          <w:lang w:val="en-GB"/>
        </w:rPr>
        <w:t>Submitted by:</w:t>
      </w:r>
      <w:r w:rsidRPr="00C51530">
        <w:rPr>
          <w:lang w:val="en-GB"/>
        </w:rPr>
        <w:tab/>
        <w:t>Kostenko Philippe Arkadyevich (represented by counsels, Olga Tseytlina and Sergey Golubok)</w:t>
      </w:r>
    </w:p>
    <w:p w14:paraId="15AB041D" w14:textId="77777777" w:rsidR="00CC6A70" w:rsidRPr="00C51530" w:rsidRDefault="00CC6A70" w:rsidP="00C51530">
      <w:pPr>
        <w:pStyle w:val="SingleTxtG"/>
        <w:ind w:left="4536" w:hanging="3402"/>
        <w:jc w:val="left"/>
        <w:rPr>
          <w:lang w:val="en-GB"/>
        </w:rPr>
      </w:pPr>
      <w:r w:rsidRPr="00C51530">
        <w:rPr>
          <w:i/>
          <w:lang w:val="en-GB"/>
        </w:rPr>
        <w:t>Alleged victim:</w:t>
      </w:r>
      <w:r w:rsidRPr="00C51530">
        <w:rPr>
          <w:lang w:val="en-GB"/>
        </w:rPr>
        <w:tab/>
        <w:t>The author</w:t>
      </w:r>
    </w:p>
    <w:p w14:paraId="5CC989D3" w14:textId="77777777" w:rsidR="00CC6A70" w:rsidRPr="00C51530" w:rsidRDefault="00CC6A70" w:rsidP="00C51530">
      <w:pPr>
        <w:pStyle w:val="SingleTxtG"/>
        <w:ind w:left="4536" w:hanging="3402"/>
        <w:jc w:val="left"/>
        <w:rPr>
          <w:lang w:val="en-GB"/>
        </w:rPr>
      </w:pPr>
      <w:r w:rsidRPr="00C51530">
        <w:rPr>
          <w:i/>
          <w:lang w:val="en-GB"/>
        </w:rPr>
        <w:t>State party:</w:t>
      </w:r>
      <w:r w:rsidRPr="00C51530">
        <w:rPr>
          <w:lang w:val="en-GB"/>
        </w:rPr>
        <w:tab/>
        <w:t>Russian Federation</w:t>
      </w:r>
    </w:p>
    <w:p w14:paraId="3AB953D2" w14:textId="77777777" w:rsidR="00CC6A70" w:rsidRPr="00C51530" w:rsidRDefault="00CC6A70" w:rsidP="00C51530">
      <w:pPr>
        <w:pStyle w:val="SingleTxtG"/>
        <w:ind w:left="4536" w:hanging="3402"/>
        <w:jc w:val="left"/>
        <w:rPr>
          <w:lang w:val="en-GB"/>
        </w:rPr>
      </w:pPr>
      <w:r w:rsidRPr="00C51530">
        <w:rPr>
          <w:i/>
          <w:lang w:val="en-GB"/>
        </w:rPr>
        <w:t>Date of communication:</w:t>
      </w:r>
      <w:r w:rsidRPr="00C51530">
        <w:rPr>
          <w:lang w:val="en-GB"/>
        </w:rPr>
        <w:tab/>
        <w:t>28 February 2012 (initial submission)</w:t>
      </w:r>
    </w:p>
    <w:p w14:paraId="72D175E7" w14:textId="77777777" w:rsidR="003134AC" w:rsidRPr="00C51530" w:rsidRDefault="003134AC" w:rsidP="00C51530">
      <w:pPr>
        <w:pStyle w:val="SingleTxtG"/>
        <w:spacing w:before="240"/>
        <w:rPr>
          <w:lang w:val="en-GB"/>
        </w:rPr>
      </w:pPr>
      <w:r w:rsidRPr="00C51530">
        <w:rPr>
          <w:lang w:val="en-GB"/>
        </w:rPr>
        <w:tab/>
      </w:r>
      <w:r w:rsidRPr="00C51530">
        <w:rPr>
          <w:i/>
          <w:lang w:val="en-GB"/>
        </w:rPr>
        <w:t>The Human Rights Committee</w:t>
      </w:r>
      <w:r w:rsidRPr="00C51530">
        <w:rPr>
          <w:lang w:val="en-GB"/>
        </w:rPr>
        <w:t xml:space="preserve">, established under article 28 of the International Covenant on Civil and Political Rights, </w:t>
      </w:r>
    </w:p>
    <w:p w14:paraId="68A51E38" w14:textId="77777777" w:rsidR="003134AC" w:rsidRPr="00C51530" w:rsidRDefault="003134AC" w:rsidP="003134AC">
      <w:pPr>
        <w:pStyle w:val="SingleTxtG"/>
        <w:rPr>
          <w:lang w:val="en-GB"/>
        </w:rPr>
      </w:pPr>
      <w:r w:rsidRPr="00C51530">
        <w:rPr>
          <w:lang w:val="en-GB"/>
        </w:rPr>
        <w:tab/>
      </w:r>
      <w:r w:rsidRPr="00C51530">
        <w:rPr>
          <w:i/>
          <w:lang w:val="en-GB"/>
        </w:rPr>
        <w:t xml:space="preserve">Meeting </w:t>
      </w:r>
      <w:r w:rsidRPr="006F5B58">
        <w:rPr>
          <w:iCs/>
          <w:lang w:val="en-GB"/>
        </w:rPr>
        <w:t>on</w:t>
      </w:r>
      <w:r w:rsidRPr="00C51530">
        <w:rPr>
          <w:lang w:val="en-GB"/>
        </w:rPr>
        <w:t xml:space="preserve"> </w:t>
      </w:r>
      <w:r w:rsidR="00E70F78" w:rsidRPr="00C51530">
        <w:rPr>
          <w:lang w:val="en-GB"/>
        </w:rPr>
        <w:t>23</w:t>
      </w:r>
      <w:r w:rsidRPr="00C51530">
        <w:rPr>
          <w:lang w:val="en-GB"/>
        </w:rPr>
        <w:t xml:space="preserve"> </w:t>
      </w:r>
      <w:r w:rsidR="00A17E37" w:rsidRPr="00C51530">
        <w:rPr>
          <w:lang w:val="en-GB"/>
        </w:rPr>
        <w:t>October</w:t>
      </w:r>
      <w:r w:rsidRPr="00C51530">
        <w:rPr>
          <w:lang w:val="en-GB"/>
        </w:rPr>
        <w:t xml:space="preserve"> 201</w:t>
      </w:r>
      <w:r w:rsidR="001844A0" w:rsidRPr="00C51530">
        <w:rPr>
          <w:lang w:val="en-GB"/>
        </w:rPr>
        <w:t>5</w:t>
      </w:r>
      <w:r w:rsidRPr="00C51530">
        <w:rPr>
          <w:lang w:val="en-GB"/>
        </w:rPr>
        <w:t>,</w:t>
      </w:r>
    </w:p>
    <w:p w14:paraId="21853B90" w14:textId="77777777" w:rsidR="003134AC" w:rsidRPr="00C51530" w:rsidRDefault="003134AC" w:rsidP="0067681D">
      <w:pPr>
        <w:pStyle w:val="SingleTxtG"/>
        <w:rPr>
          <w:lang w:val="en-GB"/>
        </w:rPr>
      </w:pPr>
      <w:r w:rsidRPr="00C51530">
        <w:rPr>
          <w:lang w:val="en-GB"/>
        </w:rPr>
        <w:tab/>
      </w:r>
      <w:r w:rsidRPr="00C51530">
        <w:rPr>
          <w:i/>
          <w:lang w:val="en-GB"/>
        </w:rPr>
        <w:t>Having concluded</w:t>
      </w:r>
      <w:r w:rsidRPr="00C51530">
        <w:rPr>
          <w:lang w:val="en-GB"/>
        </w:rPr>
        <w:t xml:space="preserve"> its consideration of communication No. </w:t>
      </w:r>
      <w:r w:rsidR="001C1379" w:rsidRPr="00C51530">
        <w:rPr>
          <w:lang w:val="en-GB"/>
        </w:rPr>
        <w:t>2141/2012</w:t>
      </w:r>
      <w:r w:rsidRPr="00C51530">
        <w:rPr>
          <w:lang w:val="en-GB"/>
        </w:rPr>
        <w:t xml:space="preserve">, submitted to </w:t>
      </w:r>
      <w:r w:rsidR="0067681D">
        <w:rPr>
          <w:lang w:val="en-GB"/>
        </w:rPr>
        <w:t>it</w:t>
      </w:r>
      <w:r w:rsidRPr="00C51530">
        <w:rPr>
          <w:lang w:val="en-GB"/>
        </w:rPr>
        <w:t xml:space="preserve"> under the Optional Protocol to the International Covenant on Civil and Political Rights,</w:t>
      </w:r>
    </w:p>
    <w:p w14:paraId="0F4AC866" w14:textId="77777777" w:rsidR="003134AC" w:rsidRPr="00C51530" w:rsidRDefault="003134AC" w:rsidP="003134AC">
      <w:pPr>
        <w:pStyle w:val="SingleTxtG"/>
        <w:rPr>
          <w:lang w:val="en-GB"/>
        </w:rPr>
      </w:pPr>
      <w:r w:rsidRPr="00C51530">
        <w:rPr>
          <w:lang w:val="en-GB"/>
        </w:rPr>
        <w:tab/>
      </w:r>
      <w:r w:rsidRPr="00C51530">
        <w:rPr>
          <w:i/>
          <w:lang w:val="en-GB"/>
        </w:rPr>
        <w:t>Having taken into account</w:t>
      </w:r>
      <w:r w:rsidRPr="00C51530">
        <w:rPr>
          <w:lang w:val="en-GB"/>
        </w:rPr>
        <w:t xml:space="preserve"> all written information made available to it by the author of the communication and the State party,</w:t>
      </w:r>
    </w:p>
    <w:p w14:paraId="42F6B6AA" w14:textId="77777777" w:rsidR="003134AC" w:rsidRPr="00C51530" w:rsidRDefault="003134AC" w:rsidP="003134AC">
      <w:pPr>
        <w:pStyle w:val="SingleTxtG"/>
        <w:rPr>
          <w:lang w:val="en-GB"/>
        </w:rPr>
      </w:pPr>
      <w:r w:rsidRPr="00C51530">
        <w:rPr>
          <w:lang w:val="en-GB"/>
        </w:rPr>
        <w:tab/>
      </w:r>
      <w:r w:rsidRPr="00C51530">
        <w:rPr>
          <w:i/>
          <w:lang w:val="en-GB"/>
        </w:rPr>
        <w:t xml:space="preserve">Adopts </w:t>
      </w:r>
      <w:r w:rsidRPr="006F5B58">
        <w:rPr>
          <w:iCs/>
          <w:lang w:val="en-GB"/>
        </w:rPr>
        <w:t>the following</w:t>
      </w:r>
      <w:r w:rsidRPr="00C51530">
        <w:rPr>
          <w:lang w:val="en-GB"/>
        </w:rPr>
        <w:t>:</w:t>
      </w:r>
    </w:p>
    <w:p w14:paraId="0DCA67C9" w14:textId="77777777" w:rsidR="003134AC" w:rsidRPr="00C51530" w:rsidRDefault="003134AC" w:rsidP="00AF5C70">
      <w:pPr>
        <w:pStyle w:val="H1G"/>
      </w:pPr>
      <w:r w:rsidRPr="00C51530">
        <w:tab/>
      </w:r>
      <w:r w:rsidRPr="00C51530">
        <w:tab/>
        <w:t xml:space="preserve">Views under article 5 </w:t>
      </w:r>
      <w:r w:rsidR="00AF5C70">
        <w:t>(</w:t>
      </w:r>
      <w:r w:rsidRPr="00C51530">
        <w:t>4</w:t>
      </w:r>
      <w:r w:rsidR="00AF5C70">
        <w:t>)</w:t>
      </w:r>
      <w:r w:rsidRPr="00C51530">
        <w:t xml:space="preserve"> of the Optional Protocol</w:t>
      </w:r>
    </w:p>
    <w:p w14:paraId="28FC3D33" w14:textId="77777777" w:rsidR="00CC6A70" w:rsidRPr="00C51530" w:rsidRDefault="00CC6A70" w:rsidP="00AF5C70">
      <w:pPr>
        <w:pStyle w:val="SingleTxtG"/>
        <w:rPr>
          <w:lang w:val="en-GB"/>
        </w:rPr>
      </w:pPr>
      <w:r w:rsidRPr="00C51530">
        <w:rPr>
          <w:lang w:val="en-GB"/>
        </w:rPr>
        <w:t>1.</w:t>
      </w:r>
      <w:r w:rsidRPr="00C51530">
        <w:rPr>
          <w:lang w:val="en-GB"/>
        </w:rPr>
        <w:tab/>
        <w:t>The author of the communication is Philippe Arkadyevich Kostenko, a Russian national born on 14 January 1985. The author claims to be a victim of violations by the Russian Federation of his rights under article</w:t>
      </w:r>
      <w:r w:rsidR="00AF5C70">
        <w:rPr>
          <w:lang w:val="en-GB"/>
        </w:rPr>
        <w:t>s</w:t>
      </w:r>
      <w:r w:rsidRPr="00C51530">
        <w:rPr>
          <w:lang w:val="en-GB"/>
        </w:rPr>
        <w:t xml:space="preserve"> 14</w:t>
      </w:r>
      <w:r w:rsidR="00C050F2" w:rsidRPr="00C51530">
        <w:rPr>
          <w:lang w:val="en-GB"/>
        </w:rPr>
        <w:t xml:space="preserve"> </w:t>
      </w:r>
      <w:r w:rsidR="00AF5C70">
        <w:rPr>
          <w:lang w:val="en-GB"/>
        </w:rPr>
        <w:t>(</w:t>
      </w:r>
      <w:r w:rsidR="00C050F2" w:rsidRPr="00C51530">
        <w:rPr>
          <w:lang w:val="en-GB"/>
        </w:rPr>
        <w:t>3</w:t>
      </w:r>
      <w:r w:rsidR="00AF5C70">
        <w:rPr>
          <w:lang w:val="en-GB"/>
        </w:rPr>
        <w:t>)</w:t>
      </w:r>
      <w:r w:rsidR="00C050F2" w:rsidRPr="00C51530">
        <w:rPr>
          <w:lang w:val="en-GB"/>
        </w:rPr>
        <w:t xml:space="preserve"> (e), </w:t>
      </w:r>
      <w:r w:rsidRPr="00C51530">
        <w:rPr>
          <w:lang w:val="en-GB"/>
        </w:rPr>
        <w:t>19 and 21 of the Covenant.</w:t>
      </w:r>
      <w:r w:rsidR="00156DFE" w:rsidRPr="00C51530">
        <w:rPr>
          <w:rStyle w:val="FootnoteReference"/>
          <w:lang w:val="en-GB"/>
        </w:rPr>
        <w:footnoteReference w:id="3"/>
      </w:r>
      <w:r w:rsidRPr="00C51530">
        <w:rPr>
          <w:lang w:val="en-GB"/>
        </w:rPr>
        <w:t xml:space="preserve"> The author is represented by counsel</w:t>
      </w:r>
      <w:r w:rsidR="00CB57C7" w:rsidRPr="00C51530">
        <w:rPr>
          <w:lang w:val="en-GB"/>
        </w:rPr>
        <w:t>s</w:t>
      </w:r>
      <w:r w:rsidRPr="00C51530">
        <w:rPr>
          <w:lang w:val="en-GB"/>
        </w:rPr>
        <w:t>,</w:t>
      </w:r>
      <w:r w:rsidR="00CB57C7" w:rsidRPr="00C51530">
        <w:rPr>
          <w:lang w:val="en-GB"/>
        </w:rPr>
        <w:t xml:space="preserve"> </w:t>
      </w:r>
      <w:r w:rsidRPr="00C51530">
        <w:rPr>
          <w:lang w:val="en-GB"/>
        </w:rPr>
        <w:t>Olga Tseytlina and</w:t>
      </w:r>
      <w:r w:rsidR="00CB57C7" w:rsidRPr="00C51530">
        <w:rPr>
          <w:lang w:val="en-GB"/>
        </w:rPr>
        <w:t xml:space="preserve"> </w:t>
      </w:r>
      <w:r w:rsidRPr="00C51530">
        <w:rPr>
          <w:lang w:val="en-GB"/>
        </w:rPr>
        <w:t xml:space="preserve">Sergey Golubok. </w:t>
      </w:r>
    </w:p>
    <w:p w14:paraId="6FC48353" w14:textId="77777777" w:rsidR="00CC6A70" w:rsidRPr="00C51530" w:rsidRDefault="00DE4E25" w:rsidP="005C634E">
      <w:pPr>
        <w:pStyle w:val="SingleTxtG"/>
        <w:rPr>
          <w:b/>
          <w:lang w:val="en-GB"/>
        </w:rPr>
      </w:pPr>
      <w:r w:rsidRPr="00C51530">
        <w:rPr>
          <w:b/>
          <w:lang w:val="en-GB"/>
        </w:rPr>
        <w:t>Factual background</w:t>
      </w:r>
    </w:p>
    <w:p w14:paraId="60EEF106" w14:textId="77777777" w:rsidR="00CC6A70" w:rsidRPr="00C51530" w:rsidRDefault="00CC6A70" w:rsidP="000D5926">
      <w:pPr>
        <w:pStyle w:val="SingleTxtG"/>
        <w:rPr>
          <w:lang w:val="en-GB"/>
        </w:rPr>
      </w:pPr>
      <w:r w:rsidRPr="00C51530">
        <w:rPr>
          <w:lang w:val="en-GB"/>
        </w:rPr>
        <w:t>2.1</w:t>
      </w:r>
      <w:r w:rsidRPr="00C51530">
        <w:rPr>
          <w:lang w:val="en-GB"/>
        </w:rPr>
        <w:tab/>
        <w:t xml:space="preserve">The author submits that he is a human rights defender and that he is a victim of a virulent campaign of harassment </w:t>
      </w:r>
      <w:r w:rsidR="00E66EBA" w:rsidRPr="00C51530">
        <w:rPr>
          <w:lang w:val="en-GB"/>
        </w:rPr>
        <w:t>organized</w:t>
      </w:r>
      <w:r w:rsidRPr="00C51530">
        <w:rPr>
          <w:lang w:val="en-GB"/>
        </w:rPr>
        <w:t xml:space="preserve"> by the authorities. Between 2008 and 2011</w:t>
      </w:r>
      <w:r w:rsidR="00AF5C70">
        <w:rPr>
          <w:lang w:val="en-GB"/>
        </w:rPr>
        <w:t>,</w:t>
      </w:r>
      <w:r w:rsidRPr="00C51530">
        <w:rPr>
          <w:lang w:val="en-GB"/>
        </w:rPr>
        <w:t xml:space="preserve"> he </w:t>
      </w:r>
      <w:r w:rsidR="00530425" w:rsidRPr="00C51530">
        <w:rPr>
          <w:lang w:val="en-GB"/>
        </w:rPr>
        <w:t>was</w:t>
      </w:r>
      <w:r w:rsidRPr="00C51530">
        <w:rPr>
          <w:lang w:val="en-GB"/>
        </w:rPr>
        <w:t xml:space="preserve"> charged </w:t>
      </w:r>
      <w:r w:rsidR="00CB57C7" w:rsidRPr="00C51530">
        <w:rPr>
          <w:lang w:val="en-GB"/>
        </w:rPr>
        <w:t>with</w:t>
      </w:r>
      <w:r w:rsidRPr="00C51530">
        <w:rPr>
          <w:lang w:val="en-GB"/>
        </w:rPr>
        <w:t xml:space="preserve"> various offences related to </w:t>
      </w:r>
      <w:r w:rsidR="00F31B09">
        <w:rPr>
          <w:lang w:val="en-GB"/>
        </w:rPr>
        <w:t>distribut</w:t>
      </w:r>
      <w:r w:rsidRPr="00C51530">
        <w:rPr>
          <w:lang w:val="en-GB"/>
        </w:rPr>
        <w:t>ing leaflets, p</w:t>
      </w:r>
      <w:r w:rsidR="00F31B09">
        <w:rPr>
          <w:lang w:val="en-GB"/>
        </w:rPr>
        <w:t>utting up</w:t>
      </w:r>
      <w:r w:rsidRPr="00C51530">
        <w:rPr>
          <w:lang w:val="en-GB"/>
        </w:rPr>
        <w:t xml:space="preserve"> posters, violating the </w:t>
      </w:r>
      <w:r w:rsidR="00F31B09">
        <w:rPr>
          <w:lang w:val="en-GB"/>
        </w:rPr>
        <w:t>regulations on</w:t>
      </w:r>
      <w:r w:rsidRPr="00C51530">
        <w:rPr>
          <w:lang w:val="en-GB"/>
        </w:rPr>
        <w:t xml:space="preserve"> </w:t>
      </w:r>
      <w:r w:rsidR="00E66EBA" w:rsidRPr="00C51530">
        <w:rPr>
          <w:lang w:val="en-GB"/>
        </w:rPr>
        <w:t>organizing</w:t>
      </w:r>
      <w:r w:rsidRPr="00C51530">
        <w:rPr>
          <w:lang w:val="en-GB"/>
        </w:rPr>
        <w:t xml:space="preserve"> public gathering</w:t>
      </w:r>
      <w:r w:rsidR="00BC7283" w:rsidRPr="00C51530">
        <w:rPr>
          <w:lang w:val="en-GB"/>
        </w:rPr>
        <w:t>s</w:t>
      </w:r>
      <w:r w:rsidRPr="00C51530">
        <w:rPr>
          <w:lang w:val="en-GB"/>
        </w:rPr>
        <w:t xml:space="preserve"> and other forms of activism</w:t>
      </w:r>
      <w:r w:rsidR="00F31B09">
        <w:rPr>
          <w:lang w:val="en-GB"/>
        </w:rPr>
        <w:t>,</w:t>
      </w:r>
      <w:r w:rsidRPr="00C51530">
        <w:rPr>
          <w:lang w:val="en-GB"/>
        </w:rPr>
        <w:t xml:space="preserve"> </w:t>
      </w:r>
      <w:r w:rsidR="00F31B09">
        <w:rPr>
          <w:lang w:val="en-GB"/>
        </w:rPr>
        <w:t xml:space="preserve">and was </w:t>
      </w:r>
      <w:r w:rsidRPr="00C51530">
        <w:rPr>
          <w:lang w:val="en-GB"/>
        </w:rPr>
        <w:t xml:space="preserve">sentenced to fines on several occasions and to 15 days </w:t>
      </w:r>
      <w:r w:rsidR="00F31B09">
        <w:rPr>
          <w:lang w:val="en-GB"/>
        </w:rPr>
        <w:t xml:space="preserve">in </w:t>
      </w:r>
      <w:r w:rsidRPr="00C51530">
        <w:rPr>
          <w:lang w:val="en-GB"/>
        </w:rPr>
        <w:t>jail</w:t>
      </w:r>
      <w:r w:rsidR="00AC41FA" w:rsidRPr="00C51530">
        <w:rPr>
          <w:lang w:val="en-GB"/>
        </w:rPr>
        <w:t xml:space="preserve">, which he served from 7 </w:t>
      </w:r>
      <w:r w:rsidR="00AC41FA" w:rsidRPr="00C51530">
        <w:rPr>
          <w:lang w:val="en-GB"/>
        </w:rPr>
        <w:lastRenderedPageBreak/>
        <w:t>to 21 December 2011</w:t>
      </w:r>
      <w:r w:rsidRPr="00C51530">
        <w:rPr>
          <w:lang w:val="en-GB"/>
        </w:rPr>
        <w:t>. On 21 December 2011, having served the 15</w:t>
      </w:r>
      <w:r w:rsidR="00F31B09">
        <w:rPr>
          <w:lang w:val="en-GB"/>
        </w:rPr>
        <w:t>-</w:t>
      </w:r>
      <w:r w:rsidRPr="00C51530">
        <w:rPr>
          <w:lang w:val="en-GB"/>
        </w:rPr>
        <w:t>day sentence, he was immediately rearrested by the police in St. Petersburg and charged with using obscene language in public.</w:t>
      </w:r>
      <w:r w:rsidR="00DE4E25" w:rsidRPr="00C51530">
        <w:rPr>
          <w:lang w:val="en-GB"/>
        </w:rPr>
        <w:t xml:space="preserve"> From the court decisions</w:t>
      </w:r>
      <w:r w:rsidR="00F31B09">
        <w:rPr>
          <w:lang w:val="en-GB"/>
        </w:rPr>
        <w:t>,</w:t>
      </w:r>
      <w:r w:rsidR="00DE4E25" w:rsidRPr="00C51530">
        <w:rPr>
          <w:lang w:val="en-GB"/>
        </w:rPr>
        <w:t xml:space="preserve"> it appears that the author was arrested and charged in relation with events that </w:t>
      </w:r>
      <w:r w:rsidR="00F31B09">
        <w:rPr>
          <w:lang w:val="en-GB"/>
        </w:rPr>
        <w:t>took place</w:t>
      </w:r>
      <w:r w:rsidR="00DE4E25" w:rsidRPr="00C51530">
        <w:rPr>
          <w:lang w:val="en-GB"/>
        </w:rPr>
        <w:t xml:space="preserve"> on 16 October 2011. On that date</w:t>
      </w:r>
      <w:r w:rsidR="00F56D22">
        <w:rPr>
          <w:lang w:val="en-GB"/>
        </w:rPr>
        <w:t>,</w:t>
      </w:r>
      <w:r w:rsidR="00DE4E25" w:rsidRPr="00C51530">
        <w:rPr>
          <w:lang w:val="en-GB"/>
        </w:rPr>
        <w:t xml:space="preserve"> the author</w:t>
      </w:r>
      <w:r w:rsidR="00F56D22">
        <w:rPr>
          <w:lang w:val="en-GB"/>
        </w:rPr>
        <w:t xml:space="preserve"> and</w:t>
      </w:r>
      <w:r w:rsidR="00DE4E25" w:rsidRPr="00C51530">
        <w:rPr>
          <w:lang w:val="en-GB"/>
        </w:rPr>
        <w:t xml:space="preserve"> several other activists </w:t>
      </w:r>
      <w:r w:rsidR="00F31B09">
        <w:rPr>
          <w:lang w:val="en-GB"/>
        </w:rPr>
        <w:t>took</w:t>
      </w:r>
      <w:r w:rsidR="00DE4E25" w:rsidRPr="00C51530">
        <w:rPr>
          <w:lang w:val="en-GB"/>
        </w:rPr>
        <w:t xml:space="preserve"> food and water to a police station and attempted to deliver the</w:t>
      </w:r>
      <w:r w:rsidR="00F31B09">
        <w:rPr>
          <w:lang w:val="en-GB"/>
        </w:rPr>
        <w:t>m</w:t>
      </w:r>
      <w:r w:rsidR="00DE4E25" w:rsidRPr="00C51530">
        <w:rPr>
          <w:lang w:val="en-GB"/>
        </w:rPr>
        <w:t xml:space="preserve"> to acquaintances </w:t>
      </w:r>
      <w:r w:rsidR="00F56D22">
        <w:rPr>
          <w:lang w:val="en-GB"/>
        </w:rPr>
        <w:t xml:space="preserve">of </w:t>
      </w:r>
      <w:r w:rsidR="00F56D22" w:rsidRPr="00C51530">
        <w:rPr>
          <w:lang w:val="en-GB"/>
        </w:rPr>
        <w:t xml:space="preserve">his </w:t>
      </w:r>
      <w:r w:rsidR="00DE4E25" w:rsidRPr="00C51530">
        <w:rPr>
          <w:lang w:val="en-GB"/>
        </w:rPr>
        <w:t xml:space="preserve">who were in detention. The police officers </w:t>
      </w:r>
      <w:r w:rsidR="00F56D22">
        <w:rPr>
          <w:lang w:val="en-GB"/>
        </w:rPr>
        <w:t>at</w:t>
      </w:r>
      <w:r w:rsidR="00DE4E25" w:rsidRPr="00C51530">
        <w:rPr>
          <w:lang w:val="en-GB"/>
        </w:rPr>
        <w:t xml:space="preserve"> the station refused to take the goods</w:t>
      </w:r>
      <w:r w:rsidR="00F56D22">
        <w:rPr>
          <w:lang w:val="en-GB"/>
        </w:rPr>
        <w:t xml:space="preserve"> and</w:t>
      </w:r>
      <w:r w:rsidR="00DE4E25" w:rsidRPr="00C51530">
        <w:rPr>
          <w:lang w:val="en-GB"/>
        </w:rPr>
        <w:t xml:space="preserve"> a verbal exchange followed</w:t>
      </w:r>
      <w:r w:rsidR="00F56D22">
        <w:rPr>
          <w:lang w:val="en-GB"/>
        </w:rPr>
        <w:t>.</w:t>
      </w:r>
      <w:r w:rsidR="00DE4E25" w:rsidRPr="00C51530">
        <w:rPr>
          <w:lang w:val="en-GB"/>
        </w:rPr>
        <w:t xml:space="preserve"> </w:t>
      </w:r>
      <w:r w:rsidR="00F56D22">
        <w:rPr>
          <w:lang w:val="en-GB"/>
        </w:rPr>
        <w:t>T</w:t>
      </w:r>
      <w:r w:rsidR="00DE4E25" w:rsidRPr="00C51530">
        <w:rPr>
          <w:lang w:val="en-GB"/>
        </w:rPr>
        <w:t xml:space="preserve">he police arrested the author and issued a police report (protocol) charging him with minor hooliganism, </w:t>
      </w:r>
      <w:r w:rsidR="00F56D22">
        <w:rPr>
          <w:lang w:val="en-GB"/>
        </w:rPr>
        <w:t xml:space="preserve">specifically, </w:t>
      </w:r>
      <w:r w:rsidR="00DE4E25" w:rsidRPr="00C51530">
        <w:rPr>
          <w:lang w:val="en-GB"/>
        </w:rPr>
        <w:t>using foul language in public.</w:t>
      </w:r>
      <w:r w:rsidRPr="00C51530">
        <w:rPr>
          <w:lang w:val="en-GB"/>
        </w:rPr>
        <w:t xml:space="preserve"> On 22 December 2011, </w:t>
      </w:r>
      <w:r w:rsidR="00DE4E25" w:rsidRPr="00C51530">
        <w:rPr>
          <w:lang w:val="en-GB"/>
        </w:rPr>
        <w:t>t</w:t>
      </w:r>
      <w:r w:rsidRPr="00C51530">
        <w:rPr>
          <w:lang w:val="en-GB"/>
        </w:rPr>
        <w:t xml:space="preserve">he </w:t>
      </w:r>
      <w:r w:rsidR="00DE4E25" w:rsidRPr="00C51530">
        <w:rPr>
          <w:lang w:val="en-GB"/>
        </w:rPr>
        <w:t xml:space="preserve">author </w:t>
      </w:r>
      <w:r w:rsidRPr="00C51530">
        <w:rPr>
          <w:lang w:val="en-GB"/>
        </w:rPr>
        <w:t xml:space="preserve">was brought before the </w:t>
      </w:r>
      <w:r w:rsidR="00F56D22">
        <w:rPr>
          <w:lang w:val="en-GB"/>
        </w:rPr>
        <w:t>j</w:t>
      </w:r>
      <w:r w:rsidRPr="00C51530">
        <w:rPr>
          <w:lang w:val="en-GB"/>
        </w:rPr>
        <w:t xml:space="preserve">ustice of </w:t>
      </w:r>
      <w:r w:rsidR="00F56D22">
        <w:rPr>
          <w:lang w:val="en-GB"/>
        </w:rPr>
        <w:t>the p</w:t>
      </w:r>
      <w:r w:rsidRPr="00C51530">
        <w:rPr>
          <w:lang w:val="en-GB"/>
        </w:rPr>
        <w:t xml:space="preserve">eace for </w:t>
      </w:r>
      <w:r w:rsidR="00F56D22">
        <w:rPr>
          <w:lang w:val="en-GB"/>
        </w:rPr>
        <w:t>j</w:t>
      </w:r>
      <w:r w:rsidRPr="00C51530">
        <w:rPr>
          <w:lang w:val="en-GB"/>
        </w:rPr>
        <w:t>udicial circuit No</w:t>
      </w:r>
      <w:r w:rsidR="0038095E" w:rsidRPr="00C51530">
        <w:rPr>
          <w:lang w:val="en-GB"/>
        </w:rPr>
        <w:t>.</w:t>
      </w:r>
      <w:r w:rsidR="00F56D22">
        <w:rPr>
          <w:lang w:val="en-GB"/>
        </w:rPr>
        <w:t xml:space="preserve"> </w:t>
      </w:r>
      <w:r w:rsidRPr="00C51530">
        <w:rPr>
          <w:lang w:val="en-GB"/>
        </w:rPr>
        <w:t>153 to stand trial for th</w:t>
      </w:r>
      <w:r w:rsidR="00F56D22">
        <w:rPr>
          <w:lang w:val="en-GB"/>
        </w:rPr>
        <w:t>at</w:t>
      </w:r>
      <w:r w:rsidRPr="00C51530">
        <w:rPr>
          <w:lang w:val="en-GB"/>
        </w:rPr>
        <w:t xml:space="preserve"> offence. During the proceedings</w:t>
      </w:r>
      <w:r w:rsidR="00F56D22">
        <w:rPr>
          <w:lang w:val="en-GB"/>
        </w:rPr>
        <w:t>,</w:t>
      </w:r>
      <w:r w:rsidRPr="00C51530">
        <w:rPr>
          <w:lang w:val="en-GB"/>
        </w:rPr>
        <w:t xml:space="preserve"> the </w:t>
      </w:r>
      <w:r w:rsidR="00F56D22">
        <w:rPr>
          <w:lang w:val="en-GB"/>
        </w:rPr>
        <w:t>j</w:t>
      </w:r>
      <w:r w:rsidRPr="00C51530">
        <w:rPr>
          <w:lang w:val="en-GB"/>
        </w:rPr>
        <w:t xml:space="preserve">ustice </w:t>
      </w:r>
      <w:r w:rsidR="00F56D22">
        <w:rPr>
          <w:lang w:val="en-GB"/>
        </w:rPr>
        <w:t xml:space="preserve">of the peace </w:t>
      </w:r>
      <w:r w:rsidRPr="00C51530">
        <w:rPr>
          <w:lang w:val="en-GB"/>
        </w:rPr>
        <w:t>rejected all the author</w:t>
      </w:r>
      <w:r w:rsidR="00F56D22">
        <w:rPr>
          <w:lang w:val="en-GB"/>
        </w:rPr>
        <w:t>’s requests</w:t>
      </w:r>
      <w:r w:rsidRPr="00C51530">
        <w:rPr>
          <w:lang w:val="en-GB"/>
        </w:rPr>
        <w:t xml:space="preserve">, including for </w:t>
      </w:r>
      <w:r w:rsidR="00D56C70">
        <w:rPr>
          <w:lang w:val="en-GB"/>
        </w:rPr>
        <w:t xml:space="preserve">the </w:t>
      </w:r>
      <w:r w:rsidRPr="00C51530">
        <w:rPr>
          <w:lang w:val="en-GB"/>
        </w:rPr>
        <w:t xml:space="preserve">adjournment of the proceedings and </w:t>
      </w:r>
      <w:r w:rsidR="00D56C70">
        <w:rPr>
          <w:lang w:val="en-GB"/>
        </w:rPr>
        <w:t xml:space="preserve">to </w:t>
      </w:r>
      <w:r w:rsidRPr="00C51530">
        <w:rPr>
          <w:lang w:val="en-GB"/>
        </w:rPr>
        <w:t xml:space="preserve">call </w:t>
      </w:r>
      <w:r w:rsidR="00F56D22" w:rsidRPr="00C51530">
        <w:rPr>
          <w:lang w:val="en-GB"/>
        </w:rPr>
        <w:t>police officers</w:t>
      </w:r>
      <w:r w:rsidR="00F56D22">
        <w:rPr>
          <w:lang w:val="en-GB"/>
        </w:rPr>
        <w:t xml:space="preserve"> </w:t>
      </w:r>
      <w:r w:rsidRPr="00C51530">
        <w:rPr>
          <w:lang w:val="en-GB"/>
        </w:rPr>
        <w:t xml:space="preserve">as witnesses, </w:t>
      </w:r>
      <w:r w:rsidR="00F56D22">
        <w:rPr>
          <w:lang w:val="en-GB"/>
        </w:rPr>
        <w:t>as their</w:t>
      </w:r>
      <w:r w:rsidRPr="00C51530">
        <w:rPr>
          <w:lang w:val="en-GB"/>
        </w:rPr>
        <w:t xml:space="preserve"> written reports were the only incriminating evidence against him. On the same day</w:t>
      </w:r>
      <w:r w:rsidR="00F56D22">
        <w:rPr>
          <w:lang w:val="en-GB"/>
        </w:rPr>
        <w:t>,</w:t>
      </w:r>
      <w:r w:rsidRPr="00C51530">
        <w:rPr>
          <w:lang w:val="en-GB"/>
        </w:rPr>
        <w:t xml:space="preserve"> the author was convicted and sentenced to a</w:t>
      </w:r>
      <w:r w:rsidR="00F56D22">
        <w:rPr>
          <w:lang w:val="en-GB"/>
        </w:rPr>
        <w:t>nother</w:t>
      </w:r>
      <w:r w:rsidRPr="00C51530">
        <w:rPr>
          <w:lang w:val="en-GB"/>
        </w:rPr>
        <w:t xml:space="preserve"> 15</w:t>
      </w:r>
      <w:r w:rsidR="00F56D22">
        <w:rPr>
          <w:lang w:val="en-GB"/>
        </w:rPr>
        <w:t>-</w:t>
      </w:r>
      <w:r w:rsidRPr="00C51530">
        <w:rPr>
          <w:lang w:val="en-GB"/>
        </w:rPr>
        <w:t xml:space="preserve">day jail sentence. </w:t>
      </w:r>
    </w:p>
    <w:p w14:paraId="49A16658" w14:textId="77777777" w:rsidR="00CC6A70" w:rsidRPr="00C51530" w:rsidRDefault="00CC6A70" w:rsidP="000D5926">
      <w:pPr>
        <w:pStyle w:val="SingleTxtG"/>
        <w:rPr>
          <w:lang w:val="en-GB"/>
        </w:rPr>
      </w:pPr>
      <w:r w:rsidRPr="00C51530">
        <w:rPr>
          <w:lang w:val="en-GB"/>
        </w:rPr>
        <w:t>2.2</w:t>
      </w:r>
      <w:r w:rsidRPr="00C51530">
        <w:rPr>
          <w:lang w:val="en-GB"/>
        </w:rPr>
        <w:tab/>
        <w:t>On 23 December 2011, the author appealed th</w:t>
      </w:r>
      <w:r w:rsidR="00F56D22">
        <w:rPr>
          <w:lang w:val="en-GB"/>
        </w:rPr>
        <w:t>at</w:t>
      </w:r>
      <w:r w:rsidRPr="00C51530">
        <w:rPr>
          <w:lang w:val="en-GB"/>
        </w:rPr>
        <w:t xml:space="preserve"> conviction before Petrogradskiy District Court, alleging inter alia that the court had used </w:t>
      </w:r>
      <w:r w:rsidR="00F56D22" w:rsidRPr="00C51530">
        <w:rPr>
          <w:lang w:val="en-GB"/>
        </w:rPr>
        <w:t>police officers</w:t>
      </w:r>
      <w:r w:rsidR="00F56D22">
        <w:rPr>
          <w:lang w:val="en-GB"/>
        </w:rPr>
        <w:t xml:space="preserve">’ statements </w:t>
      </w:r>
      <w:r w:rsidRPr="00C51530">
        <w:rPr>
          <w:lang w:val="en-GB"/>
        </w:rPr>
        <w:t xml:space="preserve">in evidence, </w:t>
      </w:r>
      <w:r w:rsidR="00CB57C7" w:rsidRPr="00C51530">
        <w:rPr>
          <w:lang w:val="en-GB"/>
        </w:rPr>
        <w:t xml:space="preserve">that </w:t>
      </w:r>
      <w:r w:rsidRPr="00C51530">
        <w:rPr>
          <w:lang w:val="en-GB"/>
        </w:rPr>
        <w:t xml:space="preserve">he </w:t>
      </w:r>
      <w:r w:rsidR="00F56D22">
        <w:rPr>
          <w:lang w:val="en-GB"/>
        </w:rPr>
        <w:t>had been</w:t>
      </w:r>
      <w:r w:rsidRPr="00C51530">
        <w:rPr>
          <w:lang w:val="en-GB"/>
        </w:rPr>
        <w:t xml:space="preserve"> </w:t>
      </w:r>
      <w:r w:rsidR="00CB57C7" w:rsidRPr="00C51530">
        <w:rPr>
          <w:lang w:val="en-GB"/>
        </w:rPr>
        <w:t>denied</w:t>
      </w:r>
      <w:r w:rsidRPr="00C51530">
        <w:rPr>
          <w:lang w:val="en-GB"/>
        </w:rPr>
        <w:t xml:space="preserve"> the opportunity to cross-examine</w:t>
      </w:r>
      <w:r w:rsidR="00CB57C7" w:rsidRPr="00C51530">
        <w:rPr>
          <w:lang w:val="en-GB"/>
        </w:rPr>
        <w:t xml:space="preserve"> the officers</w:t>
      </w:r>
      <w:r w:rsidRPr="00C51530">
        <w:rPr>
          <w:lang w:val="en-GB"/>
        </w:rPr>
        <w:t xml:space="preserve"> in court and that the punishment imposed on him was disproportionate to the gravity of the offence committed and infringed his freedom of expression. The District Court dismissed the author’s appeal on 26 December 2011. On an unspecified date</w:t>
      </w:r>
      <w:r w:rsidR="00F56D22">
        <w:rPr>
          <w:lang w:val="en-GB"/>
        </w:rPr>
        <w:t>,</w:t>
      </w:r>
      <w:r w:rsidRPr="00C51530">
        <w:rPr>
          <w:lang w:val="en-GB"/>
        </w:rPr>
        <w:t xml:space="preserve"> the author lodged an application for a supervisory review before St. Petersburg City Court, with essentially the same arguments, which th</w:t>
      </w:r>
      <w:r w:rsidR="003611D1">
        <w:rPr>
          <w:lang w:val="en-GB"/>
        </w:rPr>
        <w:t>at court</w:t>
      </w:r>
      <w:r w:rsidRPr="00C51530">
        <w:rPr>
          <w:lang w:val="en-GB"/>
        </w:rPr>
        <w:t xml:space="preserve"> rejected on 13 February 2012. The author served his sentence in full in December 2011</w:t>
      </w:r>
      <w:r w:rsidR="003611D1">
        <w:rPr>
          <w:lang w:val="en-GB"/>
        </w:rPr>
        <w:t xml:space="preserve"> and </w:t>
      </w:r>
      <w:r w:rsidRPr="00C51530">
        <w:rPr>
          <w:lang w:val="en-GB"/>
        </w:rPr>
        <w:t xml:space="preserve">January 2012 in the </w:t>
      </w:r>
      <w:r w:rsidR="00E66EBA" w:rsidRPr="00C51530">
        <w:rPr>
          <w:lang w:val="en-GB"/>
        </w:rPr>
        <w:t>specialized</w:t>
      </w:r>
      <w:r w:rsidRPr="00C51530">
        <w:rPr>
          <w:lang w:val="en-GB"/>
        </w:rPr>
        <w:t xml:space="preserve"> detention centre of the Chief Directorate of the Interior in St. Petersburg. </w:t>
      </w:r>
      <w:r w:rsidR="00CB57C7" w:rsidRPr="00C51530">
        <w:rPr>
          <w:lang w:val="en-GB"/>
        </w:rPr>
        <w:t>At the time of submission</w:t>
      </w:r>
      <w:r w:rsidR="003611D1">
        <w:rPr>
          <w:lang w:val="en-GB"/>
        </w:rPr>
        <w:t xml:space="preserve"> of the communication,</w:t>
      </w:r>
      <w:r w:rsidR="00CB57C7" w:rsidRPr="00C51530">
        <w:rPr>
          <w:lang w:val="en-GB"/>
        </w:rPr>
        <w:t xml:space="preserve"> </w:t>
      </w:r>
      <w:r w:rsidRPr="00C51530">
        <w:rPr>
          <w:lang w:val="en-GB"/>
        </w:rPr>
        <w:t xml:space="preserve">there </w:t>
      </w:r>
      <w:r w:rsidR="00CB57C7" w:rsidRPr="00C51530">
        <w:rPr>
          <w:lang w:val="en-GB"/>
        </w:rPr>
        <w:t>we</w:t>
      </w:r>
      <w:r w:rsidRPr="00C51530">
        <w:rPr>
          <w:lang w:val="en-GB"/>
        </w:rPr>
        <w:t>re two more cases pending against the author.</w:t>
      </w:r>
    </w:p>
    <w:p w14:paraId="4FE01EC7" w14:textId="77777777" w:rsidR="00CC6A70" w:rsidRPr="00C51530" w:rsidRDefault="00CC6A70" w:rsidP="003611D1">
      <w:pPr>
        <w:pStyle w:val="SingleTxtG"/>
        <w:rPr>
          <w:lang w:val="en-GB"/>
        </w:rPr>
      </w:pPr>
      <w:r w:rsidRPr="00C51530">
        <w:rPr>
          <w:lang w:val="en-GB"/>
        </w:rPr>
        <w:t>2.3</w:t>
      </w:r>
      <w:r w:rsidRPr="00C51530">
        <w:rPr>
          <w:lang w:val="en-GB"/>
        </w:rPr>
        <w:tab/>
        <w:t>The author submits that even though</w:t>
      </w:r>
      <w:r w:rsidR="003611D1">
        <w:rPr>
          <w:lang w:val="en-GB"/>
        </w:rPr>
        <w:t>,</w:t>
      </w:r>
      <w:r w:rsidRPr="00C51530">
        <w:rPr>
          <w:lang w:val="en-GB"/>
        </w:rPr>
        <w:t xml:space="preserve"> </w:t>
      </w:r>
      <w:r w:rsidR="003611D1">
        <w:rPr>
          <w:lang w:val="en-GB"/>
        </w:rPr>
        <w:t xml:space="preserve">in </w:t>
      </w:r>
      <w:r w:rsidRPr="00C51530">
        <w:rPr>
          <w:lang w:val="en-GB"/>
        </w:rPr>
        <w:t>theory</w:t>
      </w:r>
      <w:r w:rsidR="003611D1">
        <w:rPr>
          <w:lang w:val="en-GB"/>
        </w:rPr>
        <w:t>,</w:t>
      </w:r>
      <w:r w:rsidRPr="00C51530">
        <w:rPr>
          <w:lang w:val="en-GB"/>
        </w:rPr>
        <w:t xml:space="preserve"> he could petition the Supreme Court for a supervisory review, he does not consider that to be an effective remedy</w:t>
      </w:r>
      <w:r w:rsidR="003611D1">
        <w:rPr>
          <w:lang w:val="en-GB"/>
        </w:rPr>
        <w:t>,</w:t>
      </w:r>
      <w:r w:rsidRPr="00C51530">
        <w:rPr>
          <w:lang w:val="en-GB"/>
        </w:rPr>
        <w:t xml:space="preserve"> and </w:t>
      </w:r>
      <w:r w:rsidR="003611D1">
        <w:rPr>
          <w:lang w:val="en-GB"/>
        </w:rPr>
        <w:t xml:space="preserve">he </w:t>
      </w:r>
      <w:r w:rsidRPr="00C51530">
        <w:rPr>
          <w:lang w:val="en-GB"/>
        </w:rPr>
        <w:t xml:space="preserve">makes reference to the jurisprudence of the Human Rights Committee and the European Court </w:t>
      </w:r>
      <w:r w:rsidR="003611D1">
        <w:rPr>
          <w:lang w:val="en-GB"/>
        </w:rPr>
        <w:t>o</w:t>
      </w:r>
      <w:r w:rsidRPr="00C51530">
        <w:rPr>
          <w:lang w:val="en-GB"/>
        </w:rPr>
        <w:t xml:space="preserve">f Human Rights in that </w:t>
      </w:r>
      <w:r w:rsidR="003611D1">
        <w:rPr>
          <w:lang w:val="en-GB"/>
        </w:rPr>
        <w:t>regard</w:t>
      </w:r>
      <w:r w:rsidRPr="00C51530">
        <w:rPr>
          <w:lang w:val="en-GB"/>
        </w:rPr>
        <w:t>.</w:t>
      </w:r>
      <w:r w:rsidR="00701AF2" w:rsidRPr="00C51530">
        <w:rPr>
          <w:lang w:val="en-GB"/>
        </w:rPr>
        <w:t xml:space="preserve"> The author contends that all available and effective domestic remedies have been exhausted.</w:t>
      </w:r>
    </w:p>
    <w:p w14:paraId="640985D8" w14:textId="77777777" w:rsidR="00CC6A70" w:rsidRPr="00C51530" w:rsidRDefault="00A61F33" w:rsidP="00A61F33">
      <w:pPr>
        <w:pStyle w:val="H23G"/>
      </w:pPr>
      <w:r w:rsidRPr="00C51530">
        <w:tab/>
      </w:r>
      <w:r w:rsidRPr="00C51530">
        <w:tab/>
      </w:r>
      <w:r w:rsidR="00CC6A70" w:rsidRPr="00C51530">
        <w:t>The complaint</w:t>
      </w:r>
    </w:p>
    <w:p w14:paraId="5C60893B" w14:textId="77777777" w:rsidR="00CC6A70" w:rsidRPr="00C51530" w:rsidRDefault="00CC6A70" w:rsidP="0067681D">
      <w:pPr>
        <w:pStyle w:val="SingleTxtG"/>
        <w:rPr>
          <w:lang w:val="en-GB"/>
        </w:rPr>
      </w:pPr>
      <w:r w:rsidRPr="00C51530">
        <w:rPr>
          <w:lang w:val="en-GB"/>
        </w:rPr>
        <w:t>3.1</w:t>
      </w:r>
      <w:r w:rsidRPr="00C51530">
        <w:rPr>
          <w:lang w:val="en-GB"/>
        </w:rPr>
        <w:tab/>
        <w:t xml:space="preserve">The author claims that </w:t>
      </w:r>
      <w:r w:rsidR="003611D1">
        <w:rPr>
          <w:lang w:val="en-GB"/>
        </w:rPr>
        <w:t>there were serious</w:t>
      </w:r>
      <w:r w:rsidR="003611D1" w:rsidRPr="00C51530">
        <w:rPr>
          <w:lang w:val="en-GB"/>
        </w:rPr>
        <w:t xml:space="preserve"> </w:t>
      </w:r>
      <w:r w:rsidRPr="00C51530">
        <w:rPr>
          <w:lang w:val="en-GB"/>
        </w:rPr>
        <w:t>breaches of procedural norms and of his constitutional and procedural rights</w:t>
      </w:r>
      <w:r w:rsidR="003611D1">
        <w:rPr>
          <w:lang w:val="en-GB"/>
        </w:rPr>
        <w:t xml:space="preserve"> in </w:t>
      </w:r>
      <w:r w:rsidR="003611D1" w:rsidRPr="00C51530">
        <w:rPr>
          <w:lang w:val="en-GB"/>
        </w:rPr>
        <w:t xml:space="preserve">the trial </w:t>
      </w:r>
      <w:r w:rsidR="003611D1">
        <w:rPr>
          <w:lang w:val="en-GB"/>
        </w:rPr>
        <w:t xml:space="preserve">that </w:t>
      </w:r>
      <w:r w:rsidR="003611D1" w:rsidRPr="00C51530">
        <w:rPr>
          <w:lang w:val="en-GB"/>
        </w:rPr>
        <w:t>was conducted against him</w:t>
      </w:r>
      <w:r w:rsidRPr="00C51530">
        <w:rPr>
          <w:lang w:val="en-GB"/>
        </w:rPr>
        <w:t xml:space="preserve">. He maintains that even though the charges were </w:t>
      </w:r>
      <w:r w:rsidR="00210D62">
        <w:rPr>
          <w:lang w:val="en-GB"/>
        </w:rPr>
        <w:t>designat</w:t>
      </w:r>
      <w:r w:rsidRPr="00C51530">
        <w:rPr>
          <w:lang w:val="en-GB"/>
        </w:rPr>
        <w:t xml:space="preserve">ed </w:t>
      </w:r>
      <w:r w:rsidR="00210D62">
        <w:rPr>
          <w:lang w:val="en-GB"/>
        </w:rPr>
        <w:t xml:space="preserve">as </w:t>
      </w:r>
      <w:r w:rsidRPr="00C51530">
        <w:rPr>
          <w:lang w:val="en-GB"/>
        </w:rPr>
        <w:t>administrative</w:t>
      </w:r>
      <w:r w:rsidR="00210D62">
        <w:rPr>
          <w:lang w:val="en-GB"/>
        </w:rPr>
        <w:t xml:space="preserve"> charges</w:t>
      </w:r>
      <w:r w:rsidRPr="00C51530">
        <w:rPr>
          <w:lang w:val="en-GB"/>
        </w:rPr>
        <w:t>, the proceedings against him were criminal within the meaning of article 14 of the Covenant, as he faced and served a jail sentence. The author</w:t>
      </w:r>
      <w:r w:rsidR="0067681D">
        <w:rPr>
          <w:lang w:val="en-GB"/>
        </w:rPr>
        <w:t xml:space="preserve">, who </w:t>
      </w:r>
      <w:r w:rsidR="0067681D" w:rsidRPr="00C51530">
        <w:rPr>
          <w:lang w:val="en-GB"/>
        </w:rPr>
        <w:t>throughout the proceedings</w:t>
      </w:r>
      <w:r w:rsidR="0067681D">
        <w:rPr>
          <w:lang w:val="en-GB"/>
        </w:rPr>
        <w:t xml:space="preserve">  </w:t>
      </w:r>
      <w:r w:rsidRPr="00C51530">
        <w:rPr>
          <w:lang w:val="en-GB"/>
        </w:rPr>
        <w:t xml:space="preserve"> maintained that the accusations were fake</w:t>
      </w:r>
      <w:r w:rsidR="0067681D">
        <w:rPr>
          <w:lang w:val="en-GB"/>
        </w:rPr>
        <w:t>,</w:t>
      </w:r>
      <w:r w:rsidRPr="00C51530">
        <w:rPr>
          <w:lang w:val="en-GB"/>
        </w:rPr>
        <w:t xml:space="preserve"> submits that he was refused the right to cross</w:t>
      </w:r>
      <w:r w:rsidR="00210D62">
        <w:rPr>
          <w:lang w:val="en-GB"/>
        </w:rPr>
        <w:t>-</w:t>
      </w:r>
      <w:r w:rsidRPr="00C51530">
        <w:rPr>
          <w:lang w:val="en-GB"/>
        </w:rPr>
        <w:t>examine the witnesses, whose statements were the only evidence against him</w:t>
      </w:r>
      <w:r w:rsidR="00210D62">
        <w:rPr>
          <w:lang w:val="en-GB"/>
        </w:rPr>
        <w:t>; he</w:t>
      </w:r>
      <w:r w:rsidRPr="00C51530">
        <w:rPr>
          <w:lang w:val="en-GB"/>
        </w:rPr>
        <w:t xml:space="preserve"> maintains that th</w:t>
      </w:r>
      <w:r w:rsidR="00210D62">
        <w:rPr>
          <w:lang w:val="en-GB"/>
        </w:rPr>
        <w:t>at</w:t>
      </w:r>
      <w:r w:rsidRPr="00C51530">
        <w:rPr>
          <w:lang w:val="en-GB"/>
        </w:rPr>
        <w:t xml:space="preserve"> </w:t>
      </w:r>
      <w:r w:rsidR="00210D62">
        <w:rPr>
          <w:lang w:val="en-GB"/>
        </w:rPr>
        <w:t xml:space="preserve">was in </w:t>
      </w:r>
      <w:r w:rsidRPr="00C51530">
        <w:rPr>
          <w:lang w:val="en-GB"/>
        </w:rPr>
        <w:t>violat</w:t>
      </w:r>
      <w:r w:rsidR="00210D62">
        <w:rPr>
          <w:lang w:val="en-GB"/>
        </w:rPr>
        <w:t>ion</w:t>
      </w:r>
      <w:r w:rsidRPr="00C51530">
        <w:rPr>
          <w:lang w:val="en-GB"/>
        </w:rPr>
        <w:t xml:space="preserve"> </w:t>
      </w:r>
      <w:r w:rsidR="00210D62">
        <w:rPr>
          <w:lang w:val="en-GB"/>
        </w:rPr>
        <w:t xml:space="preserve">of </w:t>
      </w:r>
      <w:r w:rsidRPr="00C51530">
        <w:rPr>
          <w:lang w:val="en-GB"/>
        </w:rPr>
        <w:t xml:space="preserve">his rights under article 14 </w:t>
      </w:r>
      <w:r w:rsidR="003611D1">
        <w:rPr>
          <w:lang w:val="en-GB"/>
        </w:rPr>
        <w:t>(</w:t>
      </w:r>
      <w:r w:rsidRPr="00C51530">
        <w:rPr>
          <w:lang w:val="en-GB"/>
        </w:rPr>
        <w:t>3</w:t>
      </w:r>
      <w:r w:rsidR="003611D1">
        <w:rPr>
          <w:lang w:val="en-GB"/>
        </w:rPr>
        <w:t>)</w:t>
      </w:r>
      <w:r w:rsidRPr="00C51530">
        <w:rPr>
          <w:lang w:val="en-GB"/>
        </w:rPr>
        <w:t xml:space="preserve"> (e) of the Covenant. He </w:t>
      </w:r>
      <w:r w:rsidR="00210D62">
        <w:rPr>
          <w:lang w:val="en-GB"/>
        </w:rPr>
        <w:t>also</w:t>
      </w:r>
      <w:r w:rsidRPr="00C51530">
        <w:rPr>
          <w:lang w:val="en-GB"/>
        </w:rPr>
        <w:t xml:space="preserve"> submits that this crucial irregularity undermined the overall fairness of the criminal proceedings against him, in violation of article 14 </w:t>
      </w:r>
      <w:r w:rsidR="00210D62">
        <w:rPr>
          <w:lang w:val="en-GB"/>
        </w:rPr>
        <w:t>(</w:t>
      </w:r>
      <w:r w:rsidRPr="00C51530">
        <w:rPr>
          <w:lang w:val="en-GB"/>
        </w:rPr>
        <w:t>1</w:t>
      </w:r>
      <w:r w:rsidR="00210D62">
        <w:rPr>
          <w:lang w:val="en-GB"/>
        </w:rPr>
        <w:t>)</w:t>
      </w:r>
      <w:r w:rsidRPr="00C51530">
        <w:rPr>
          <w:lang w:val="en-GB"/>
        </w:rPr>
        <w:t xml:space="preserve"> of the Covenant.</w:t>
      </w:r>
    </w:p>
    <w:p w14:paraId="7E7D8D7F" w14:textId="77777777" w:rsidR="00CC6A70" w:rsidRPr="00C51530" w:rsidRDefault="00701AF2" w:rsidP="003E1C7F">
      <w:pPr>
        <w:pStyle w:val="SingleTxtG"/>
        <w:rPr>
          <w:lang w:val="en-GB"/>
        </w:rPr>
      </w:pPr>
      <w:r w:rsidRPr="00C51530">
        <w:rPr>
          <w:lang w:val="en-GB"/>
        </w:rPr>
        <w:t>3.2</w:t>
      </w:r>
      <w:r w:rsidRPr="00C51530">
        <w:rPr>
          <w:lang w:val="en-GB"/>
        </w:rPr>
        <w:tab/>
      </w:r>
      <w:r w:rsidR="00CC6A70" w:rsidRPr="00C51530">
        <w:rPr>
          <w:lang w:val="en-GB"/>
        </w:rPr>
        <w:t xml:space="preserve">The author further submits that, even if he had used obscene language in public, the punishment imposed on him was disproportionate to the gravity of the offence. Taking into consideration that the offence in question, as recognized by the courts, was non-violent verbal expression, the jail sentence infringed the author’s rights under article 19 of the Covenant. The author refers to the Committee’s </w:t>
      </w:r>
      <w:r w:rsidR="00EE56F3" w:rsidRPr="00C51530">
        <w:rPr>
          <w:lang w:val="en-GB"/>
        </w:rPr>
        <w:t>general c</w:t>
      </w:r>
      <w:r w:rsidR="00CC6A70" w:rsidRPr="00C51530">
        <w:rPr>
          <w:lang w:val="en-GB"/>
        </w:rPr>
        <w:t xml:space="preserve">omment </w:t>
      </w:r>
      <w:r w:rsidR="0038095E" w:rsidRPr="00C51530">
        <w:rPr>
          <w:lang w:val="en-GB"/>
        </w:rPr>
        <w:t xml:space="preserve">No. </w:t>
      </w:r>
      <w:r w:rsidR="00CC6A70" w:rsidRPr="00C51530">
        <w:rPr>
          <w:lang w:val="en-GB"/>
        </w:rPr>
        <w:t>34</w:t>
      </w:r>
      <w:r w:rsidR="00BA1530">
        <w:rPr>
          <w:lang w:val="en-GB"/>
        </w:rPr>
        <w:t xml:space="preserve"> </w:t>
      </w:r>
      <w:r w:rsidR="00BA1530">
        <w:t>(2011) on freedoms of opinion and expression</w:t>
      </w:r>
      <w:r w:rsidR="00CC6A70" w:rsidRPr="00C51530">
        <w:rPr>
          <w:lang w:val="en-GB"/>
        </w:rPr>
        <w:t xml:space="preserve">, in which the Committee has emphasized that </w:t>
      </w:r>
      <w:r w:rsidR="00CC6A70" w:rsidRPr="00BE5990">
        <w:rPr>
          <w:lang w:val="en-GB"/>
        </w:rPr>
        <w:t>any restriction o</w:t>
      </w:r>
      <w:r w:rsidR="00BE5990">
        <w:rPr>
          <w:lang w:val="en-GB"/>
        </w:rPr>
        <w:t>n</w:t>
      </w:r>
      <w:r w:rsidR="00CC6A70" w:rsidRPr="00BE5990">
        <w:rPr>
          <w:lang w:val="en-GB"/>
        </w:rPr>
        <w:t xml:space="preserve"> freedom of expression must conform to the strict test</w:t>
      </w:r>
      <w:r w:rsidR="00BE5990">
        <w:rPr>
          <w:lang w:val="en-GB"/>
        </w:rPr>
        <w:t>s</w:t>
      </w:r>
      <w:r w:rsidR="00CC6A70" w:rsidRPr="00BE5990">
        <w:rPr>
          <w:lang w:val="en-GB"/>
        </w:rPr>
        <w:t xml:space="preserve"> of necessity and proportionality</w:t>
      </w:r>
      <w:r w:rsidR="00BE5990">
        <w:rPr>
          <w:lang w:val="en-GB"/>
        </w:rPr>
        <w:t>; he</w:t>
      </w:r>
      <w:r w:rsidR="00CC6A70" w:rsidRPr="00BE5990">
        <w:rPr>
          <w:lang w:val="en-GB"/>
        </w:rPr>
        <w:t xml:space="preserve"> maintains that those tests should also apply to the punishment imposed</w:t>
      </w:r>
      <w:r w:rsidR="00CC6A70" w:rsidRPr="00C51530">
        <w:rPr>
          <w:lang w:val="en-GB"/>
        </w:rPr>
        <w:t xml:space="preserve">. The author makes reference to the jurisprudence of the European Court </w:t>
      </w:r>
      <w:r w:rsidR="00BE5990">
        <w:rPr>
          <w:lang w:val="en-GB"/>
        </w:rPr>
        <w:t>o</w:t>
      </w:r>
      <w:r w:rsidR="00CC6A70" w:rsidRPr="00C51530">
        <w:rPr>
          <w:lang w:val="en-GB"/>
        </w:rPr>
        <w:t xml:space="preserve">f Human Rights, </w:t>
      </w:r>
      <w:r w:rsidR="00CC6A70" w:rsidRPr="00C51530">
        <w:rPr>
          <w:lang w:val="en-GB"/>
        </w:rPr>
        <w:lastRenderedPageBreak/>
        <w:t xml:space="preserve">according to which the imposition of imprisonment for exercising one’s freedom of expression is permitted only in cases of hate speech and incitement </w:t>
      </w:r>
      <w:r w:rsidR="006E3F07">
        <w:rPr>
          <w:lang w:val="en-GB"/>
        </w:rPr>
        <w:t>t</w:t>
      </w:r>
      <w:r w:rsidR="00CC6A70" w:rsidRPr="00C51530">
        <w:rPr>
          <w:lang w:val="en-GB"/>
        </w:rPr>
        <w:t>o violence</w:t>
      </w:r>
      <w:r w:rsidR="006E3F07">
        <w:rPr>
          <w:lang w:val="en-GB"/>
        </w:rPr>
        <w:t>.</w:t>
      </w:r>
      <w:r w:rsidR="00CC6A70" w:rsidRPr="00C51530">
        <w:rPr>
          <w:lang w:val="en-GB"/>
        </w:rPr>
        <w:t xml:space="preserve"> </w:t>
      </w:r>
      <w:r w:rsidR="006E3F07">
        <w:rPr>
          <w:lang w:val="en-GB"/>
        </w:rPr>
        <w:t>He</w:t>
      </w:r>
      <w:r w:rsidR="00CC6A70" w:rsidRPr="00C51530">
        <w:rPr>
          <w:lang w:val="en-GB"/>
        </w:rPr>
        <w:t xml:space="preserve"> submits that in his case</w:t>
      </w:r>
      <w:r w:rsidR="006E3F07">
        <w:rPr>
          <w:lang w:val="en-GB"/>
        </w:rPr>
        <w:t>,</w:t>
      </w:r>
      <w:r w:rsidR="00CC6A70" w:rsidRPr="00C51530">
        <w:rPr>
          <w:lang w:val="en-GB"/>
        </w:rPr>
        <w:t xml:space="preserve"> there has never been a</w:t>
      </w:r>
      <w:r w:rsidR="006E3F07">
        <w:rPr>
          <w:lang w:val="en-GB"/>
        </w:rPr>
        <w:t>ny</w:t>
      </w:r>
      <w:r w:rsidR="00CC6A70" w:rsidRPr="00C51530">
        <w:rPr>
          <w:lang w:val="en-GB"/>
        </w:rPr>
        <w:t xml:space="preserve"> suggestion that he used hate speech or incited violence. </w:t>
      </w:r>
    </w:p>
    <w:p w14:paraId="31AA4503" w14:textId="77777777" w:rsidR="00CC6A70" w:rsidRPr="00C51530" w:rsidRDefault="00CC6A70" w:rsidP="007B4390">
      <w:pPr>
        <w:pStyle w:val="SingleTxtG"/>
        <w:rPr>
          <w:lang w:val="en-GB"/>
        </w:rPr>
      </w:pPr>
      <w:r w:rsidRPr="00C51530">
        <w:rPr>
          <w:lang w:val="en-GB"/>
        </w:rPr>
        <w:t>3.</w:t>
      </w:r>
      <w:r w:rsidR="00701AF2" w:rsidRPr="00C51530">
        <w:rPr>
          <w:lang w:val="en-GB"/>
        </w:rPr>
        <w:t>3</w:t>
      </w:r>
      <w:r w:rsidRPr="00C51530">
        <w:rPr>
          <w:lang w:val="en-GB"/>
        </w:rPr>
        <w:tab/>
        <w:t xml:space="preserve">The author </w:t>
      </w:r>
      <w:r w:rsidR="007B4390">
        <w:rPr>
          <w:lang w:val="en-GB"/>
        </w:rPr>
        <w:t>also</w:t>
      </w:r>
      <w:r w:rsidRPr="00C51530">
        <w:rPr>
          <w:lang w:val="en-GB"/>
        </w:rPr>
        <w:t xml:space="preserve"> submits that, given the context and his public profile, his imprisonment on absurd and manifestly ill-founded charges was aimed at curtailing his activism, in particular not allowing him to be physically present </w:t>
      </w:r>
      <w:r w:rsidR="00057D41">
        <w:rPr>
          <w:lang w:val="en-GB"/>
        </w:rPr>
        <w:t xml:space="preserve">at </w:t>
      </w:r>
      <w:r w:rsidRPr="00C51530">
        <w:rPr>
          <w:lang w:val="en-GB"/>
        </w:rPr>
        <w:t xml:space="preserve">and </w:t>
      </w:r>
      <w:r w:rsidR="00057D41">
        <w:rPr>
          <w:lang w:val="en-GB"/>
        </w:rPr>
        <w:t xml:space="preserve">to </w:t>
      </w:r>
      <w:r w:rsidRPr="00C51530">
        <w:rPr>
          <w:lang w:val="en-GB"/>
        </w:rPr>
        <w:t xml:space="preserve">participate in the peaceful protests </w:t>
      </w:r>
      <w:r w:rsidR="007B4390">
        <w:rPr>
          <w:lang w:val="en-GB"/>
        </w:rPr>
        <w:t>that</w:t>
      </w:r>
      <w:r w:rsidRPr="00C51530">
        <w:rPr>
          <w:lang w:val="en-GB"/>
        </w:rPr>
        <w:t xml:space="preserve"> were held in St. Petersburg in December 2011, in violation of his rights under article 21 of the Covenant.</w:t>
      </w:r>
    </w:p>
    <w:p w14:paraId="6C2651F0" w14:textId="77777777" w:rsidR="00E17F9F" w:rsidRPr="00C51530" w:rsidRDefault="00E17F9F" w:rsidP="0091026B">
      <w:pPr>
        <w:pStyle w:val="SingleTxtG"/>
        <w:rPr>
          <w:lang w:val="en-GB"/>
        </w:rPr>
      </w:pPr>
      <w:r w:rsidRPr="00C51530">
        <w:rPr>
          <w:lang w:val="en-GB"/>
        </w:rPr>
        <w:t>3.4</w:t>
      </w:r>
      <w:r w:rsidRPr="00C51530">
        <w:rPr>
          <w:lang w:val="en-GB"/>
        </w:rPr>
        <w:tab/>
        <w:t xml:space="preserve">The </w:t>
      </w:r>
      <w:r w:rsidRPr="00C51530">
        <w:rPr>
          <w:color w:val="000000"/>
          <w:lang w:val="en-GB" w:eastAsia="en-GB"/>
        </w:rPr>
        <w:t xml:space="preserve">author requests </w:t>
      </w:r>
      <w:r w:rsidR="007B4390">
        <w:rPr>
          <w:color w:val="000000"/>
          <w:lang w:val="en-GB" w:eastAsia="en-GB"/>
        </w:rPr>
        <w:t xml:space="preserve">that </w:t>
      </w:r>
      <w:r w:rsidR="0091026B" w:rsidRPr="00C51530">
        <w:rPr>
          <w:color w:val="000000"/>
          <w:lang w:val="en-GB" w:eastAsia="en-GB"/>
        </w:rPr>
        <w:t>the State party</w:t>
      </w:r>
      <w:r w:rsidR="0091026B">
        <w:rPr>
          <w:color w:val="000000"/>
          <w:lang w:val="en-GB" w:eastAsia="en-GB"/>
        </w:rPr>
        <w:t xml:space="preserve"> </w:t>
      </w:r>
      <w:r w:rsidR="0091026B" w:rsidRPr="00C51530">
        <w:rPr>
          <w:color w:val="000000"/>
          <w:lang w:val="en-GB" w:eastAsia="en-GB"/>
        </w:rPr>
        <w:t xml:space="preserve">provide him </w:t>
      </w:r>
      <w:r w:rsidR="0091026B">
        <w:rPr>
          <w:color w:val="000000"/>
          <w:lang w:val="en-GB" w:eastAsia="en-GB"/>
        </w:rPr>
        <w:t xml:space="preserve">with </w:t>
      </w:r>
      <w:r w:rsidRPr="00C51530">
        <w:rPr>
          <w:color w:val="000000"/>
          <w:lang w:val="en-GB" w:eastAsia="en-GB"/>
        </w:rPr>
        <w:t xml:space="preserve">appropriate remedies, including </w:t>
      </w:r>
      <w:r w:rsidR="0091026B">
        <w:rPr>
          <w:color w:val="000000"/>
          <w:lang w:val="en-GB" w:eastAsia="en-GB"/>
        </w:rPr>
        <w:t xml:space="preserve">by issuing </w:t>
      </w:r>
      <w:r w:rsidRPr="00C51530">
        <w:rPr>
          <w:color w:val="000000"/>
          <w:lang w:val="en-GB" w:eastAsia="en-GB"/>
        </w:rPr>
        <w:t xml:space="preserve">a public apology, quashing his criminal conviction, clearing his criminal record and </w:t>
      </w:r>
      <w:r w:rsidR="0091026B">
        <w:rPr>
          <w:color w:val="000000"/>
          <w:lang w:val="en-GB" w:eastAsia="en-GB"/>
        </w:rPr>
        <w:t xml:space="preserve">giving him </w:t>
      </w:r>
      <w:r w:rsidRPr="00C51530">
        <w:rPr>
          <w:color w:val="000000"/>
          <w:lang w:val="en-GB" w:eastAsia="en-GB"/>
        </w:rPr>
        <w:t xml:space="preserve">compensation. </w:t>
      </w:r>
    </w:p>
    <w:p w14:paraId="152259D4" w14:textId="77777777" w:rsidR="001C3120" w:rsidRPr="00C51530" w:rsidRDefault="007B3302" w:rsidP="001C3120">
      <w:pPr>
        <w:pStyle w:val="H23G"/>
      </w:pPr>
      <w:r w:rsidRPr="00C51530">
        <w:tab/>
      </w:r>
      <w:r w:rsidRPr="00C51530">
        <w:tab/>
      </w:r>
      <w:r w:rsidR="001C3120" w:rsidRPr="004301C5">
        <w:t xml:space="preserve">State </w:t>
      </w:r>
      <w:r w:rsidR="0038095E" w:rsidRPr="004301C5">
        <w:t xml:space="preserve">party’s </w:t>
      </w:r>
      <w:r w:rsidR="001C3120" w:rsidRPr="004301C5">
        <w:t>observations on admissibility</w:t>
      </w:r>
      <w:r w:rsidR="002278E3" w:rsidRPr="00C51530">
        <w:t xml:space="preserve"> </w:t>
      </w:r>
    </w:p>
    <w:p w14:paraId="61DCD462" w14:textId="77777777" w:rsidR="00F00747" w:rsidRPr="00C51530" w:rsidRDefault="001C3120" w:rsidP="003E1C7F">
      <w:pPr>
        <w:pStyle w:val="SingleTxtG"/>
        <w:rPr>
          <w:lang w:val="en-GB"/>
        </w:rPr>
      </w:pPr>
      <w:r w:rsidRPr="00C51530">
        <w:rPr>
          <w:lang w:val="en-GB"/>
        </w:rPr>
        <w:t>4.</w:t>
      </w:r>
      <w:r w:rsidR="0077327C" w:rsidRPr="00C51530">
        <w:rPr>
          <w:lang w:val="en-GB"/>
        </w:rPr>
        <w:t>1</w:t>
      </w:r>
      <w:r w:rsidRPr="00C51530">
        <w:rPr>
          <w:lang w:val="en-GB"/>
        </w:rPr>
        <w:tab/>
      </w:r>
      <w:r w:rsidR="00E821FA" w:rsidRPr="00FF68AE">
        <w:rPr>
          <w:lang w:val="en-GB"/>
        </w:rPr>
        <w:t>In its observations dated</w:t>
      </w:r>
      <w:r w:rsidR="00E06DA5" w:rsidRPr="00C51530">
        <w:rPr>
          <w:lang w:val="en-GB"/>
        </w:rPr>
        <w:t xml:space="preserve"> 17 August 2012</w:t>
      </w:r>
      <w:r w:rsidR="00331C12" w:rsidRPr="00C51530">
        <w:rPr>
          <w:lang w:val="en-GB"/>
        </w:rPr>
        <w:t xml:space="preserve"> and</w:t>
      </w:r>
      <w:r w:rsidR="00D13345" w:rsidRPr="00C51530">
        <w:rPr>
          <w:lang w:val="en-GB"/>
        </w:rPr>
        <w:t xml:space="preserve"> </w:t>
      </w:r>
      <w:r w:rsidR="00331C12" w:rsidRPr="00C51530">
        <w:rPr>
          <w:lang w:val="en-GB"/>
        </w:rPr>
        <w:t>17 February 2014</w:t>
      </w:r>
      <w:r w:rsidR="00A61F33" w:rsidRPr="00C51530">
        <w:rPr>
          <w:lang w:val="en-GB"/>
        </w:rPr>
        <w:t>,</w:t>
      </w:r>
      <w:r w:rsidR="00E06DA5" w:rsidRPr="00C51530">
        <w:rPr>
          <w:lang w:val="en-GB"/>
        </w:rPr>
        <w:t xml:space="preserve"> the State party submits that </w:t>
      </w:r>
      <w:r w:rsidR="00331C12" w:rsidRPr="00C51530">
        <w:rPr>
          <w:lang w:val="en-GB"/>
        </w:rPr>
        <w:t>the author was found guilty of having committed an administrative offence under article 20.1,</w:t>
      </w:r>
      <w:r w:rsidR="001707EA" w:rsidRPr="00C51530">
        <w:rPr>
          <w:lang w:val="en-GB"/>
        </w:rPr>
        <w:t xml:space="preserve"> </w:t>
      </w:r>
      <w:r w:rsidR="00331C12" w:rsidRPr="00C51530">
        <w:rPr>
          <w:lang w:val="en-GB"/>
        </w:rPr>
        <w:t>part 1</w:t>
      </w:r>
      <w:r w:rsidR="002E1B73">
        <w:rPr>
          <w:lang w:val="en-GB"/>
        </w:rPr>
        <w:t>,</w:t>
      </w:r>
      <w:r w:rsidR="00331C12" w:rsidRPr="00C51530">
        <w:rPr>
          <w:lang w:val="en-GB"/>
        </w:rPr>
        <w:t xml:space="preserve"> of the Co</w:t>
      </w:r>
      <w:r w:rsidR="001707EA" w:rsidRPr="00C51530">
        <w:rPr>
          <w:lang w:val="en-GB"/>
        </w:rPr>
        <w:t>d</w:t>
      </w:r>
      <w:r w:rsidR="00331C12" w:rsidRPr="00C51530">
        <w:rPr>
          <w:lang w:val="en-GB"/>
        </w:rPr>
        <w:t xml:space="preserve">e of </w:t>
      </w:r>
      <w:r w:rsidR="001707EA" w:rsidRPr="00C51530">
        <w:rPr>
          <w:lang w:val="en-GB"/>
        </w:rPr>
        <w:t>A</w:t>
      </w:r>
      <w:r w:rsidR="00331C12" w:rsidRPr="00C51530">
        <w:rPr>
          <w:lang w:val="en-GB"/>
        </w:rPr>
        <w:t>dministrative</w:t>
      </w:r>
      <w:r w:rsidR="001707EA" w:rsidRPr="00C51530">
        <w:rPr>
          <w:lang w:val="en-GB"/>
        </w:rPr>
        <w:t xml:space="preserve"> Offences</w:t>
      </w:r>
      <w:r w:rsidR="00331C12" w:rsidRPr="00C51530">
        <w:rPr>
          <w:lang w:val="en-GB"/>
        </w:rPr>
        <w:t xml:space="preserve"> </w:t>
      </w:r>
      <w:r w:rsidR="001707EA" w:rsidRPr="00C51530">
        <w:rPr>
          <w:lang w:val="en-GB"/>
        </w:rPr>
        <w:t xml:space="preserve">(minor hooliganism) </w:t>
      </w:r>
      <w:r w:rsidR="00E821FA">
        <w:rPr>
          <w:lang w:val="en-GB"/>
        </w:rPr>
        <w:t xml:space="preserve">by the </w:t>
      </w:r>
      <w:r w:rsidR="0091026B">
        <w:rPr>
          <w:lang w:val="en-GB"/>
        </w:rPr>
        <w:t>j</w:t>
      </w:r>
      <w:r w:rsidR="001707EA" w:rsidRPr="00C51530">
        <w:rPr>
          <w:lang w:val="en-GB"/>
        </w:rPr>
        <w:t xml:space="preserve">ustice of </w:t>
      </w:r>
      <w:r w:rsidR="0091026B">
        <w:rPr>
          <w:lang w:val="en-GB"/>
        </w:rPr>
        <w:t>the p</w:t>
      </w:r>
      <w:r w:rsidR="001707EA" w:rsidRPr="00C51530">
        <w:rPr>
          <w:lang w:val="en-GB"/>
        </w:rPr>
        <w:t xml:space="preserve">eace </w:t>
      </w:r>
      <w:r w:rsidR="00BC7283" w:rsidRPr="00C51530">
        <w:rPr>
          <w:lang w:val="en-GB"/>
        </w:rPr>
        <w:t xml:space="preserve">for </w:t>
      </w:r>
      <w:r w:rsidR="0091026B">
        <w:rPr>
          <w:lang w:val="en-GB"/>
        </w:rPr>
        <w:t>j</w:t>
      </w:r>
      <w:r w:rsidR="00BC7283" w:rsidRPr="00C51530">
        <w:rPr>
          <w:lang w:val="en-GB"/>
        </w:rPr>
        <w:t xml:space="preserve">udicial </w:t>
      </w:r>
      <w:r w:rsidR="0091026B">
        <w:rPr>
          <w:lang w:val="en-GB"/>
        </w:rPr>
        <w:t>c</w:t>
      </w:r>
      <w:r w:rsidR="00BC7283" w:rsidRPr="00C51530">
        <w:rPr>
          <w:lang w:val="en-GB"/>
        </w:rPr>
        <w:t>ir</w:t>
      </w:r>
      <w:r w:rsidR="0091026B">
        <w:rPr>
          <w:lang w:val="en-GB"/>
        </w:rPr>
        <w:t>c</w:t>
      </w:r>
      <w:r w:rsidR="00BC7283" w:rsidRPr="00C51530">
        <w:rPr>
          <w:lang w:val="en-GB"/>
        </w:rPr>
        <w:t>uit</w:t>
      </w:r>
      <w:r w:rsidR="001707EA" w:rsidRPr="00C51530">
        <w:rPr>
          <w:lang w:val="en-GB"/>
        </w:rPr>
        <w:t xml:space="preserve"> No</w:t>
      </w:r>
      <w:r w:rsidR="009D0FD4" w:rsidRPr="00C51530">
        <w:rPr>
          <w:lang w:val="en-GB"/>
        </w:rPr>
        <w:t>.</w:t>
      </w:r>
      <w:r w:rsidR="001707EA" w:rsidRPr="00C51530">
        <w:rPr>
          <w:lang w:val="en-GB"/>
        </w:rPr>
        <w:t xml:space="preserve"> 153 of St</w:t>
      </w:r>
      <w:r w:rsidR="0091026B">
        <w:rPr>
          <w:lang w:val="en-GB"/>
        </w:rPr>
        <w:t xml:space="preserve">. </w:t>
      </w:r>
      <w:r w:rsidR="001707EA" w:rsidRPr="00C51530">
        <w:rPr>
          <w:lang w:val="en-GB"/>
        </w:rPr>
        <w:t>Petersburg</w:t>
      </w:r>
      <w:r w:rsidR="002E1B73">
        <w:rPr>
          <w:lang w:val="en-GB"/>
        </w:rPr>
        <w:t xml:space="preserve"> </w:t>
      </w:r>
      <w:r w:rsidR="00E821FA">
        <w:rPr>
          <w:lang w:val="en-GB"/>
        </w:rPr>
        <w:t>in</w:t>
      </w:r>
      <w:r w:rsidR="00E821FA" w:rsidRPr="00C51530">
        <w:rPr>
          <w:lang w:val="en-GB"/>
        </w:rPr>
        <w:t xml:space="preserve"> the ruling of </w:t>
      </w:r>
      <w:r w:rsidR="002E1B73" w:rsidRPr="00C51530">
        <w:rPr>
          <w:lang w:val="en-GB"/>
        </w:rPr>
        <w:t>22 December 2011</w:t>
      </w:r>
      <w:r w:rsidR="001707EA" w:rsidRPr="00C51530">
        <w:rPr>
          <w:lang w:val="en-GB"/>
        </w:rPr>
        <w:t xml:space="preserve">. He was </w:t>
      </w:r>
      <w:r w:rsidR="003E1C7F">
        <w:rPr>
          <w:lang w:val="en-GB"/>
        </w:rPr>
        <w:t>sentenced</w:t>
      </w:r>
      <w:r w:rsidR="001707EA" w:rsidRPr="00C51530">
        <w:rPr>
          <w:lang w:val="en-GB"/>
        </w:rPr>
        <w:t xml:space="preserve"> to 15 days of administrative detention</w:t>
      </w:r>
      <w:r w:rsidR="00E821FA">
        <w:rPr>
          <w:lang w:val="en-GB"/>
        </w:rPr>
        <w:t>,</w:t>
      </w:r>
      <w:r w:rsidR="001707EA" w:rsidRPr="00C51530">
        <w:rPr>
          <w:lang w:val="en-GB"/>
        </w:rPr>
        <w:t xml:space="preserve"> as </w:t>
      </w:r>
      <w:r w:rsidR="003E1C7F">
        <w:rPr>
          <w:lang w:val="en-GB"/>
        </w:rPr>
        <w:t xml:space="preserve">provided for </w:t>
      </w:r>
      <w:r w:rsidR="00E821FA">
        <w:rPr>
          <w:lang w:val="en-GB"/>
        </w:rPr>
        <w:t xml:space="preserve"> </w:t>
      </w:r>
      <w:r w:rsidR="001707EA" w:rsidRPr="00C51530">
        <w:rPr>
          <w:lang w:val="en-GB"/>
        </w:rPr>
        <w:t>in th</w:t>
      </w:r>
      <w:r w:rsidR="00E821FA">
        <w:rPr>
          <w:lang w:val="en-GB"/>
        </w:rPr>
        <w:t>at</w:t>
      </w:r>
      <w:r w:rsidR="001707EA" w:rsidRPr="00C51530">
        <w:rPr>
          <w:lang w:val="en-GB"/>
        </w:rPr>
        <w:t xml:space="preserve"> article. </w:t>
      </w:r>
    </w:p>
    <w:p w14:paraId="6FCCA08B" w14:textId="77777777" w:rsidR="00EE5D8B" w:rsidRPr="00C51530" w:rsidRDefault="00D13345" w:rsidP="005D58AF">
      <w:pPr>
        <w:pStyle w:val="SingleTxtG"/>
        <w:rPr>
          <w:lang w:val="en-GB"/>
        </w:rPr>
      </w:pPr>
      <w:r w:rsidRPr="00C51530">
        <w:rPr>
          <w:lang w:val="en-GB"/>
        </w:rPr>
        <w:t>4.2</w:t>
      </w:r>
      <w:r w:rsidRPr="00C51530">
        <w:rPr>
          <w:lang w:val="en-GB"/>
        </w:rPr>
        <w:tab/>
        <w:t>On 23 December 2011</w:t>
      </w:r>
      <w:r w:rsidR="00871AF5" w:rsidRPr="00C51530">
        <w:rPr>
          <w:lang w:val="en-GB"/>
        </w:rPr>
        <w:t>,</w:t>
      </w:r>
      <w:r w:rsidRPr="00C51530">
        <w:rPr>
          <w:lang w:val="en-GB"/>
        </w:rPr>
        <w:t xml:space="preserve"> his lawyer filed an appeal against the ruling, claiming that his rights had been violated. In particular, the appeal argued that the judge </w:t>
      </w:r>
      <w:r w:rsidR="00E821FA">
        <w:rPr>
          <w:lang w:val="en-GB"/>
        </w:rPr>
        <w:t xml:space="preserve">had </w:t>
      </w:r>
      <w:r w:rsidRPr="00C51530">
        <w:rPr>
          <w:lang w:val="en-GB"/>
        </w:rPr>
        <w:t xml:space="preserve">refused to postpone the </w:t>
      </w:r>
      <w:r w:rsidR="00B447A5">
        <w:rPr>
          <w:lang w:val="en-GB"/>
        </w:rPr>
        <w:t xml:space="preserve">consideration of the </w:t>
      </w:r>
      <w:r w:rsidRPr="00C51530">
        <w:rPr>
          <w:lang w:val="en-GB"/>
        </w:rPr>
        <w:t xml:space="preserve">case regardless of the </w:t>
      </w:r>
      <w:r w:rsidR="00B447A5" w:rsidRPr="00C51530">
        <w:rPr>
          <w:lang w:val="en-GB"/>
        </w:rPr>
        <w:t>author</w:t>
      </w:r>
      <w:r w:rsidR="00B447A5">
        <w:rPr>
          <w:lang w:val="en-GB"/>
        </w:rPr>
        <w:t xml:space="preserve">’s </w:t>
      </w:r>
      <w:r w:rsidRPr="00C51530">
        <w:rPr>
          <w:lang w:val="en-GB"/>
        </w:rPr>
        <w:t xml:space="preserve">ill health. </w:t>
      </w:r>
      <w:r w:rsidR="005D58AF">
        <w:rPr>
          <w:lang w:val="en-GB"/>
        </w:rPr>
        <w:t>The appeal</w:t>
      </w:r>
      <w:r w:rsidRPr="00C51530">
        <w:rPr>
          <w:lang w:val="en-GB"/>
        </w:rPr>
        <w:t xml:space="preserve"> also stated that the defence did not have </w:t>
      </w:r>
      <w:r w:rsidR="002D17CE" w:rsidRPr="00C51530">
        <w:rPr>
          <w:lang w:val="en-GB"/>
        </w:rPr>
        <w:t xml:space="preserve">a </w:t>
      </w:r>
      <w:r w:rsidRPr="00C51530">
        <w:rPr>
          <w:lang w:val="en-GB"/>
        </w:rPr>
        <w:t xml:space="preserve">chance to fully acquaint itself with the case file, the actions of the author did not constitute an administrative violation, </w:t>
      </w:r>
      <w:r w:rsidR="002D17CE" w:rsidRPr="00C51530">
        <w:rPr>
          <w:lang w:val="en-GB"/>
        </w:rPr>
        <w:t>t</w:t>
      </w:r>
      <w:r w:rsidRPr="00C51530">
        <w:rPr>
          <w:lang w:val="en-GB"/>
        </w:rPr>
        <w:t xml:space="preserve">he court refused to take </w:t>
      </w:r>
      <w:r w:rsidR="00442792" w:rsidRPr="00C51530">
        <w:rPr>
          <w:lang w:val="en-GB"/>
        </w:rPr>
        <w:t xml:space="preserve">witness statements </w:t>
      </w:r>
      <w:r w:rsidRPr="00C51530">
        <w:rPr>
          <w:lang w:val="en-GB"/>
        </w:rPr>
        <w:t>into consideration and the punishment imposed was disproportionate to the gravity of the act</w:t>
      </w:r>
      <w:r w:rsidR="00B447A5">
        <w:rPr>
          <w:lang w:val="en-GB"/>
        </w:rPr>
        <w:t xml:space="preserve"> that had been </w:t>
      </w:r>
      <w:r w:rsidR="00B447A5" w:rsidRPr="00C51530">
        <w:rPr>
          <w:lang w:val="en-GB"/>
        </w:rPr>
        <w:t>committed</w:t>
      </w:r>
      <w:r w:rsidRPr="00C51530">
        <w:rPr>
          <w:lang w:val="en-GB"/>
        </w:rPr>
        <w:t>. On 26 December 2011, Petrogradsk</w:t>
      </w:r>
      <w:r w:rsidR="00231DD0" w:rsidRPr="00C51530">
        <w:rPr>
          <w:lang w:val="en-GB"/>
        </w:rPr>
        <w:t>i</w:t>
      </w:r>
      <w:r w:rsidRPr="00C51530">
        <w:rPr>
          <w:lang w:val="en-GB"/>
        </w:rPr>
        <w:t>y District Court rejected the appeal. On 13 February 2012, St</w:t>
      </w:r>
      <w:r w:rsidR="00B447A5">
        <w:rPr>
          <w:lang w:val="en-GB"/>
        </w:rPr>
        <w:t xml:space="preserve">. </w:t>
      </w:r>
      <w:r w:rsidRPr="00C51530">
        <w:rPr>
          <w:lang w:val="en-GB"/>
        </w:rPr>
        <w:t xml:space="preserve">Petersburg City Court rejected a further appeal, finding that the arguments of the defence were unfounded. </w:t>
      </w:r>
      <w:r w:rsidR="003E1C7F">
        <w:rPr>
          <w:lang w:val="en-GB"/>
        </w:rPr>
        <w:t>It</w:t>
      </w:r>
      <w:r w:rsidRPr="00C51530">
        <w:rPr>
          <w:lang w:val="en-GB"/>
        </w:rPr>
        <w:t xml:space="preserve"> rejected the claim that </w:t>
      </w:r>
      <w:r w:rsidR="003E1C7F" w:rsidRPr="00C51530">
        <w:rPr>
          <w:lang w:val="en-GB"/>
        </w:rPr>
        <w:t>the author</w:t>
      </w:r>
      <w:r w:rsidR="003E1C7F">
        <w:rPr>
          <w:lang w:val="en-GB"/>
        </w:rPr>
        <w:t>’s</w:t>
      </w:r>
      <w:r w:rsidRPr="00C51530">
        <w:rPr>
          <w:lang w:val="en-GB"/>
        </w:rPr>
        <w:t xml:space="preserve"> actions did not constitute an administrative violation because th</w:t>
      </w:r>
      <w:r w:rsidR="005D58AF">
        <w:rPr>
          <w:lang w:val="en-GB"/>
        </w:rPr>
        <w:t>at</w:t>
      </w:r>
      <w:r w:rsidR="00BC7283" w:rsidRPr="00C51530">
        <w:rPr>
          <w:lang w:val="en-GB"/>
        </w:rPr>
        <w:t xml:space="preserve"> </w:t>
      </w:r>
      <w:r w:rsidRPr="00C51530">
        <w:rPr>
          <w:lang w:val="en-GB"/>
        </w:rPr>
        <w:t>w</w:t>
      </w:r>
      <w:r w:rsidR="005D58AF">
        <w:rPr>
          <w:lang w:val="en-GB"/>
        </w:rPr>
        <w:t>as</w:t>
      </w:r>
      <w:r w:rsidRPr="00C51530">
        <w:rPr>
          <w:lang w:val="en-GB"/>
        </w:rPr>
        <w:t xml:space="preserve"> not confirmed by the protocol on administrative violation, which </w:t>
      </w:r>
      <w:r w:rsidR="005D58AF">
        <w:rPr>
          <w:lang w:val="en-GB"/>
        </w:rPr>
        <w:t>describes</w:t>
      </w:r>
      <w:r w:rsidRPr="00C51530">
        <w:rPr>
          <w:lang w:val="en-GB"/>
        </w:rPr>
        <w:t xml:space="preserve"> the nature and the circumstances of the </w:t>
      </w:r>
      <w:r w:rsidR="003E1C7F" w:rsidRPr="00C51530">
        <w:rPr>
          <w:lang w:val="en-GB"/>
        </w:rPr>
        <w:t>offence</w:t>
      </w:r>
      <w:r w:rsidR="003E1C7F">
        <w:rPr>
          <w:lang w:val="en-GB"/>
        </w:rPr>
        <w:t xml:space="preserve"> that was </w:t>
      </w:r>
      <w:r w:rsidRPr="00C51530">
        <w:rPr>
          <w:lang w:val="en-GB"/>
        </w:rPr>
        <w:t>committed</w:t>
      </w:r>
      <w:r w:rsidR="008D085A" w:rsidRPr="00C51530">
        <w:rPr>
          <w:lang w:val="en-GB"/>
        </w:rPr>
        <w:t>, namely minor hooliganism. The State party refers to the definition of th</w:t>
      </w:r>
      <w:r w:rsidR="003E1C7F">
        <w:rPr>
          <w:lang w:val="en-GB"/>
        </w:rPr>
        <w:t>at</w:t>
      </w:r>
      <w:r w:rsidR="008D085A" w:rsidRPr="00C51530">
        <w:rPr>
          <w:lang w:val="en-GB"/>
        </w:rPr>
        <w:t xml:space="preserve"> offence and submits </w:t>
      </w:r>
      <w:r w:rsidR="000A7065" w:rsidRPr="00C51530">
        <w:rPr>
          <w:lang w:val="en-GB"/>
        </w:rPr>
        <w:t xml:space="preserve">that it was established that the author </w:t>
      </w:r>
      <w:r w:rsidR="003E1C7F" w:rsidRPr="00C51530">
        <w:rPr>
          <w:lang w:val="en-GB"/>
        </w:rPr>
        <w:t>used foul language</w:t>
      </w:r>
      <w:r w:rsidR="003E1C7F">
        <w:rPr>
          <w:lang w:val="en-GB"/>
        </w:rPr>
        <w:t xml:space="preserve"> </w:t>
      </w:r>
      <w:r w:rsidR="000A7065" w:rsidRPr="00C51530">
        <w:rPr>
          <w:lang w:val="en-GB"/>
        </w:rPr>
        <w:t>while in a public area, did not react to reprimands, expres</w:t>
      </w:r>
      <w:r w:rsidR="009A5C88" w:rsidRPr="00C51530">
        <w:rPr>
          <w:lang w:val="en-GB"/>
        </w:rPr>
        <w:t>sing</w:t>
      </w:r>
      <w:r w:rsidR="000A7065" w:rsidRPr="00C51530">
        <w:rPr>
          <w:lang w:val="en-GB"/>
        </w:rPr>
        <w:t xml:space="preserve"> </w:t>
      </w:r>
      <w:r w:rsidR="009A5C88" w:rsidRPr="00C51530">
        <w:rPr>
          <w:lang w:val="en-GB"/>
        </w:rPr>
        <w:t>open disrespect f</w:t>
      </w:r>
      <w:r w:rsidR="003E1C7F">
        <w:rPr>
          <w:lang w:val="en-GB"/>
        </w:rPr>
        <w:t>or</w:t>
      </w:r>
      <w:r w:rsidR="009A5C88" w:rsidRPr="00C51530">
        <w:rPr>
          <w:lang w:val="en-GB"/>
        </w:rPr>
        <w:t xml:space="preserve"> the public and therefore his behaviour was correctly qualified under article 20.1</w:t>
      </w:r>
      <w:r w:rsidR="00E821FA">
        <w:rPr>
          <w:lang w:val="en-GB"/>
        </w:rPr>
        <w:t>,</w:t>
      </w:r>
      <w:r w:rsidR="009A5C88" w:rsidRPr="00C51530">
        <w:rPr>
          <w:lang w:val="en-GB"/>
        </w:rPr>
        <w:t xml:space="preserve"> part</w:t>
      </w:r>
      <w:r w:rsidR="00EE56F3" w:rsidRPr="00C51530">
        <w:rPr>
          <w:lang w:val="en-GB"/>
        </w:rPr>
        <w:t xml:space="preserve"> </w:t>
      </w:r>
      <w:r w:rsidR="009A5C88" w:rsidRPr="00C51530">
        <w:rPr>
          <w:lang w:val="en-GB"/>
        </w:rPr>
        <w:t>1</w:t>
      </w:r>
      <w:r w:rsidR="00E821FA">
        <w:rPr>
          <w:lang w:val="en-GB"/>
        </w:rPr>
        <w:t>,</w:t>
      </w:r>
      <w:r w:rsidR="009A5C88" w:rsidRPr="00C51530">
        <w:rPr>
          <w:lang w:val="en-GB"/>
        </w:rPr>
        <w:t xml:space="preserve"> of the Code of Administrative Offences. The claim that his right to </w:t>
      </w:r>
      <w:r w:rsidR="005D58AF">
        <w:rPr>
          <w:lang w:val="en-GB"/>
        </w:rPr>
        <w:t xml:space="preserve">a </w:t>
      </w:r>
      <w:r w:rsidR="009A5C88" w:rsidRPr="00C51530">
        <w:rPr>
          <w:lang w:val="en-GB"/>
        </w:rPr>
        <w:t xml:space="preserve">defence had been violated was not confirmed by the case materials. </w:t>
      </w:r>
    </w:p>
    <w:p w14:paraId="1837F8BF" w14:textId="77777777" w:rsidR="001707EA" w:rsidRPr="00C51530" w:rsidRDefault="00EE5D8B" w:rsidP="000D5926">
      <w:pPr>
        <w:pStyle w:val="SingleTxtG"/>
        <w:rPr>
          <w:lang w:val="en-GB"/>
        </w:rPr>
      </w:pPr>
      <w:r w:rsidRPr="00C51530">
        <w:rPr>
          <w:lang w:val="en-GB"/>
        </w:rPr>
        <w:t>4.3</w:t>
      </w:r>
      <w:r w:rsidRPr="00C51530">
        <w:rPr>
          <w:lang w:val="en-GB"/>
        </w:rPr>
        <w:tab/>
      </w:r>
      <w:r w:rsidR="009A5C88" w:rsidRPr="00C51530">
        <w:rPr>
          <w:lang w:val="en-GB"/>
        </w:rPr>
        <w:t xml:space="preserve">The </w:t>
      </w:r>
      <w:r w:rsidRPr="00C51530">
        <w:rPr>
          <w:lang w:val="en-GB"/>
        </w:rPr>
        <w:t xml:space="preserve">State party notes that </w:t>
      </w:r>
      <w:r w:rsidR="000D5926">
        <w:rPr>
          <w:lang w:val="en-GB"/>
        </w:rPr>
        <w:t xml:space="preserve">the </w:t>
      </w:r>
      <w:r w:rsidR="009A5C88" w:rsidRPr="00C51530">
        <w:rPr>
          <w:lang w:val="en-GB"/>
        </w:rPr>
        <w:t>author did not file any further court appeals, including to the Supreme Court.</w:t>
      </w:r>
      <w:r w:rsidRPr="00C51530">
        <w:rPr>
          <w:lang w:val="en-GB"/>
        </w:rPr>
        <w:t xml:space="preserve"> It submits that under article 126 of the Constitution, article 19 of the Federal Constitutional Law “On the </w:t>
      </w:r>
      <w:r w:rsidR="000D5926">
        <w:rPr>
          <w:lang w:val="en-GB"/>
        </w:rPr>
        <w:t>j</w:t>
      </w:r>
      <w:r w:rsidRPr="00C51530">
        <w:rPr>
          <w:lang w:val="en-GB"/>
        </w:rPr>
        <w:t xml:space="preserve">udicial </w:t>
      </w:r>
      <w:r w:rsidR="000D5926">
        <w:rPr>
          <w:lang w:val="en-GB"/>
        </w:rPr>
        <w:t>s</w:t>
      </w:r>
      <w:r w:rsidRPr="00C51530">
        <w:rPr>
          <w:lang w:val="en-GB"/>
        </w:rPr>
        <w:t xml:space="preserve">ystem” and article 9 of the Federal Constitutional Law “On the </w:t>
      </w:r>
      <w:r w:rsidR="000D5926">
        <w:rPr>
          <w:lang w:val="en-GB"/>
        </w:rPr>
        <w:t>c</w:t>
      </w:r>
      <w:r w:rsidRPr="00C51530">
        <w:rPr>
          <w:lang w:val="en-GB"/>
        </w:rPr>
        <w:t xml:space="preserve">ourts of </w:t>
      </w:r>
      <w:r w:rsidR="000D5926">
        <w:rPr>
          <w:lang w:val="en-GB"/>
        </w:rPr>
        <w:t>g</w:t>
      </w:r>
      <w:r w:rsidRPr="00C51530">
        <w:rPr>
          <w:lang w:val="en-GB"/>
        </w:rPr>
        <w:t xml:space="preserve">eneral </w:t>
      </w:r>
      <w:r w:rsidR="000D5926">
        <w:rPr>
          <w:lang w:val="en-GB"/>
        </w:rPr>
        <w:t>j</w:t>
      </w:r>
      <w:r w:rsidRPr="00C51530">
        <w:rPr>
          <w:lang w:val="en-GB"/>
        </w:rPr>
        <w:t xml:space="preserve">urisdiction”, the Supreme Court of the Russian Federation is the highest judicial instance regarding administrative matters. </w:t>
      </w:r>
      <w:r w:rsidR="00442792">
        <w:rPr>
          <w:lang w:val="en-GB"/>
        </w:rPr>
        <w:t>T</w:t>
      </w:r>
      <w:r w:rsidRPr="00C51530">
        <w:rPr>
          <w:lang w:val="en-GB"/>
        </w:rPr>
        <w:t xml:space="preserve">he State party </w:t>
      </w:r>
      <w:r w:rsidR="00442792">
        <w:rPr>
          <w:lang w:val="en-GB"/>
        </w:rPr>
        <w:t xml:space="preserve">therefore </w:t>
      </w:r>
      <w:r w:rsidRPr="00C51530">
        <w:rPr>
          <w:lang w:val="en-GB"/>
        </w:rPr>
        <w:t>maintains that the author failed to exhaust all the available domestic remedies</w:t>
      </w:r>
      <w:r w:rsidR="00442792">
        <w:rPr>
          <w:lang w:val="en-GB"/>
        </w:rPr>
        <w:t>, which renders</w:t>
      </w:r>
      <w:r w:rsidRPr="00C51530">
        <w:rPr>
          <w:lang w:val="en-GB"/>
        </w:rPr>
        <w:t xml:space="preserve"> his communication inadmissible under articles 2 and 5 </w:t>
      </w:r>
      <w:r w:rsidR="00442792">
        <w:rPr>
          <w:lang w:val="en-GB"/>
        </w:rPr>
        <w:t>(</w:t>
      </w:r>
      <w:r w:rsidRPr="00C51530">
        <w:rPr>
          <w:lang w:val="en-GB"/>
        </w:rPr>
        <w:t>2</w:t>
      </w:r>
      <w:r w:rsidR="00442792">
        <w:rPr>
          <w:lang w:val="en-GB"/>
        </w:rPr>
        <w:t>)</w:t>
      </w:r>
      <w:r w:rsidRPr="00C51530">
        <w:rPr>
          <w:lang w:val="en-GB"/>
        </w:rPr>
        <w:t xml:space="preserve"> (b) of the Optional Protocol</w:t>
      </w:r>
      <w:r w:rsidR="00156DFE" w:rsidRPr="00C51530">
        <w:rPr>
          <w:lang w:val="en-GB"/>
        </w:rPr>
        <w:t>.</w:t>
      </w:r>
    </w:p>
    <w:p w14:paraId="364E81CB" w14:textId="77777777" w:rsidR="00F00747" w:rsidRPr="00C51530" w:rsidRDefault="0000397C" w:rsidP="0000397C">
      <w:pPr>
        <w:pStyle w:val="H23G"/>
      </w:pPr>
      <w:r w:rsidRPr="00C51530">
        <w:tab/>
      </w:r>
      <w:r w:rsidRPr="00C51530">
        <w:tab/>
      </w:r>
      <w:r w:rsidR="00F00747" w:rsidRPr="00C51530">
        <w:t>Author’s comments on the State party’s observations</w:t>
      </w:r>
    </w:p>
    <w:p w14:paraId="7CD60A61" w14:textId="77777777" w:rsidR="00F00747" w:rsidRPr="00C51530" w:rsidRDefault="00375CDD" w:rsidP="008D6D5E">
      <w:pPr>
        <w:pStyle w:val="SingleTxtG"/>
        <w:rPr>
          <w:lang w:val="en-GB"/>
        </w:rPr>
      </w:pPr>
      <w:r w:rsidRPr="00C51530">
        <w:rPr>
          <w:lang w:val="en-GB"/>
        </w:rPr>
        <w:t>5.1</w:t>
      </w:r>
      <w:r w:rsidRPr="00C51530">
        <w:rPr>
          <w:lang w:val="en-GB"/>
        </w:rPr>
        <w:tab/>
      </w:r>
      <w:r w:rsidR="008D6D5E" w:rsidRPr="00FF68AE">
        <w:rPr>
          <w:lang w:val="en-GB"/>
        </w:rPr>
        <w:t xml:space="preserve">In </w:t>
      </w:r>
      <w:r w:rsidR="008D6D5E">
        <w:rPr>
          <w:lang w:val="en-GB"/>
        </w:rPr>
        <w:t>his submission</w:t>
      </w:r>
      <w:r w:rsidR="008D6D5E" w:rsidRPr="00FF68AE">
        <w:rPr>
          <w:lang w:val="en-GB"/>
        </w:rPr>
        <w:t xml:space="preserve"> dated</w:t>
      </w:r>
      <w:r w:rsidR="00E66EBA" w:rsidRPr="00C51530">
        <w:rPr>
          <w:lang w:val="en-GB"/>
        </w:rPr>
        <w:t xml:space="preserve"> 20 September 2012, the author notes that the State party had argued that </w:t>
      </w:r>
      <w:r w:rsidR="001F7A23" w:rsidRPr="00C51530">
        <w:rPr>
          <w:lang w:val="en-GB"/>
        </w:rPr>
        <w:t xml:space="preserve">in his case there had been no infringement of the </w:t>
      </w:r>
      <w:r w:rsidR="008D6D5E">
        <w:rPr>
          <w:lang w:val="en-GB"/>
        </w:rPr>
        <w:t xml:space="preserve">application of the </w:t>
      </w:r>
      <w:r w:rsidR="001F7A23" w:rsidRPr="00C51530">
        <w:rPr>
          <w:lang w:val="en-GB"/>
        </w:rPr>
        <w:t xml:space="preserve">domestic legal provisions, in particular of the Code of Administrative Offences. He maintains, </w:t>
      </w:r>
      <w:r w:rsidR="001F7A23" w:rsidRPr="00C51530">
        <w:rPr>
          <w:lang w:val="en-GB"/>
        </w:rPr>
        <w:lastRenderedPageBreak/>
        <w:t xml:space="preserve">however, that the gist of his complaint concerned the infringement of his internationally protected human rights under articles 14, 19 (in </w:t>
      </w:r>
      <w:r w:rsidR="008D6D5E">
        <w:rPr>
          <w:lang w:val="en-GB"/>
        </w:rPr>
        <w:t xml:space="preserve">the </w:t>
      </w:r>
      <w:r w:rsidR="001F7A23" w:rsidRPr="00C51530">
        <w:rPr>
          <w:lang w:val="en-GB"/>
        </w:rPr>
        <w:t xml:space="preserve">light of the interpretation of that provision </w:t>
      </w:r>
      <w:r w:rsidR="008D6D5E">
        <w:rPr>
          <w:lang w:val="en-GB"/>
        </w:rPr>
        <w:t>in</w:t>
      </w:r>
      <w:r w:rsidR="001F7A23" w:rsidRPr="00C51530">
        <w:rPr>
          <w:lang w:val="en-GB"/>
        </w:rPr>
        <w:t xml:space="preserve"> the Committee</w:t>
      </w:r>
      <w:r w:rsidR="008D6D5E">
        <w:rPr>
          <w:lang w:val="en-GB"/>
        </w:rPr>
        <w:t>’s</w:t>
      </w:r>
      <w:r w:rsidR="001F7A23" w:rsidRPr="00C51530">
        <w:rPr>
          <w:lang w:val="en-GB"/>
        </w:rPr>
        <w:t xml:space="preserve"> general comment </w:t>
      </w:r>
      <w:r w:rsidR="0038095E" w:rsidRPr="00C51530">
        <w:rPr>
          <w:lang w:val="en-GB"/>
        </w:rPr>
        <w:t xml:space="preserve">No. </w:t>
      </w:r>
      <w:r w:rsidR="001F7A23" w:rsidRPr="00C51530">
        <w:rPr>
          <w:lang w:val="en-GB"/>
        </w:rPr>
        <w:t xml:space="preserve">34) and 21 of the Covenant. He regrets that the State party’s observations </w:t>
      </w:r>
      <w:r w:rsidR="004A36BB" w:rsidRPr="00C51530">
        <w:rPr>
          <w:lang w:val="en-GB"/>
        </w:rPr>
        <w:t>do not address th</w:t>
      </w:r>
      <w:r w:rsidR="008D6D5E">
        <w:rPr>
          <w:lang w:val="en-GB"/>
        </w:rPr>
        <w:t>o</w:t>
      </w:r>
      <w:r w:rsidR="004A36BB" w:rsidRPr="00C51530">
        <w:rPr>
          <w:lang w:val="en-GB"/>
        </w:rPr>
        <w:t xml:space="preserve">se claims and </w:t>
      </w:r>
      <w:r w:rsidR="000D5926">
        <w:rPr>
          <w:lang w:val="en-GB"/>
        </w:rPr>
        <w:t xml:space="preserve">that </w:t>
      </w:r>
      <w:r w:rsidR="004A36BB" w:rsidRPr="00C51530">
        <w:rPr>
          <w:lang w:val="en-GB"/>
        </w:rPr>
        <w:t xml:space="preserve">the Covenant is not even mentioned. </w:t>
      </w:r>
      <w:r w:rsidR="005D1B16" w:rsidRPr="00C51530">
        <w:rPr>
          <w:lang w:val="en-GB"/>
        </w:rPr>
        <w:t>He submits that his allegations are unanswered by the State party and respectfully requests the Committee to rule in his favour.</w:t>
      </w:r>
    </w:p>
    <w:p w14:paraId="3A592FF0" w14:textId="77777777" w:rsidR="00E66EBA" w:rsidRPr="00C51530" w:rsidRDefault="005D1B16" w:rsidP="00131AB0">
      <w:pPr>
        <w:pStyle w:val="SingleTxtG"/>
        <w:rPr>
          <w:lang w:val="en-GB"/>
        </w:rPr>
      </w:pPr>
      <w:r w:rsidRPr="00C51530">
        <w:rPr>
          <w:lang w:val="en-GB"/>
        </w:rPr>
        <w:t>5.2</w:t>
      </w:r>
      <w:r w:rsidRPr="00C51530">
        <w:rPr>
          <w:lang w:val="en-GB"/>
        </w:rPr>
        <w:tab/>
        <w:t xml:space="preserve">Regarding the State party’s submission that he has failed to exhaust domestic remedies, the author submits that the suggested remedy, namely a request for a supervisory review to the Supreme Court, does not constitute an effective remedy for the purposes of admissibility. He refers to the Committee’s jurisprudence in that </w:t>
      </w:r>
      <w:r w:rsidR="00131AB0">
        <w:rPr>
          <w:lang w:val="en-GB"/>
        </w:rPr>
        <w:t>regard</w:t>
      </w:r>
      <w:r w:rsidRPr="00C51530">
        <w:rPr>
          <w:rStyle w:val="FootnoteReference"/>
          <w:lang w:val="en-GB"/>
        </w:rPr>
        <w:footnoteReference w:id="4"/>
      </w:r>
      <w:r w:rsidRPr="00C51530">
        <w:rPr>
          <w:lang w:val="en-GB"/>
        </w:rPr>
        <w:t xml:space="preserve"> and maintains that </w:t>
      </w:r>
      <w:r w:rsidR="00131AB0" w:rsidRPr="00C51530">
        <w:rPr>
          <w:lang w:val="en-GB"/>
        </w:rPr>
        <w:t xml:space="preserve">the State party </w:t>
      </w:r>
      <w:r w:rsidR="00131AB0">
        <w:rPr>
          <w:lang w:val="en-GB"/>
        </w:rPr>
        <w:t xml:space="preserve">has demonstrated </w:t>
      </w:r>
      <w:r w:rsidRPr="00C51530">
        <w:rPr>
          <w:lang w:val="en-GB"/>
        </w:rPr>
        <w:t xml:space="preserve">no reason to depart from </w:t>
      </w:r>
      <w:r w:rsidR="00131AB0" w:rsidRPr="00C51530">
        <w:rPr>
          <w:lang w:val="en-GB"/>
        </w:rPr>
        <w:t>the Committee</w:t>
      </w:r>
      <w:r w:rsidR="00131AB0">
        <w:rPr>
          <w:lang w:val="en-GB"/>
        </w:rPr>
        <w:t>’s</w:t>
      </w:r>
      <w:r w:rsidRPr="00C51530">
        <w:rPr>
          <w:lang w:val="en-GB"/>
        </w:rPr>
        <w:t xml:space="preserve"> well-established case</w:t>
      </w:r>
      <w:r w:rsidR="00131AB0">
        <w:rPr>
          <w:lang w:val="en-GB"/>
        </w:rPr>
        <w:t xml:space="preserve"> </w:t>
      </w:r>
      <w:r w:rsidRPr="00C51530">
        <w:rPr>
          <w:lang w:val="en-GB"/>
        </w:rPr>
        <w:t xml:space="preserve">law. </w:t>
      </w:r>
    </w:p>
    <w:p w14:paraId="0A90D80B" w14:textId="77777777" w:rsidR="00F35149" w:rsidRPr="00C51530" w:rsidRDefault="003134AC" w:rsidP="00F35149">
      <w:pPr>
        <w:pStyle w:val="H23G"/>
      </w:pPr>
      <w:r w:rsidRPr="00C51530">
        <w:tab/>
      </w:r>
      <w:r w:rsidRPr="00C51530">
        <w:tab/>
      </w:r>
      <w:r w:rsidR="00F35149" w:rsidRPr="00C51530">
        <w:t>Issues and proceedings before the Committee</w:t>
      </w:r>
    </w:p>
    <w:p w14:paraId="71BCC6E7" w14:textId="77777777" w:rsidR="00F35149" w:rsidRPr="00C51530" w:rsidRDefault="00F35149" w:rsidP="00FD1D08">
      <w:pPr>
        <w:pStyle w:val="H4G"/>
      </w:pPr>
      <w:r w:rsidRPr="00C51530">
        <w:tab/>
      </w:r>
      <w:r w:rsidRPr="00C51530">
        <w:tab/>
      </w:r>
      <w:r w:rsidRPr="00CB4D6E">
        <w:t>Consideration of admissibility</w:t>
      </w:r>
    </w:p>
    <w:p w14:paraId="722792DC" w14:textId="77777777" w:rsidR="00F35149" w:rsidRPr="00C51530" w:rsidRDefault="001C3120" w:rsidP="0067681D">
      <w:pPr>
        <w:pStyle w:val="SingleTxtG"/>
        <w:rPr>
          <w:bCs/>
          <w:lang w:val="en-GB"/>
        </w:rPr>
      </w:pPr>
      <w:r w:rsidRPr="00C51530">
        <w:rPr>
          <w:bCs/>
          <w:lang w:val="en-GB"/>
        </w:rPr>
        <w:t>6</w:t>
      </w:r>
      <w:r w:rsidR="00F35149" w:rsidRPr="00C51530">
        <w:rPr>
          <w:bCs/>
          <w:lang w:val="en-GB"/>
        </w:rPr>
        <w:t>.1</w:t>
      </w:r>
      <w:r w:rsidR="00F35149" w:rsidRPr="00C51530">
        <w:rPr>
          <w:bCs/>
          <w:lang w:val="en-GB"/>
        </w:rPr>
        <w:tab/>
        <w:t>Before considering any claim contained in a communication, the Committee must</w:t>
      </w:r>
      <w:r w:rsidR="00F5246C">
        <w:rPr>
          <w:bCs/>
          <w:lang w:val="en-GB"/>
        </w:rPr>
        <w:t xml:space="preserve"> </w:t>
      </w:r>
      <w:r w:rsidR="00F5246C" w:rsidRPr="00C51530">
        <w:rPr>
          <w:bCs/>
          <w:lang w:val="en-GB"/>
        </w:rPr>
        <w:t>decide</w:t>
      </w:r>
      <w:r w:rsidR="00F35149" w:rsidRPr="00C51530">
        <w:rPr>
          <w:bCs/>
          <w:lang w:val="en-GB"/>
        </w:rPr>
        <w:t>, in accordance with rule 93 of its rules of procedure, whether or not it is admissible under the Optional Protocol.</w:t>
      </w:r>
    </w:p>
    <w:p w14:paraId="733A075E" w14:textId="77777777" w:rsidR="00F35149" w:rsidRPr="00C51530" w:rsidRDefault="001C3120" w:rsidP="00F5246C">
      <w:pPr>
        <w:pStyle w:val="SingleTxtG"/>
        <w:rPr>
          <w:bCs/>
          <w:lang w:val="en-GB"/>
        </w:rPr>
      </w:pPr>
      <w:r w:rsidRPr="00C51530">
        <w:rPr>
          <w:bCs/>
          <w:lang w:val="en-GB"/>
        </w:rPr>
        <w:t>6</w:t>
      </w:r>
      <w:r w:rsidR="00F35149" w:rsidRPr="00C51530">
        <w:rPr>
          <w:bCs/>
          <w:lang w:val="en-GB"/>
        </w:rPr>
        <w:t>.2</w:t>
      </w:r>
      <w:r w:rsidR="00F35149" w:rsidRPr="00C51530">
        <w:rPr>
          <w:bCs/>
          <w:lang w:val="en-GB"/>
        </w:rPr>
        <w:tab/>
        <w:t xml:space="preserve">The Committee has ascertained, as required under article 5 </w:t>
      </w:r>
      <w:r w:rsidR="00F5246C">
        <w:rPr>
          <w:bCs/>
          <w:lang w:val="en-GB"/>
        </w:rPr>
        <w:t>(</w:t>
      </w:r>
      <w:r w:rsidR="00F35149" w:rsidRPr="00C51530">
        <w:rPr>
          <w:bCs/>
          <w:lang w:val="en-GB"/>
        </w:rPr>
        <w:t>2</w:t>
      </w:r>
      <w:r w:rsidR="00F5246C">
        <w:rPr>
          <w:bCs/>
          <w:lang w:val="en-GB"/>
        </w:rPr>
        <w:t>)</w:t>
      </w:r>
      <w:r w:rsidR="00F35149" w:rsidRPr="00C51530">
        <w:rPr>
          <w:bCs/>
          <w:lang w:val="en-GB"/>
        </w:rPr>
        <w:t xml:space="preserve"> (a) of the Optional Protocol, that the same matter is not being examined under another procedure of international investigation or settlement.</w:t>
      </w:r>
    </w:p>
    <w:p w14:paraId="14398E52" w14:textId="77777777" w:rsidR="00AC41FA" w:rsidRPr="00C51530" w:rsidRDefault="00120A2E" w:rsidP="002C2C9E">
      <w:pPr>
        <w:pStyle w:val="SingleTxtG"/>
        <w:rPr>
          <w:lang w:val="en-GB"/>
        </w:rPr>
      </w:pPr>
      <w:r w:rsidRPr="00C51530">
        <w:rPr>
          <w:lang w:val="en-GB"/>
        </w:rPr>
        <w:t>6.</w:t>
      </w:r>
      <w:r w:rsidR="00AC41FA" w:rsidRPr="00C51530">
        <w:rPr>
          <w:lang w:val="en-GB"/>
        </w:rPr>
        <w:t>3</w:t>
      </w:r>
      <w:r w:rsidRPr="00C51530">
        <w:rPr>
          <w:lang w:val="en-GB"/>
        </w:rPr>
        <w:tab/>
      </w:r>
      <w:r w:rsidR="009B58BD" w:rsidRPr="00C51530">
        <w:rPr>
          <w:lang w:val="en-GB"/>
        </w:rPr>
        <w:t>The Committee notes that the State party has challenged the admissibility of the communication for non-exhaustion of domestic remedies under article</w:t>
      </w:r>
      <w:r w:rsidR="00EE56F3" w:rsidRPr="00C51530">
        <w:rPr>
          <w:lang w:val="en-GB"/>
        </w:rPr>
        <w:t>s 2 and</w:t>
      </w:r>
      <w:r w:rsidR="009B58BD" w:rsidRPr="00C51530">
        <w:rPr>
          <w:lang w:val="en-GB"/>
        </w:rPr>
        <w:t xml:space="preserve"> </w:t>
      </w:r>
      <w:r w:rsidR="00A52D60" w:rsidRPr="00C51530">
        <w:rPr>
          <w:lang w:val="en-GB"/>
        </w:rPr>
        <w:t xml:space="preserve">5 </w:t>
      </w:r>
      <w:r w:rsidR="00F5246C">
        <w:rPr>
          <w:lang w:val="en-GB"/>
        </w:rPr>
        <w:t>(</w:t>
      </w:r>
      <w:r w:rsidR="00A52D60" w:rsidRPr="00C51530">
        <w:rPr>
          <w:lang w:val="en-GB"/>
        </w:rPr>
        <w:t>2</w:t>
      </w:r>
      <w:r w:rsidR="00F5246C">
        <w:rPr>
          <w:lang w:val="en-GB"/>
        </w:rPr>
        <w:t>)</w:t>
      </w:r>
      <w:r w:rsidR="00A52D60" w:rsidRPr="00C51530">
        <w:rPr>
          <w:lang w:val="en-GB"/>
        </w:rPr>
        <w:t xml:space="preserve"> (b) of the Optional Protocol on the ground that </w:t>
      </w:r>
      <w:r w:rsidR="00C570B5" w:rsidRPr="00C51530">
        <w:rPr>
          <w:lang w:val="en-GB"/>
        </w:rPr>
        <w:t xml:space="preserve">the author failed to exhaust the available domestic remedies in that he </w:t>
      </w:r>
      <w:r w:rsidR="00F5246C">
        <w:rPr>
          <w:lang w:val="en-GB"/>
        </w:rPr>
        <w:t>did</w:t>
      </w:r>
      <w:r w:rsidR="00C570B5" w:rsidRPr="00C51530">
        <w:rPr>
          <w:lang w:val="en-GB"/>
        </w:rPr>
        <w:t xml:space="preserve"> not file an appeal </w:t>
      </w:r>
      <w:r w:rsidR="00F5246C">
        <w:rPr>
          <w:lang w:val="en-GB"/>
        </w:rPr>
        <w:t>before</w:t>
      </w:r>
      <w:r w:rsidR="00C570B5" w:rsidRPr="00C51530">
        <w:rPr>
          <w:lang w:val="en-GB"/>
        </w:rPr>
        <w:t xml:space="preserve"> the Supreme Court of the Russian Federation, which is the highest judicial instance </w:t>
      </w:r>
      <w:r w:rsidR="00F5246C">
        <w:rPr>
          <w:lang w:val="en-GB"/>
        </w:rPr>
        <w:t>in</w:t>
      </w:r>
      <w:r w:rsidR="00F5246C" w:rsidRPr="00C51530">
        <w:rPr>
          <w:lang w:val="en-GB"/>
        </w:rPr>
        <w:t xml:space="preserve"> </w:t>
      </w:r>
      <w:r w:rsidR="00C570B5" w:rsidRPr="00C51530">
        <w:rPr>
          <w:lang w:val="en-GB"/>
        </w:rPr>
        <w:t xml:space="preserve">administrative issues. </w:t>
      </w:r>
      <w:r w:rsidR="002A2C12" w:rsidRPr="00C51530">
        <w:rPr>
          <w:lang w:val="en-GB"/>
        </w:rPr>
        <w:t>Th</w:t>
      </w:r>
      <w:r w:rsidR="002A2C12" w:rsidRPr="00B01321">
        <w:rPr>
          <w:lang w:val="en-GB"/>
        </w:rPr>
        <w:t>e</w:t>
      </w:r>
      <w:r w:rsidR="002A2C12" w:rsidRPr="00C51530">
        <w:rPr>
          <w:lang w:val="en-GB"/>
        </w:rPr>
        <w:t xml:space="preserve"> Committee notes that the provisions of the domestic laws to which </w:t>
      </w:r>
      <w:r w:rsidR="004B2B8A" w:rsidRPr="00C51530">
        <w:rPr>
          <w:lang w:val="en-GB"/>
        </w:rPr>
        <w:t xml:space="preserve">the State party </w:t>
      </w:r>
      <w:r w:rsidR="002A2C12" w:rsidRPr="00C51530">
        <w:rPr>
          <w:lang w:val="en-GB"/>
        </w:rPr>
        <w:t>refer</w:t>
      </w:r>
      <w:r w:rsidR="00F5246C">
        <w:rPr>
          <w:lang w:val="en-GB"/>
        </w:rPr>
        <w:t>s,</w:t>
      </w:r>
      <w:r w:rsidR="002A2C12" w:rsidRPr="00C51530">
        <w:rPr>
          <w:lang w:val="en-GB"/>
        </w:rPr>
        <w:t xml:space="preserve"> namely article 126 of the Constitution, article 19 of the Federal Constitutional Law “On the </w:t>
      </w:r>
      <w:r w:rsidR="002C2C9E">
        <w:rPr>
          <w:lang w:val="en-GB"/>
        </w:rPr>
        <w:t>j</w:t>
      </w:r>
      <w:r w:rsidR="002A2C12" w:rsidRPr="00C51530">
        <w:rPr>
          <w:lang w:val="en-GB"/>
        </w:rPr>
        <w:t xml:space="preserve">udicial </w:t>
      </w:r>
      <w:r w:rsidR="002C2C9E">
        <w:rPr>
          <w:lang w:val="en-GB"/>
        </w:rPr>
        <w:t>s</w:t>
      </w:r>
      <w:r w:rsidR="002A2C12" w:rsidRPr="00C51530">
        <w:rPr>
          <w:lang w:val="en-GB"/>
        </w:rPr>
        <w:t xml:space="preserve">ystem” and article 9 of the Federal Constitutional Law “On the </w:t>
      </w:r>
      <w:r w:rsidR="002C2C9E">
        <w:rPr>
          <w:lang w:val="en-GB"/>
        </w:rPr>
        <w:t>c</w:t>
      </w:r>
      <w:r w:rsidR="002A2C12" w:rsidRPr="00C51530">
        <w:rPr>
          <w:lang w:val="en-GB"/>
        </w:rPr>
        <w:t xml:space="preserve">ourts of </w:t>
      </w:r>
      <w:r w:rsidR="002C2C9E">
        <w:rPr>
          <w:lang w:val="en-GB"/>
        </w:rPr>
        <w:t>g</w:t>
      </w:r>
      <w:r w:rsidR="002A2C12" w:rsidRPr="00C51530">
        <w:rPr>
          <w:lang w:val="en-GB"/>
        </w:rPr>
        <w:t xml:space="preserve">eneral </w:t>
      </w:r>
      <w:r w:rsidR="002C2C9E">
        <w:rPr>
          <w:lang w:val="en-GB"/>
        </w:rPr>
        <w:t>j</w:t>
      </w:r>
      <w:r w:rsidR="002A2C12" w:rsidRPr="00C51530">
        <w:rPr>
          <w:lang w:val="en-GB"/>
        </w:rPr>
        <w:t xml:space="preserve">urisdiction”, do not specify any particular remedy, but merely outline the role of the Supreme Court in the domestic legal system. The Committee also notes the author’s submission that the only remaining remedy for him would be </w:t>
      </w:r>
      <w:r w:rsidR="00F5246C">
        <w:rPr>
          <w:lang w:val="en-GB"/>
        </w:rPr>
        <w:t>to</w:t>
      </w:r>
      <w:r w:rsidR="002A2C12" w:rsidRPr="00C51530">
        <w:rPr>
          <w:lang w:val="en-GB"/>
        </w:rPr>
        <w:t xml:space="preserve"> request a supervisory review. </w:t>
      </w:r>
      <w:r w:rsidR="00380E01" w:rsidRPr="00C51530">
        <w:rPr>
          <w:lang w:val="en-GB"/>
        </w:rPr>
        <w:t>The Committee recalls its jurisprudence</w:t>
      </w:r>
      <w:r w:rsidR="00380E01" w:rsidRPr="00C51530">
        <w:rPr>
          <w:rStyle w:val="FootnoteReference"/>
          <w:lang w:val="en-GB"/>
        </w:rPr>
        <w:footnoteReference w:id="5"/>
      </w:r>
      <w:r w:rsidR="00380E01" w:rsidRPr="00C51530">
        <w:rPr>
          <w:lang w:val="en-GB"/>
        </w:rPr>
        <w:t xml:space="preserve"> that filing requests for supervisory review to the president of a court directed against court decisions </w:t>
      </w:r>
      <w:r w:rsidR="003078AA">
        <w:rPr>
          <w:lang w:val="en-GB"/>
        </w:rPr>
        <w:t>that</w:t>
      </w:r>
      <w:r w:rsidR="003078AA" w:rsidRPr="00C51530">
        <w:rPr>
          <w:lang w:val="en-GB"/>
        </w:rPr>
        <w:t xml:space="preserve"> </w:t>
      </w:r>
      <w:r w:rsidR="00380E01" w:rsidRPr="00C51530">
        <w:rPr>
          <w:lang w:val="en-GB"/>
        </w:rPr>
        <w:t>have entered into force and depend on the discretionary power of a judge constitute</w:t>
      </w:r>
      <w:r w:rsidR="003078AA">
        <w:rPr>
          <w:lang w:val="en-GB"/>
        </w:rPr>
        <w:t>s</w:t>
      </w:r>
      <w:r w:rsidR="00380E01" w:rsidRPr="00C51530">
        <w:rPr>
          <w:lang w:val="en-GB"/>
        </w:rPr>
        <w:t xml:space="preserve"> an extraordinary remedy and that the State party must show that there is a reasonable prospect that such requests would </w:t>
      </w:r>
      <w:r w:rsidR="00380E01" w:rsidRPr="00C51530">
        <w:rPr>
          <w:lang w:val="en-GB"/>
        </w:rPr>
        <w:lastRenderedPageBreak/>
        <w:t xml:space="preserve">provide an effective remedy in the circumstances of the </w:t>
      </w:r>
      <w:r w:rsidR="00380E01" w:rsidRPr="004B1937">
        <w:rPr>
          <w:lang w:val="en-GB"/>
        </w:rPr>
        <w:t>case.</w:t>
      </w:r>
      <w:r w:rsidR="00006AE6" w:rsidRPr="004B1937">
        <w:rPr>
          <w:rStyle w:val="FootnoteReference"/>
          <w:lang w:val="en-GB"/>
        </w:rPr>
        <w:footnoteReference w:id="6"/>
      </w:r>
      <w:r w:rsidR="002345C1" w:rsidRPr="00C51530">
        <w:rPr>
          <w:lang w:val="en-GB"/>
        </w:rPr>
        <w:t xml:space="preserve"> </w:t>
      </w:r>
      <w:r w:rsidR="00DE4E25" w:rsidRPr="00C51530">
        <w:rPr>
          <w:lang w:val="en-GB"/>
        </w:rPr>
        <w:t>The State party has not shown, however, whether and in how many cases petitions to the president of the Supreme Court for supervisory review procedures were applied successfully in cases concerning the right to a fair trial</w:t>
      </w:r>
      <w:r w:rsidR="001241CB" w:rsidRPr="00C51530">
        <w:rPr>
          <w:lang w:val="en-GB"/>
        </w:rPr>
        <w:t xml:space="preserve"> </w:t>
      </w:r>
      <w:r w:rsidR="00DE4E25" w:rsidRPr="00C51530">
        <w:rPr>
          <w:lang w:val="en-GB"/>
        </w:rPr>
        <w:t xml:space="preserve">or freedom of expression. </w:t>
      </w:r>
      <w:r w:rsidR="002345C1" w:rsidRPr="00C51530">
        <w:rPr>
          <w:lang w:val="en-GB"/>
        </w:rPr>
        <w:t>In the</w:t>
      </w:r>
      <w:r w:rsidR="00B03AC1" w:rsidRPr="00C51530">
        <w:rPr>
          <w:lang w:val="en-GB"/>
        </w:rPr>
        <w:t>se</w:t>
      </w:r>
      <w:r w:rsidR="002345C1" w:rsidRPr="00C51530">
        <w:rPr>
          <w:lang w:val="en-GB"/>
        </w:rPr>
        <w:t xml:space="preserve"> circumstances, the Committee considers that it is not precluded by article</w:t>
      </w:r>
      <w:r w:rsidR="00EE56F3" w:rsidRPr="00C51530">
        <w:rPr>
          <w:lang w:val="en-GB"/>
        </w:rPr>
        <w:t>s 2 and</w:t>
      </w:r>
      <w:r w:rsidR="002345C1" w:rsidRPr="00C51530">
        <w:rPr>
          <w:lang w:val="en-GB"/>
        </w:rPr>
        <w:t xml:space="preserve"> 5 </w:t>
      </w:r>
      <w:r w:rsidR="003078AA">
        <w:rPr>
          <w:lang w:val="en-GB"/>
        </w:rPr>
        <w:t>(</w:t>
      </w:r>
      <w:r w:rsidR="002345C1" w:rsidRPr="00C51530">
        <w:rPr>
          <w:lang w:val="en-GB"/>
        </w:rPr>
        <w:t>2</w:t>
      </w:r>
      <w:r w:rsidR="003078AA">
        <w:rPr>
          <w:lang w:val="en-GB"/>
        </w:rPr>
        <w:t>)</w:t>
      </w:r>
      <w:r w:rsidR="002345C1" w:rsidRPr="00C51530">
        <w:rPr>
          <w:lang w:val="en-GB"/>
        </w:rPr>
        <w:t xml:space="preserve"> (b) of the Optional Protocol from examining the present communication.</w:t>
      </w:r>
      <w:r w:rsidR="00EE56F3" w:rsidRPr="00C51530">
        <w:rPr>
          <w:lang w:val="en-GB"/>
        </w:rPr>
        <w:t xml:space="preserve"> </w:t>
      </w:r>
    </w:p>
    <w:p w14:paraId="7F15AC4A" w14:textId="77777777" w:rsidR="00AC41FA" w:rsidRPr="00C51530" w:rsidRDefault="00AC41FA" w:rsidP="008C12BF">
      <w:pPr>
        <w:pStyle w:val="SingleTxtG"/>
        <w:rPr>
          <w:lang w:val="en-GB"/>
        </w:rPr>
      </w:pPr>
      <w:r w:rsidRPr="00C51530">
        <w:rPr>
          <w:lang w:val="en-GB"/>
        </w:rPr>
        <w:t>6.4</w:t>
      </w:r>
      <w:r w:rsidRPr="00C51530">
        <w:rPr>
          <w:lang w:val="en-GB"/>
        </w:rPr>
        <w:tab/>
        <w:t xml:space="preserve">The Committee notes </w:t>
      </w:r>
      <w:r w:rsidR="002C2C9E">
        <w:rPr>
          <w:lang w:val="en-GB"/>
        </w:rPr>
        <w:t xml:space="preserve">the </w:t>
      </w:r>
      <w:r w:rsidRPr="00C51530">
        <w:rPr>
          <w:lang w:val="en-GB"/>
        </w:rPr>
        <w:t xml:space="preserve">author’s claim that his imprisonment on absurd and manifestly ill-founded charges was aimed at curtailing his activism, in particular not allowing him to be physically present </w:t>
      </w:r>
      <w:r w:rsidR="00057D41">
        <w:rPr>
          <w:lang w:val="en-GB"/>
        </w:rPr>
        <w:t xml:space="preserve">at </w:t>
      </w:r>
      <w:r w:rsidRPr="00C51530">
        <w:rPr>
          <w:lang w:val="en-GB"/>
        </w:rPr>
        <w:t xml:space="preserve">and </w:t>
      </w:r>
      <w:r w:rsidR="00057D41">
        <w:rPr>
          <w:lang w:val="en-GB"/>
        </w:rPr>
        <w:t xml:space="preserve">to </w:t>
      </w:r>
      <w:r w:rsidRPr="00C51530">
        <w:rPr>
          <w:lang w:val="en-GB"/>
        </w:rPr>
        <w:t xml:space="preserve">participate in the peaceful protests </w:t>
      </w:r>
      <w:r w:rsidR="00057D41">
        <w:rPr>
          <w:lang w:val="en-GB"/>
        </w:rPr>
        <w:t>that</w:t>
      </w:r>
      <w:r w:rsidRPr="00C51530">
        <w:rPr>
          <w:lang w:val="en-GB"/>
        </w:rPr>
        <w:t xml:space="preserve"> were held in St. Petersburg in December 2011, in violation of his rights under article 21 of the Covenant. In the absence of any </w:t>
      </w:r>
      <w:r w:rsidR="00057D41">
        <w:rPr>
          <w:lang w:val="en-GB"/>
        </w:rPr>
        <w:t>other</w:t>
      </w:r>
      <w:r w:rsidRPr="00C51530">
        <w:rPr>
          <w:lang w:val="en-GB"/>
        </w:rPr>
        <w:t xml:space="preserve"> detailed and documented information in support of those allegations </w:t>
      </w:r>
      <w:r w:rsidR="00057D41">
        <w:rPr>
          <w:lang w:val="en-GB"/>
        </w:rPr>
        <w:t>or on</w:t>
      </w:r>
      <w:r w:rsidRPr="00C51530">
        <w:rPr>
          <w:lang w:val="en-GB"/>
        </w:rPr>
        <w:t xml:space="preserve"> whether the</w:t>
      </w:r>
      <w:r w:rsidR="008C12BF">
        <w:rPr>
          <w:lang w:val="en-GB"/>
        </w:rPr>
        <w:t xml:space="preserve"> allegations</w:t>
      </w:r>
      <w:r w:rsidRPr="00C51530">
        <w:rPr>
          <w:lang w:val="en-GB"/>
        </w:rPr>
        <w:t xml:space="preserve"> were raised in domestic proceedings, the Committee considers that that claim has been insufficiently substantiated for the purposes of admissibility</w:t>
      </w:r>
      <w:r w:rsidR="008C12BF">
        <w:rPr>
          <w:lang w:val="en-GB"/>
        </w:rPr>
        <w:t>.</w:t>
      </w:r>
      <w:r w:rsidRPr="00C51530">
        <w:rPr>
          <w:lang w:val="en-GB"/>
        </w:rPr>
        <w:t xml:space="preserve"> </w:t>
      </w:r>
      <w:r w:rsidR="008C12BF">
        <w:rPr>
          <w:lang w:val="en-GB"/>
        </w:rPr>
        <w:t>The claim</w:t>
      </w:r>
      <w:r w:rsidRPr="00C51530">
        <w:rPr>
          <w:lang w:val="en-GB"/>
        </w:rPr>
        <w:t xml:space="preserve"> is therefore inadmissible under article 2 of the Optional Protocol.</w:t>
      </w:r>
    </w:p>
    <w:p w14:paraId="7D7F7E2D" w14:textId="77777777" w:rsidR="001F1088" w:rsidRPr="00C51530" w:rsidRDefault="00AC41FA" w:rsidP="003078AA">
      <w:pPr>
        <w:pStyle w:val="SingleTxtG"/>
        <w:rPr>
          <w:lang w:val="en-GB"/>
        </w:rPr>
      </w:pPr>
      <w:r w:rsidRPr="00C51530">
        <w:rPr>
          <w:lang w:val="en-GB"/>
        </w:rPr>
        <w:t>6.5</w:t>
      </w:r>
      <w:r w:rsidRPr="00C51530">
        <w:rPr>
          <w:lang w:val="en-GB"/>
        </w:rPr>
        <w:tab/>
        <w:t>The Committee</w:t>
      </w:r>
      <w:r w:rsidR="001F1088" w:rsidRPr="00C51530">
        <w:rPr>
          <w:lang w:val="en-GB"/>
        </w:rPr>
        <w:t xml:space="preserve"> declares the</w:t>
      </w:r>
      <w:r w:rsidR="00EE56F3" w:rsidRPr="00C51530">
        <w:rPr>
          <w:lang w:val="en-GB"/>
        </w:rPr>
        <w:t xml:space="preserve"> </w:t>
      </w:r>
      <w:r w:rsidR="00120A2E" w:rsidRPr="00C51530">
        <w:rPr>
          <w:lang w:val="en-GB"/>
        </w:rPr>
        <w:t>remaining claims under article</w:t>
      </w:r>
      <w:r w:rsidR="003078AA">
        <w:rPr>
          <w:lang w:val="en-GB"/>
        </w:rPr>
        <w:t>s</w:t>
      </w:r>
      <w:r w:rsidR="00120A2E" w:rsidRPr="00C51530">
        <w:rPr>
          <w:lang w:val="en-GB"/>
        </w:rPr>
        <w:t xml:space="preserve"> 14 </w:t>
      </w:r>
      <w:r w:rsidR="003078AA">
        <w:rPr>
          <w:lang w:val="en-GB"/>
        </w:rPr>
        <w:t>(</w:t>
      </w:r>
      <w:r w:rsidR="00120A2E" w:rsidRPr="00C51530">
        <w:rPr>
          <w:lang w:val="en-GB"/>
        </w:rPr>
        <w:t>3</w:t>
      </w:r>
      <w:r w:rsidR="003078AA">
        <w:rPr>
          <w:lang w:val="en-GB"/>
        </w:rPr>
        <w:t>)</w:t>
      </w:r>
      <w:r w:rsidR="00120A2E" w:rsidRPr="00C51530">
        <w:rPr>
          <w:lang w:val="en-GB"/>
        </w:rPr>
        <w:t xml:space="preserve"> (e) and 19 of the Covenant </w:t>
      </w:r>
      <w:r w:rsidR="004352DD" w:rsidRPr="00C51530">
        <w:rPr>
          <w:lang w:val="en-GB"/>
        </w:rPr>
        <w:t xml:space="preserve">admissible </w:t>
      </w:r>
      <w:r w:rsidR="001F1088" w:rsidRPr="00C51530">
        <w:rPr>
          <w:lang w:val="en-GB"/>
        </w:rPr>
        <w:t xml:space="preserve">and proceeds </w:t>
      </w:r>
      <w:r w:rsidR="004352DD" w:rsidRPr="00C51530">
        <w:rPr>
          <w:lang w:val="en-GB"/>
        </w:rPr>
        <w:t xml:space="preserve">with </w:t>
      </w:r>
      <w:r w:rsidR="00120A2E" w:rsidRPr="00C51530">
        <w:rPr>
          <w:lang w:val="en-GB"/>
        </w:rPr>
        <w:t>their</w:t>
      </w:r>
      <w:r w:rsidR="004352DD" w:rsidRPr="00C51530">
        <w:rPr>
          <w:lang w:val="en-GB"/>
        </w:rPr>
        <w:t xml:space="preserve"> </w:t>
      </w:r>
      <w:r w:rsidR="001F1088" w:rsidRPr="00C51530">
        <w:rPr>
          <w:lang w:val="en-GB"/>
        </w:rPr>
        <w:t>examination on the merits.</w:t>
      </w:r>
    </w:p>
    <w:p w14:paraId="1F1888C0" w14:textId="77777777" w:rsidR="00F35149" w:rsidRPr="00C51530" w:rsidRDefault="00F35149" w:rsidP="00F35149">
      <w:pPr>
        <w:pStyle w:val="H4G"/>
      </w:pPr>
      <w:r w:rsidRPr="00C51530">
        <w:tab/>
      </w:r>
      <w:r w:rsidRPr="00C51530">
        <w:tab/>
        <w:t>Consideration of the merits</w:t>
      </w:r>
    </w:p>
    <w:p w14:paraId="0B42DFBB" w14:textId="77777777" w:rsidR="0018481A" w:rsidRPr="00C51530" w:rsidRDefault="00446ABC" w:rsidP="00F92AB7">
      <w:pPr>
        <w:pStyle w:val="SingleTxtG"/>
        <w:rPr>
          <w:lang w:val="en-GB"/>
        </w:rPr>
      </w:pPr>
      <w:r w:rsidRPr="00C51530">
        <w:rPr>
          <w:lang w:val="en-GB"/>
        </w:rPr>
        <w:t>7</w:t>
      </w:r>
      <w:r w:rsidR="00F35149" w:rsidRPr="00C51530">
        <w:rPr>
          <w:lang w:val="en-GB"/>
        </w:rPr>
        <w:t>.</w:t>
      </w:r>
      <w:r w:rsidR="0018481A" w:rsidRPr="00C51530">
        <w:rPr>
          <w:lang w:val="en-GB"/>
        </w:rPr>
        <w:t>1</w:t>
      </w:r>
      <w:r w:rsidR="00F35149" w:rsidRPr="00C51530">
        <w:rPr>
          <w:lang w:val="en-GB"/>
        </w:rPr>
        <w:tab/>
      </w:r>
      <w:r w:rsidR="0018481A" w:rsidRPr="00C51530">
        <w:rPr>
          <w:lang w:val="en-GB"/>
        </w:rPr>
        <w:t xml:space="preserve">The Committee has considered the present communication in the light of all the information made available to it by the parties, as required under article 5 </w:t>
      </w:r>
      <w:r w:rsidR="00F92AB7">
        <w:rPr>
          <w:lang w:val="en-GB"/>
        </w:rPr>
        <w:t>(</w:t>
      </w:r>
      <w:r w:rsidR="0018481A" w:rsidRPr="00C51530">
        <w:rPr>
          <w:lang w:val="en-GB"/>
        </w:rPr>
        <w:t>1</w:t>
      </w:r>
      <w:r w:rsidR="00F92AB7">
        <w:rPr>
          <w:lang w:val="en-GB"/>
        </w:rPr>
        <w:t>)</w:t>
      </w:r>
      <w:r w:rsidR="0018481A" w:rsidRPr="00C51530">
        <w:rPr>
          <w:lang w:val="en-GB"/>
        </w:rPr>
        <w:t xml:space="preserve"> of the Optional Protocol.</w:t>
      </w:r>
    </w:p>
    <w:p w14:paraId="1F8DC255" w14:textId="77777777" w:rsidR="00BC7283" w:rsidRPr="00C51530" w:rsidRDefault="00F60246" w:rsidP="00F92AB7">
      <w:pPr>
        <w:pStyle w:val="SingleTxtG"/>
        <w:rPr>
          <w:lang w:val="en-GB"/>
        </w:rPr>
      </w:pPr>
      <w:r w:rsidRPr="00C51530">
        <w:rPr>
          <w:lang w:val="en-GB"/>
        </w:rPr>
        <w:t>7.2</w:t>
      </w:r>
      <w:r w:rsidRPr="00C51530">
        <w:rPr>
          <w:lang w:val="en-GB"/>
        </w:rPr>
        <w:tab/>
      </w:r>
      <w:r w:rsidR="00D04C4B" w:rsidRPr="00C51530">
        <w:rPr>
          <w:lang w:val="en-GB"/>
        </w:rPr>
        <w:t xml:space="preserve">The Committee takes note of author’s claims that he was detained </w:t>
      </w:r>
      <w:r w:rsidR="00AE62B3" w:rsidRPr="00C51530">
        <w:rPr>
          <w:lang w:val="en-GB"/>
        </w:rPr>
        <w:t>immediately after being released from serving a</w:t>
      </w:r>
      <w:r w:rsidR="00F92AB7">
        <w:rPr>
          <w:lang w:val="en-GB"/>
        </w:rPr>
        <w:t xml:space="preserve"> prison</w:t>
      </w:r>
      <w:r w:rsidR="00AE62B3" w:rsidRPr="00C51530">
        <w:rPr>
          <w:lang w:val="en-GB"/>
        </w:rPr>
        <w:t xml:space="preserve"> sentence and </w:t>
      </w:r>
      <w:r w:rsidR="00F92AB7">
        <w:rPr>
          <w:lang w:val="en-GB"/>
        </w:rPr>
        <w:t xml:space="preserve">was </w:t>
      </w:r>
      <w:r w:rsidR="00AE62B3" w:rsidRPr="00C51530">
        <w:rPr>
          <w:lang w:val="en-GB"/>
        </w:rPr>
        <w:t xml:space="preserve">charged with using foul language based solely on a </w:t>
      </w:r>
      <w:r w:rsidR="00F92AB7">
        <w:rPr>
          <w:lang w:val="en-GB"/>
        </w:rPr>
        <w:t>report</w:t>
      </w:r>
      <w:r w:rsidR="00AE62B3" w:rsidRPr="00C51530">
        <w:rPr>
          <w:lang w:val="en-GB"/>
        </w:rPr>
        <w:t xml:space="preserve"> prepared by police officers. The Committee notes, based on the court decisions</w:t>
      </w:r>
      <w:r w:rsidR="003F745D" w:rsidRPr="00C51530">
        <w:rPr>
          <w:lang w:val="en-GB"/>
        </w:rPr>
        <w:t>,</w:t>
      </w:r>
      <w:r w:rsidR="00AE62B3" w:rsidRPr="00C51530">
        <w:rPr>
          <w:lang w:val="en-GB"/>
        </w:rPr>
        <w:t xml:space="preserve"> </w:t>
      </w:r>
      <w:r w:rsidR="003F745D" w:rsidRPr="00C51530">
        <w:rPr>
          <w:lang w:val="en-GB"/>
        </w:rPr>
        <w:t xml:space="preserve">that </w:t>
      </w:r>
      <w:r w:rsidR="00AE62B3" w:rsidRPr="00C51530">
        <w:rPr>
          <w:lang w:val="en-GB"/>
        </w:rPr>
        <w:t xml:space="preserve">the author was tried and convicted in relation </w:t>
      </w:r>
      <w:r w:rsidR="00F92AB7">
        <w:rPr>
          <w:lang w:val="en-GB"/>
        </w:rPr>
        <w:t>to</w:t>
      </w:r>
      <w:r w:rsidR="00AE62B3" w:rsidRPr="00C51530">
        <w:rPr>
          <w:lang w:val="en-GB"/>
        </w:rPr>
        <w:t xml:space="preserve"> an incident</w:t>
      </w:r>
      <w:r w:rsidR="0066207D" w:rsidRPr="00C51530">
        <w:rPr>
          <w:lang w:val="en-GB"/>
        </w:rPr>
        <w:t xml:space="preserve"> that took place on 16 October 2011,</w:t>
      </w:r>
      <w:r w:rsidR="00AE62B3" w:rsidRPr="00C51530">
        <w:rPr>
          <w:lang w:val="en-GB"/>
        </w:rPr>
        <w:t xml:space="preserve"> </w:t>
      </w:r>
      <w:r w:rsidR="003F745D" w:rsidRPr="00C51530">
        <w:rPr>
          <w:lang w:val="en-GB"/>
        </w:rPr>
        <w:t>when he entered into verbal conflict with police officer</w:t>
      </w:r>
      <w:r w:rsidR="0066207D" w:rsidRPr="00C51530">
        <w:rPr>
          <w:lang w:val="en-GB"/>
        </w:rPr>
        <w:t>s</w:t>
      </w:r>
      <w:r w:rsidR="003F745D" w:rsidRPr="00C51530">
        <w:rPr>
          <w:lang w:val="en-GB"/>
        </w:rPr>
        <w:t xml:space="preserve"> </w:t>
      </w:r>
      <w:r w:rsidR="00AE62B3" w:rsidRPr="00C51530">
        <w:rPr>
          <w:lang w:val="en-GB"/>
        </w:rPr>
        <w:t xml:space="preserve">while trying to deliver food to </w:t>
      </w:r>
      <w:r w:rsidR="003F745D" w:rsidRPr="00C51530">
        <w:rPr>
          <w:lang w:val="en-GB"/>
        </w:rPr>
        <w:t xml:space="preserve">his acquaintances </w:t>
      </w:r>
      <w:r w:rsidR="00F92AB7">
        <w:rPr>
          <w:lang w:val="en-GB"/>
        </w:rPr>
        <w:t>who</w:t>
      </w:r>
      <w:r w:rsidR="003F745D" w:rsidRPr="00C51530">
        <w:rPr>
          <w:lang w:val="en-GB"/>
        </w:rPr>
        <w:t xml:space="preserve"> were in detention. The Committee takes note of the author’s claim that, even if he had used obscene language in public, the punishment imposed on him was disproportionate to the gravity of the offence</w:t>
      </w:r>
      <w:r w:rsidR="00D04C4B" w:rsidRPr="00C51530">
        <w:rPr>
          <w:lang w:val="en-GB"/>
        </w:rPr>
        <w:t xml:space="preserve">. The issue before the Committee therefore is to consider whether the State party, by detaining and charging </w:t>
      </w:r>
      <w:r w:rsidR="003F745D" w:rsidRPr="00C51530">
        <w:rPr>
          <w:lang w:val="en-GB"/>
        </w:rPr>
        <w:t xml:space="preserve">the author </w:t>
      </w:r>
      <w:r w:rsidR="00D04C4B" w:rsidRPr="00C51530">
        <w:rPr>
          <w:lang w:val="en-GB"/>
        </w:rPr>
        <w:t xml:space="preserve">with an administrative offence and subsequently </w:t>
      </w:r>
      <w:r w:rsidR="003F745D" w:rsidRPr="00C51530">
        <w:rPr>
          <w:lang w:val="en-GB"/>
        </w:rPr>
        <w:t>sentencing him to 15 days of</w:t>
      </w:r>
      <w:r w:rsidR="00D04C4B" w:rsidRPr="00C51530">
        <w:rPr>
          <w:lang w:val="en-GB"/>
        </w:rPr>
        <w:t xml:space="preserve"> </w:t>
      </w:r>
      <w:r w:rsidR="003F745D" w:rsidRPr="00C51530">
        <w:rPr>
          <w:lang w:val="en-GB"/>
        </w:rPr>
        <w:t>imprisonment</w:t>
      </w:r>
      <w:r w:rsidR="00D04C4B" w:rsidRPr="00C51530">
        <w:rPr>
          <w:lang w:val="en-GB"/>
        </w:rPr>
        <w:t>, has unjustifiably restricted his rights as guaranteed in article</w:t>
      </w:r>
      <w:r w:rsidR="0038095E" w:rsidRPr="00C51530">
        <w:rPr>
          <w:lang w:val="en-GB"/>
        </w:rPr>
        <w:t xml:space="preserve"> </w:t>
      </w:r>
      <w:r w:rsidR="00D04C4B" w:rsidRPr="00C51530">
        <w:rPr>
          <w:lang w:val="en-GB"/>
        </w:rPr>
        <w:t xml:space="preserve">19 of the Covenant. </w:t>
      </w:r>
    </w:p>
    <w:p w14:paraId="1C64EF9A" w14:textId="77777777" w:rsidR="00D04C4B" w:rsidRPr="00C51530" w:rsidRDefault="00BC7283" w:rsidP="00ED2F5A">
      <w:pPr>
        <w:pStyle w:val="SingleTxtG"/>
        <w:rPr>
          <w:lang w:val="en-GB"/>
        </w:rPr>
      </w:pPr>
      <w:r w:rsidRPr="00C51530">
        <w:rPr>
          <w:lang w:val="en-GB"/>
        </w:rPr>
        <w:t>7.3</w:t>
      </w:r>
      <w:r w:rsidRPr="00C51530">
        <w:rPr>
          <w:lang w:val="en-GB"/>
        </w:rPr>
        <w:tab/>
      </w:r>
      <w:r w:rsidR="00D04C4B" w:rsidRPr="00C51530">
        <w:rPr>
          <w:lang w:val="en-GB"/>
        </w:rPr>
        <w:t>The Committee recalls that article</w:t>
      </w:r>
      <w:r w:rsidR="0038095E" w:rsidRPr="00C51530">
        <w:rPr>
          <w:lang w:val="en-GB"/>
        </w:rPr>
        <w:t xml:space="preserve"> </w:t>
      </w:r>
      <w:r w:rsidR="00D04C4B" w:rsidRPr="00C51530">
        <w:rPr>
          <w:lang w:val="en-GB"/>
        </w:rPr>
        <w:t xml:space="preserve">19 </w:t>
      </w:r>
      <w:r w:rsidR="00F92AB7">
        <w:rPr>
          <w:lang w:val="en-GB"/>
        </w:rPr>
        <w:t>(</w:t>
      </w:r>
      <w:r w:rsidR="00D04C4B" w:rsidRPr="00C51530">
        <w:rPr>
          <w:lang w:val="en-GB"/>
        </w:rPr>
        <w:t>3</w:t>
      </w:r>
      <w:r w:rsidR="00F92AB7">
        <w:rPr>
          <w:lang w:val="en-GB"/>
        </w:rPr>
        <w:t>)</w:t>
      </w:r>
      <w:r w:rsidR="00D04C4B" w:rsidRPr="00C51530">
        <w:rPr>
          <w:lang w:val="en-GB"/>
        </w:rPr>
        <w:t xml:space="preserve"> of the Covenant allows certain restrictions, but only as provided by law and necessary (a)</w:t>
      </w:r>
      <w:r w:rsidR="0038095E" w:rsidRPr="00C51530">
        <w:rPr>
          <w:lang w:val="en-GB"/>
        </w:rPr>
        <w:t xml:space="preserve"> </w:t>
      </w:r>
      <w:r w:rsidR="00D04C4B" w:rsidRPr="00C51530">
        <w:rPr>
          <w:lang w:val="en-GB"/>
        </w:rPr>
        <w:t>for respect of the rights or reputation</w:t>
      </w:r>
      <w:r w:rsidR="00F92AB7">
        <w:rPr>
          <w:lang w:val="en-GB"/>
        </w:rPr>
        <w:t>s</w:t>
      </w:r>
      <w:r w:rsidR="009856D2">
        <w:rPr>
          <w:lang w:val="en-GB"/>
        </w:rPr>
        <w:t xml:space="preserve"> </w:t>
      </w:r>
      <w:r w:rsidR="00D04C4B" w:rsidRPr="00C51530">
        <w:rPr>
          <w:lang w:val="en-GB"/>
        </w:rPr>
        <w:t xml:space="preserve"> of others</w:t>
      </w:r>
      <w:r w:rsidR="00ED2F5A">
        <w:rPr>
          <w:lang w:val="en-GB"/>
        </w:rPr>
        <w:t>,</w:t>
      </w:r>
      <w:r w:rsidR="00D04C4B" w:rsidRPr="00C51530">
        <w:rPr>
          <w:lang w:val="en-GB"/>
        </w:rPr>
        <w:t xml:space="preserve"> or (b)</w:t>
      </w:r>
      <w:r w:rsidR="0038095E" w:rsidRPr="00C51530">
        <w:rPr>
          <w:lang w:val="en-GB"/>
        </w:rPr>
        <w:t xml:space="preserve"> </w:t>
      </w:r>
      <w:r w:rsidR="00D04C4B" w:rsidRPr="00C51530">
        <w:rPr>
          <w:lang w:val="en-GB"/>
        </w:rPr>
        <w:t>for the protection of national security or of public order (</w:t>
      </w:r>
      <w:r w:rsidR="00D04C4B" w:rsidRPr="00C51530">
        <w:rPr>
          <w:i/>
          <w:iCs/>
          <w:lang w:val="en-GB"/>
        </w:rPr>
        <w:t>ordre public</w:t>
      </w:r>
      <w:r w:rsidR="00D04C4B" w:rsidRPr="00C51530">
        <w:rPr>
          <w:lang w:val="en-GB"/>
        </w:rPr>
        <w:t>), or of public health or morals. It observes that any restriction on the exercise of the rights provided for in article</w:t>
      </w:r>
      <w:r w:rsidR="0038095E" w:rsidRPr="00C51530">
        <w:rPr>
          <w:lang w:val="en-GB"/>
        </w:rPr>
        <w:t xml:space="preserve"> </w:t>
      </w:r>
      <w:r w:rsidR="00D04C4B" w:rsidRPr="00C51530">
        <w:rPr>
          <w:lang w:val="en-GB"/>
        </w:rPr>
        <w:t>19</w:t>
      </w:r>
      <w:r w:rsidR="003078AA">
        <w:rPr>
          <w:lang w:val="en-GB"/>
        </w:rPr>
        <w:t xml:space="preserve"> (</w:t>
      </w:r>
      <w:r w:rsidR="00D04C4B" w:rsidRPr="00C51530">
        <w:rPr>
          <w:lang w:val="en-GB"/>
        </w:rPr>
        <w:t>2</w:t>
      </w:r>
      <w:r w:rsidR="003078AA">
        <w:rPr>
          <w:lang w:val="en-GB"/>
        </w:rPr>
        <w:t>)</w:t>
      </w:r>
      <w:r w:rsidR="00D04C4B" w:rsidRPr="00C51530">
        <w:rPr>
          <w:lang w:val="en-GB"/>
        </w:rPr>
        <w:t xml:space="preserve"> must conform to the strict test of necessity and proportionality and must be directly related to the specific </w:t>
      </w:r>
      <w:r w:rsidR="00D04C4B" w:rsidRPr="00ED2F5A">
        <w:rPr>
          <w:lang w:val="en-GB"/>
        </w:rPr>
        <w:t>need on which they</w:t>
      </w:r>
      <w:r w:rsidR="00D04C4B" w:rsidRPr="00C51530">
        <w:rPr>
          <w:lang w:val="en-GB"/>
        </w:rPr>
        <w:t xml:space="preserve"> are predicated.</w:t>
      </w:r>
      <w:r w:rsidR="00D04C4B" w:rsidRPr="00C51530">
        <w:rPr>
          <w:rStyle w:val="FootnoteReference"/>
          <w:lang w:val="en-GB"/>
        </w:rPr>
        <w:footnoteReference w:id="7"/>
      </w:r>
      <w:r w:rsidR="00D04C4B" w:rsidRPr="00C51530">
        <w:rPr>
          <w:lang w:val="en-GB"/>
        </w:rPr>
        <w:t xml:space="preserve"> </w:t>
      </w:r>
    </w:p>
    <w:p w14:paraId="6748ADAD" w14:textId="77777777" w:rsidR="0067289A" w:rsidRPr="00C51530" w:rsidRDefault="00D04C4B" w:rsidP="005D58AF">
      <w:pPr>
        <w:pStyle w:val="SingleTxtG"/>
        <w:rPr>
          <w:lang w:val="en-GB"/>
        </w:rPr>
      </w:pPr>
      <w:r w:rsidRPr="00C51530">
        <w:rPr>
          <w:lang w:val="en-GB"/>
        </w:rPr>
        <w:lastRenderedPageBreak/>
        <w:t>7.</w:t>
      </w:r>
      <w:r w:rsidR="00436C80" w:rsidRPr="00C51530">
        <w:rPr>
          <w:lang w:val="en-GB"/>
        </w:rPr>
        <w:t>4</w:t>
      </w:r>
      <w:r w:rsidRPr="00C51530">
        <w:rPr>
          <w:lang w:val="en-GB"/>
        </w:rPr>
        <w:tab/>
        <w:t xml:space="preserve">The Committee notes the State party’s argument that the author was arrested </w:t>
      </w:r>
      <w:r w:rsidRPr="00C51530">
        <w:rPr>
          <w:snapToGrid w:val="0"/>
          <w:lang w:val="en-GB"/>
        </w:rPr>
        <w:t xml:space="preserve">because he </w:t>
      </w:r>
      <w:r w:rsidR="003F745D" w:rsidRPr="00C51530">
        <w:rPr>
          <w:snapToGrid w:val="0"/>
          <w:lang w:val="en-GB"/>
        </w:rPr>
        <w:t>had used foul language in public</w:t>
      </w:r>
      <w:r w:rsidRPr="00C51530">
        <w:rPr>
          <w:snapToGrid w:val="0"/>
          <w:lang w:val="en-GB"/>
        </w:rPr>
        <w:t>, in violation of article</w:t>
      </w:r>
      <w:r w:rsidR="0038095E" w:rsidRPr="00C51530">
        <w:rPr>
          <w:snapToGrid w:val="0"/>
          <w:lang w:val="en-GB"/>
        </w:rPr>
        <w:t xml:space="preserve"> </w:t>
      </w:r>
      <w:r w:rsidRPr="00C51530">
        <w:rPr>
          <w:snapToGrid w:val="0"/>
          <w:lang w:val="en-GB"/>
        </w:rPr>
        <w:t>2</w:t>
      </w:r>
      <w:r w:rsidR="003F745D" w:rsidRPr="00C51530">
        <w:rPr>
          <w:snapToGrid w:val="0"/>
          <w:lang w:val="en-GB"/>
        </w:rPr>
        <w:t>0</w:t>
      </w:r>
      <w:r w:rsidRPr="00C51530">
        <w:rPr>
          <w:snapToGrid w:val="0"/>
          <w:lang w:val="en-GB"/>
        </w:rPr>
        <w:t>.</w:t>
      </w:r>
      <w:r w:rsidR="003F745D" w:rsidRPr="00C51530">
        <w:rPr>
          <w:snapToGrid w:val="0"/>
          <w:lang w:val="en-GB"/>
        </w:rPr>
        <w:t>1</w:t>
      </w:r>
      <w:r w:rsidRPr="00C51530">
        <w:rPr>
          <w:snapToGrid w:val="0"/>
          <w:lang w:val="en-GB"/>
        </w:rPr>
        <w:t>, par</w:t>
      </w:r>
      <w:r w:rsidR="003F745D" w:rsidRPr="00C51530">
        <w:rPr>
          <w:snapToGrid w:val="0"/>
          <w:lang w:val="en-GB"/>
        </w:rPr>
        <w:t xml:space="preserve">t </w:t>
      </w:r>
      <w:r w:rsidRPr="00C51530">
        <w:rPr>
          <w:snapToGrid w:val="0"/>
          <w:lang w:val="en-GB"/>
        </w:rPr>
        <w:t xml:space="preserve">1, of the Code of Administrative Offences, and that </w:t>
      </w:r>
      <w:r w:rsidR="003F745D" w:rsidRPr="00C51530">
        <w:rPr>
          <w:snapToGrid w:val="0"/>
          <w:lang w:val="en-GB"/>
        </w:rPr>
        <w:t>his conviction was made in accordance with domestic law</w:t>
      </w:r>
      <w:r w:rsidRPr="00C51530">
        <w:rPr>
          <w:snapToGrid w:val="0"/>
          <w:lang w:val="en-GB"/>
        </w:rPr>
        <w:t xml:space="preserve">. </w:t>
      </w:r>
      <w:r w:rsidR="0066207D" w:rsidRPr="00C51530">
        <w:rPr>
          <w:snapToGrid w:val="0"/>
          <w:lang w:val="en-GB"/>
        </w:rPr>
        <w:t xml:space="preserve">The Committee also notes that the author alleges that he was </w:t>
      </w:r>
      <w:r w:rsidR="00A3706C" w:rsidRPr="00C51530">
        <w:rPr>
          <w:snapToGrid w:val="0"/>
          <w:lang w:val="en-GB"/>
        </w:rPr>
        <w:t>voicing his objections to the actions of the police</w:t>
      </w:r>
      <w:r w:rsidR="0066207D" w:rsidRPr="00C51530">
        <w:rPr>
          <w:snapToGrid w:val="0"/>
          <w:lang w:val="en-GB"/>
        </w:rPr>
        <w:t xml:space="preserve">. The Committee observes that the arrest, conviction and sentencing of the author resulted in restriction of his </w:t>
      </w:r>
      <w:r w:rsidR="00BC7283" w:rsidRPr="00C51530">
        <w:rPr>
          <w:snapToGrid w:val="0"/>
          <w:lang w:val="en-GB"/>
        </w:rPr>
        <w:t>freedom</w:t>
      </w:r>
      <w:r w:rsidR="0066207D" w:rsidRPr="00C51530">
        <w:rPr>
          <w:snapToGrid w:val="0"/>
          <w:lang w:val="en-GB"/>
        </w:rPr>
        <w:t xml:space="preserve"> to express an opinion.</w:t>
      </w:r>
      <w:r w:rsidR="0038095E" w:rsidRPr="00C51530">
        <w:rPr>
          <w:snapToGrid w:val="0"/>
          <w:lang w:val="en-GB"/>
        </w:rPr>
        <w:t xml:space="preserve"> </w:t>
      </w:r>
      <w:r w:rsidR="0066207D" w:rsidRPr="00C51530">
        <w:rPr>
          <w:snapToGrid w:val="0"/>
          <w:lang w:val="en-GB"/>
        </w:rPr>
        <w:t xml:space="preserve">In that connection, the Committee recalls that </w:t>
      </w:r>
      <w:r w:rsidR="0066207D" w:rsidRPr="00C51530">
        <w:rPr>
          <w:lang w:val="en-GB"/>
        </w:rPr>
        <w:t>it is for the State party to demonstrate that the restriction imposed was necessary in the case in question</w:t>
      </w:r>
      <w:r w:rsidR="0066207D" w:rsidRPr="00C51530">
        <w:rPr>
          <w:snapToGrid w:val="0"/>
          <w:lang w:val="en-GB"/>
        </w:rPr>
        <w:t xml:space="preserve"> for one of the legitimate purposes </w:t>
      </w:r>
      <w:r w:rsidR="00E652FC">
        <w:rPr>
          <w:snapToGrid w:val="0"/>
          <w:lang w:val="en-GB"/>
        </w:rPr>
        <w:t>listed in</w:t>
      </w:r>
      <w:r w:rsidR="0066207D" w:rsidRPr="00C51530">
        <w:rPr>
          <w:snapToGrid w:val="0"/>
          <w:lang w:val="en-GB"/>
        </w:rPr>
        <w:t xml:space="preserve"> article</w:t>
      </w:r>
      <w:r w:rsidR="0038095E" w:rsidRPr="00C51530">
        <w:rPr>
          <w:snapToGrid w:val="0"/>
          <w:lang w:val="en-GB"/>
        </w:rPr>
        <w:t xml:space="preserve"> </w:t>
      </w:r>
      <w:r w:rsidR="0066207D" w:rsidRPr="00C51530">
        <w:rPr>
          <w:snapToGrid w:val="0"/>
          <w:lang w:val="en-GB"/>
        </w:rPr>
        <w:t>19</w:t>
      </w:r>
      <w:r w:rsidR="0038095E" w:rsidRPr="00C51530">
        <w:rPr>
          <w:snapToGrid w:val="0"/>
          <w:lang w:val="en-GB"/>
        </w:rPr>
        <w:t xml:space="preserve"> </w:t>
      </w:r>
      <w:r w:rsidR="00E652FC">
        <w:rPr>
          <w:snapToGrid w:val="0"/>
          <w:lang w:val="en-GB"/>
        </w:rPr>
        <w:t>(</w:t>
      </w:r>
      <w:r w:rsidR="0066207D" w:rsidRPr="00C51530">
        <w:rPr>
          <w:snapToGrid w:val="0"/>
          <w:lang w:val="en-GB"/>
        </w:rPr>
        <w:t>3</w:t>
      </w:r>
      <w:r w:rsidR="00E652FC">
        <w:rPr>
          <w:snapToGrid w:val="0"/>
          <w:lang w:val="en-GB"/>
        </w:rPr>
        <w:t>)</w:t>
      </w:r>
      <w:r w:rsidR="0066207D" w:rsidRPr="00C51530">
        <w:rPr>
          <w:snapToGrid w:val="0"/>
          <w:lang w:val="en-GB"/>
        </w:rPr>
        <w:t xml:space="preserve"> of the Covenant</w:t>
      </w:r>
      <w:r w:rsidR="0066207D" w:rsidRPr="00C51530">
        <w:rPr>
          <w:lang w:val="en-GB"/>
        </w:rPr>
        <w:t>.</w:t>
      </w:r>
      <w:r w:rsidR="0066207D" w:rsidRPr="00C51530">
        <w:rPr>
          <w:rStyle w:val="FootnoteReference"/>
          <w:lang w:val="en-GB"/>
        </w:rPr>
        <w:footnoteReference w:id="8"/>
      </w:r>
      <w:r w:rsidR="0066207D" w:rsidRPr="00C51530">
        <w:rPr>
          <w:lang w:val="en-GB"/>
        </w:rPr>
        <w:t xml:space="preserve"> </w:t>
      </w:r>
      <w:r w:rsidR="0067289A" w:rsidRPr="00C51530">
        <w:rPr>
          <w:lang w:val="en-GB"/>
        </w:rPr>
        <w:t xml:space="preserve">The Committee observes that the requirement of necessity implies an element of proportionality, in the sense that the scope of the restriction imposed on freedom of expression must be proportional to the value </w:t>
      </w:r>
      <w:r w:rsidR="00E652FC">
        <w:rPr>
          <w:lang w:val="en-GB"/>
        </w:rPr>
        <w:t>that</w:t>
      </w:r>
      <w:r w:rsidR="0067289A" w:rsidRPr="00C51530">
        <w:rPr>
          <w:lang w:val="en-GB"/>
        </w:rPr>
        <w:t xml:space="preserve"> the restriction serves to protect.</w:t>
      </w:r>
      <w:r w:rsidR="00F166DC" w:rsidRPr="00C51530">
        <w:rPr>
          <w:rStyle w:val="FootnoteReference"/>
          <w:lang w:val="en-GB"/>
        </w:rPr>
        <w:footnoteReference w:id="9"/>
      </w:r>
      <w:r w:rsidR="0067289A" w:rsidRPr="00C51530">
        <w:rPr>
          <w:lang w:val="en-GB"/>
        </w:rPr>
        <w:t xml:space="preserve"> The Committee observes that</w:t>
      </w:r>
      <w:r w:rsidR="00871AF5" w:rsidRPr="00C51530">
        <w:rPr>
          <w:lang w:val="en-GB"/>
        </w:rPr>
        <w:t>,</w:t>
      </w:r>
      <w:r w:rsidR="0067289A" w:rsidRPr="00C51530">
        <w:rPr>
          <w:lang w:val="en-GB"/>
        </w:rPr>
        <w:t xml:space="preserve"> while the State party appears to imply that the author’s conviction and sentence were necessary for the protection of public </w:t>
      </w:r>
      <w:r w:rsidR="00AC41FA" w:rsidRPr="00C51530">
        <w:rPr>
          <w:lang w:val="en-GB"/>
        </w:rPr>
        <w:t>order</w:t>
      </w:r>
      <w:r w:rsidR="0067289A" w:rsidRPr="00C51530">
        <w:rPr>
          <w:lang w:val="en-GB"/>
        </w:rPr>
        <w:t xml:space="preserve">, it has not provided a justification as to why it </w:t>
      </w:r>
      <w:r w:rsidR="00C15B6B" w:rsidRPr="00C51530">
        <w:rPr>
          <w:lang w:val="en-GB"/>
        </w:rPr>
        <w:t>was necessary and proportionate</w:t>
      </w:r>
      <w:r w:rsidR="0067289A" w:rsidRPr="00C51530">
        <w:rPr>
          <w:lang w:val="en-GB"/>
        </w:rPr>
        <w:t xml:space="preserve"> to rearrest </w:t>
      </w:r>
      <w:r w:rsidR="00A3706C" w:rsidRPr="00C51530">
        <w:rPr>
          <w:lang w:val="en-GB"/>
        </w:rPr>
        <w:t xml:space="preserve">the author </w:t>
      </w:r>
      <w:r w:rsidR="0067289A" w:rsidRPr="00C51530">
        <w:rPr>
          <w:lang w:val="en-GB"/>
        </w:rPr>
        <w:t>two months</w:t>
      </w:r>
      <w:r w:rsidR="00A3706C" w:rsidRPr="00C51530">
        <w:rPr>
          <w:lang w:val="en-GB"/>
        </w:rPr>
        <w:t xml:space="preserve"> after the events</w:t>
      </w:r>
      <w:r w:rsidR="0067289A" w:rsidRPr="00C51530">
        <w:rPr>
          <w:lang w:val="en-GB"/>
        </w:rPr>
        <w:t xml:space="preserve"> and impose on him the maximum sentence provided by the law, namely </w:t>
      </w:r>
      <w:r w:rsidR="00E652FC">
        <w:rPr>
          <w:lang w:val="en-GB"/>
        </w:rPr>
        <w:t>15</w:t>
      </w:r>
      <w:r w:rsidR="0067289A" w:rsidRPr="00C51530">
        <w:rPr>
          <w:lang w:val="en-GB"/>
        </w:rPr>
        <w:t xml:space="preserve"> day</w:t>
      </w:r>
      <w:r w:rsidR="00BC7283" w:rsidRPr="00C51530">
        <w:rPr>
          <w:lang w:val="en-GB"/>
        </w:rPr>
        <w:t>s</w:t>
      </w:r>
      <w:r w:rsidR="0067289A" w:rsidRPr="00C51530">
        <w:rPr>
          <w:lang w:val="en-GB"/>
        </w:rPr>
        <w:t xml:space="preserve"> of imprisonment, which he served. Even assum</w:t>
      </w:r>
      <w:r w:rsidR="00871AF5" w:rsidRPr="00C51530">
        <w:rPr>
          <w:lang w:val="en-GB"/>
        </w:rPr>
        <w:t>ing</w:t>
      </w:r>
      <w:r w:rsidR="0067289A" w:rsidRPr="00C51530">
        <w:rPr>
          <w:lang w:val="en-GB"/>
        </w:rPr>
        <w:t xml:space="preserve"> that his arrest and detention had a basis in domestic law, and that his conviction pursued a legitimate aim, such as protecting public </w:t>
      </w:r>
      <w:r w:rsidR="00AC41FA" w:rsidRPr="00C51530">
        <w:rPr>
          <w:lang w:val="en-GB"/>
        </w:rPr>
        <w:t>order</w:t>
      </w:r>
      <w:r w:rsidR="0067289A" w:rsidRPr="00C51530">
        <w:rPr>
          <w:lang w:val="en-GB"/>
        </w:rPr>
        <w:t xml:space="preserve">, it cannot be said that the restrictions were necessary </w:t>
      </w:r>
      <w:r w:rsidR="00EE2027" w:rsidRPr="00C51530">
        <w:rPr>
          <w:lang w:val="en-GB"/>
        </w:rPr>
        <w:t xml:space="preserve">and proportionate </w:t>
      </w:r>
      <w:r w:rsidR="0067289A" w:rsidRPr="00C51530">
        <w:rPr>
          <w:lang w:val="en-GB"/>
        </w:rPr>
        <w:t>to achieve th</w:t>
      </w:r>
      <w:r w:rsidR="00E652FC">
        <w:rPr>
          <w:lang w:val="en-GB"/>
        </w:rPr>
        <w:t>at</w:t>
      </w:r>
      <w:r w:rsidR="0067289A" w:rsidRPr="00C51530">
        <w:rPr>
          <w:lang w:val="en-GB"/>
        </w:rPr>
        <w:t xml:space="preserve"> aim. </w:t>
      </w:r>
    </w:p>
    <w:p w14:paraId="6A3BB1AB" w14:textId="77777777" w:rsidR="00D04C4B" w:rsidRPr="00C51530" w:rsidRDefault="00D04C4B" w:rsidP="00E652FC">
      <w:pPr>
        <w:pStyle w:val="SingleTxtG"/>
        <w:rPr>
          <w:lang w:val="en-GB"/>
        </w:rPr>
      </w:pPr>
      <w:r w:rsidRPr="00C51530">
        <w:rPr>
          <w:lang w:val="en-GB"/>
        </w:rPr>
        <w:t>7.</w:t>
      </w:r>
      <w:r w:rsidR="00436C80" w:rsidRPr="00C51530">
        <w:rPr>
          <w:lang w:val="en-GB"/>
        </w:rPr>
        <w:t>5</w:t>
      </w:r>
      <w:r w:rsidRPr="00C51530">
        <w:rPr>
          <w:lang w:val="en-GB"/>
        </w:rPr>
        <w:tab/>
        <w:t xml:space="preserve">In the circumstances described above and in the absence of any other pertinent information from the State party to justify the restriction for </w:t>
      </w:r>
      <w:r w:rsidR="00E652FC">
        <w:rPr>
          <w:lang w:val="en-GB"/>
        </w:rPr>
        <w:t xml:space="preserve">the </w:t>
      </w:r>
      <w:r w:rsidRPr="00C51530">
        <w:rPr>
          <w:lang w:val="en-GB"/>
        </w:rPr>
        <w:t xml:space="preserve">purposes </w:t>
      </w:r>
      <w:r w:rsidR="00E652FC">
        <w:rPr>
          <w:lang w:val="en-GB"/>
        </w:rPr>
        <w:t>listed in</w:t>
      </w:r>
      <w:r w:rsidRPr="00C51530">
        <w:rPr>
          <w:lang w:val="en-GB"/>
        </w:rPr>
        <w:t xml:space="preserve"> article</w:t>
      </w:r>
      <w:r w:rsidR="0038095E" w:rsidRPr="00C51530">
        <w:rPr>
          <w:lang w:val="en-GB"/>
        </w:rPr>
        <w:t xml:space="preserve"> </w:t>
      </w:r>
      <w:r w:rsidRPr="00C51530">
        <w:rPr>
          <w:lang w:val="en-GB"/>
        </w:rPr>
        <w:t>19</w:t>
      </w:r>
      <w:r w:rsidR="0038095E" w:rsidRPr="00C51530">
        <w:rPr>
          <w:lang w:val="en-GB"/>
        </w:rPr>
        <w:t xml:space="preserve"> </w:t>
      </w:r>
      <w:r w:rsidR="00E652FC">
        <w:rPr>
          <w:lang w:val="en-GB"/>
        </w:rPr>
        <w:t>(</w:t>
      </w:r>
      <w:r w:rsidRPr="00C51530">
        <w:rPr>
          <w:lang w:val="en-GB"/>
        </w:rPr>
        <w:t>3</w:t>
      </w:r>
      <w:r w:rsidR="00E652FC">
        <w:rPr>
          <w:lang w:val="en-GB"/>
        </w:rPr>
        <w:t>)</w:t>
      </w:r>
      <w:r w:rsidRPr="00C51530">
        <w:rPr>
          <w:lang w:val="en-GB"/>
        </w:rPr>
        <w:t>, the Committee concludes that the authors’ rights under article</w:t>
      </w:r>
      <w:r w:rsidR="0038095E" w:rsidRPr="00C51530">
        <w:rPr>
          <w:lang w:val="en-GB"/>
        </w:rPr>
        <w:t xml:space="preserve"> </w:t>
      </w:r>
      <w:r w:rsidRPr="00C51530">
        <w:rPr>
          <w:lang w:val="en-GB"/>
        </w:rPr>
        <w:t>19</w:t>
      </w:r>
      <w:r w:rsidR="0038095E" w:rsidRPr="00C51530">
        <w:rPr>
          <w:lang w:val="en-GB"/>
        </w:rPr>
        <w:t xml:space="preserve"> </w:t>
      </w:r>
      <w:r w:rsidR="00E652FC">
        <w:rPr>
          <w:lang w:val="en-GB"/>
        </w:rPr>
        <w:t>(</w:t>
      </w:r>
      <w:r w:rsidRPr="00C51530">
        <w:rPr>
          <w:lang w:val="en-GB"/>
        </w:rPr>
        <w:t>2</w:t>
      </w:r>
      <w:r w:rsidR="00E652FC">
        <w:rPr>
          <w:lang w:val="en-GB"/>
        </w:rPr>
        <w:t>)</w:t>
      </w:r>
      <w:r w:rsidRPr="00C51530">
        <w:rPr>
          <w:lang w:val="en-GB"/>
        </w:rPr>
        <w:t xml:space="preserve"> of the Covenant were violated. </w:t>
      </w:r>
    </w:p>
    <w:p w14:paraId="0F1BD593" w14:textId="77777777" w:rsidR="008127E8" w:rsidRPr="00C51530" w:rsidRDefault="00642AE9">
      <w:pPr>
        <w:pStyle w:val="SingleTxtG"/>
        <w:rPr>
          <w:lang w:val="en-GB"/>
        </w:rPr>
      </w:pPr>
      <w:r w:rsidRPr="00C51530">
        <w:rPr>
          <w:bCs/>
          <w:lang w:val="en-GB"/>
        </w:rPr>
        <w:t>7.</w:t>
      </w:r>
      <w:r w:rsidR="00436C80" w:rsidRPr="00C51530">
        <w:rPr>
          <w:bCs/>
          <w:lang w:val="en-GB"/>
        </w:rPr>
        <w:t>6</w:t>
      </w:r>
      <w:r w:rsidRPr="00C51530">
        <w:rPr>
          <w:bCs/>
          <w:lang w:val="en-GB"/>
        </w:rPr>
        <w:tab/>
      </w:r>
      <w:r w:rsidR="008127E8" w:rsidRPr="00C51530">
        <w:rPr>
          <w:lang w:val="en-GB"/>
        </w:rPr>
        <w:t xml:space="preserve">The Committee notes the author’s allegations that </w:t>
      </w:r>
      <w:r w:rsidRPr="00C51530">
        <w:rPr>
          <w:lang w:val="en-GB"/>
        </w:rPr>
        <w:t xml:space="preserve">during the court hearings </w:t>
      </w:r>
      <w:r w:rsidR="008127E8" w:rsidRPr="00C51530">
        <w:rPr>
          <w:lang w:val="en-GB"/>
        </w:rPr>
        <w:t xml:space="preserve">he was not </w:t>
      </w:r>
      <w:r w:rsidRPr="00C51530">
        <w:rPr>
          <w:lang w:val="en-GB"/>
        </w:rPr>
        <w:t>allowed</w:t>
      </w:r>
      <w:r w:rsidR="008127E8" w:rsidRPr="00C51530">
        <w:rPr>
          <w:lang w:val="en-GB"/>
        </w:rPr>
        <w:t xml:space="preserve"> to cross-examine </w:t>
      </w:r>
      <w:r w:rsidRPr="00C51530">
        <w:rPr>
          <w:lang w:val="en-GB"/>
        </w:rPr>
        <w:t>the police officers whose statements were the only evidence against him</w:t>
      </w:r>
      <w:r w:rsidR="00E652FC">
        <w:rPr>
          <w:lang w:val="en-GB"/>
        </w:rPr>
        <w:t>,</w:t>
      </w:r>
      <w:r w:rsidRPr="00C51530">
        <w:rPr>
          <w:lang w:val="en-GB"/>
        </w:rPr>
        <w:t xml:space="preserve"> in violation of his rights under article 14 </w:t>
      </w:r>
      <w:r w:rsidR="00E652FC">
        <w:rPr>
          <w:lang w:val="en-GB"/>
        </w:rPr>
        <w:t>(</w:t>
      </w:r>
      <w:r w:rsidRPr="00C51530">
        <w:rPr>
          <w:lang w:val="en-GB"/>
        </w:rPr>
        <w:t>3</w:t>
      </w:r>
      <w:r w:rsidR="00E652FC">
        <w:rPr>
          <w:lang w:val="en-GB"/>
        </w:rPr>
        <w:t>)</w:t>
      </w:r>
      <w:r w:rsidRPr="00C51530">
        <w:rPr>
          <w:lang w:val="en-GB"/>
        </w:rPr>
        <w:t xml:space="preserve"> (e) of the Covenant.</w:t>
      </w:r>
      <w:r w:rsidR="008127E8" w:rsidRPr="00C51530">
        <w:rPr>
          <w:lang w:val="en-GB"/>
        </w:rPr>
        <w:t xml:space="preserve"> The Committee recalls that article 14 </w:t>
      </w:r>
      <w:r w:rsidR="00E652FC">
        <w:rPr>
          <w:lang w:val="en-GB"/>
        </w:rPr>
        <w:t>(</w:t>
      </w:r>
      <w:r w:rsidR="008127E8" w:rsidRPr="00C51530">
        <w:rPr>
          <w:lang w:val="en-GB"/>
        </w:rPr>
        <w:t>3</w:t>
      </w:r>
      <w:r w:rsidR="00E652FC">
        <w:rPr>
          <w:lang w:val="en-GB"/>
        </w:rPr>
        <w:t>)</w:t>
      </w:r>
      <w:r w:rsidR="008127E8" w:rsidRPr="00C51530">
        <w:rPr>
          <w:lang w:val="en-GB"/>
        </w:rPr>
        <w:t xml:space="preserve"> (e) guarantees the right of accused persons to examine, or have examined, the witnesses against them and to obtain the attendance and examination of witnesses on their behalf under the same conditions as witnesses against them</w:t>
      </w:r>
      <w:r w:rsidR="00A61F33" w:rsidRPr="00C51530">
        <w:rPr>
          <w:lang w:val="en-GB"/>
        </w:rPr>
        <w:t>.</w:t>
      </w:r>
      <w:r w:rsidR="008127E8" w:rsidRPr="00C51530">
        <w:rPr>
          <w:vertAlign w:val="superscript"/>
          <w:lang w:val="en-GB"/>
        </w:rPr>
        <w:footnoteReference w:id="10"/>
      </w:r>
      <w:r w:rsidR="008127E8" w:rsidRPr="00C51530">
        <w:rPr>
          <w:lang w:val="en-GB"/>
        </w:rPr>
        <w:t xml:space="preserve"> </w:t>
      </w:r>
      <w:r w:rsidR="00AC41FA" w:rsidRPr="00C51530">
        <w:rPr>
          <w:lang w:val="en-GB"/>
        </w:rPr>
        <w:t xml:space="preserve">It also notes that </w:t>
      </w:r>
      <w:r w:rsidR="004143EE" w:rsidRPr="00C51530">
        <w:rPr>
          <w:lang w:val="en-GB"/>
        </w:rPr>
        <w:t>protection</w:t>
      </w:r>
      <w:r w:rsidR="004143EE" w:rsidRPr="00C51530">
        <w:rPr>
          <w:lang w:val="en-GB" w:bidi="he-IL"/>
        </w:rPr>
        <w:t>s</w:t>
      </w:r>
      <w:r w:rsidR="004143EE" w:rsidRPr="00C51530">
        <w:rPr>
          <w:lang w:val="en-GB"/>
        </w:rPr>
        <w:t xml:space="preserve"> </w:t>
      </w:r>
      <w:r w:rsidR="00F10F62" w:rsidRPr="00C51530">
        <w:rPr>
          <w:lang w:val="en-GB"/>
        </w:rPr>
        <w:t xml:space="preserve">under article 14, which are </w:t>
      </w:r>
      <w:r w:rsidR="00AC41FA" w:rsidRPr="00C51530">
        <w:rPr>
          <w:lang w:val="en-GB"/>
        </w:rPr>
        <w:t>afforded to defendants in criminal cases</w:t>
      </w:r>
      <w:r w:rsidR="003078AA">
        <w:rPr>
          <w:lang w:val="en-GB"/>
        </w:rPr>
        <w:t>,</w:t>
      </w:r>
      <w:r w:rsidR="00AC41FA" w:rsidRPr="00C51530">
        <w:rPr>
          <w:lang w:val="en-GB"/>
        </w:rPr>
        <w:t xml:space="preserve"> also</w:t>
      </w:r>
      <w:r w:rsidR="009B6530">
        <w:rPr>
          <w:lang w:val="en-GB"/>
        </w:rPr>
        <w:t xml:space="preserve"> apply </w:t>
      </w:r>
      <w:r w:rsidR="00AC41FA" w:rsidRPr="00C51530">
        <w:rPr>
          <w:lang w:val="en-GB"/>
        </w:rPr>
        <w:t xml:space="preserve">to persons charged with administrative violations, which might lead to </w:t>
      </w:r>
      <w:r w:rsidR="002C556E" w:rsidRPr="00C51530">
        <w:rPr>
          <w:lang w:val="en-GB"/>
        </w:rPr>
        <w:t>imposition of sanctions that, regardless of their qualification in domestic law, must be regarded as penal because of their purpose, character or severity.</w:t>
      </w:r>
      <w:r w:rsidR="002C556E" w:rsidRPr="00C51530">
        <w:rPr>
          <w:rStyle w:val="FootnoteReference"/>
          <w:lang w:val="en-GB"/>
        </w:rPr>
        <w:footnoteReference w:id="11"/>
      </w:r>
      <w:r w:rsidR="002C556E" w:rsidRPr="00C51530">
        <w:rPr>
          <w:lang w:val="en-GB"/>
        </w:rPr>
        <w:t xml:space="preserve"> </w:t>
      </w:r>
      <w:r w:rsidRPr="00C51530">
        <w:rPr>
          <w:lang w:val="en-GB"/>
        </w:rPr>
        <w:t xml:space="preserve">In the absence of any information from the State party as to the reasons for the refusal to allow the </w:t>
      </w:r>
      <w:r w:rsidR="006C0EA0" w:rsidRPr="00C51530">
        <w:rPr>
          <w:lang w:val="en-GB"/>
        </w:rPr>
        <w:t>cross</w:t>
      </w:r>
      <w:r w:rsidR="001A06EE">
        <w:rPr>
          <w:lang w:val="en-GB"/>
        </w:rPr>
        <w:t>-</w:t>
      </w:r>
      <w:r w:rsidRPr="00C51530">
        <w:rPr>
          <w:lang w:val="en-GB"/>
        </w:rPr>
        <w:t xml:space="preserve">examination of </w:t>
      </w:r>
      <w:r w:rsidR="006C0EA0" w:rsidRPr="00C51530">
        <w:rPr>
          <w:lang w:val="en-GB"/>
        </w:rPr>
        <w:t xml:space="preserve">the </w:t>
      </w:r>
      <w:r w:rsidR="00871AF5" w:rsidRPr="00C51530">
        <w:rPr>
          <w:lang w:val="en-GB"/>
        </w:rPr>
        <w:t xml:space="preserve">only </w:t>
      </w:r>
      <w:r w:rsidR="006C0EA0" w:rsidRPr="00C51530">
        <w:rPr>
          <w:lang w:val="en-GB"/>
        </w:rPr>
        <w:t>key witness</w:t>
      </w:r>
      <w:r w:rsidRPr="00C51530">
        <w:rPr>
          <w:lang w:val="en-GB"/>
        </w:rPr>
        <w:t xml:space="preserve">es, the Committee concludes that the facts as presented by the author amount to a violation of </w:t>
      </w:r>
      <w:r w:rsidR="006C0EA0" w:rsidRPr="00C51530">
        <w:rPr>
          <w:lang w:val="en-GB"/>
        </w:rPr>
        <w:t>his rights</w:t>
      </w:r>
      <w:r w:rsidRPr="00C51530">
        <w:rPr>
          <w:lang w:val="en-GB"/>
        </w:rPr>
        <w:t xml:space="preserve"> under article 14 </w:t>
      </w:r>
      <w:r w:rsidR="003078AA">
        <w:rPr>
          <w:lang w:val="en-GB"/>
        </w:rPr>
        <w:t>(</w:t>
      </w:r>
      <w:r w:rsidRPr="00C51530">
        <w:rPr>
          <w:lang w:val="en-GB"/>
        </w:rPr>
        <w:t>3</w:t>
      </w:r>
      <w:r w:rsidR="003078AA">
        <w:rPr>
          <w:lang w:val="en-GB"/>
        </w:rPr>
        <w:t>)</w:t>
      </w:r>
      <w:r w:rsidRPr="00C51530">
        <w:rPr>
          <w:lang w:val="en-GB"/>
        </w:rPr>
        <w:t xml:space="preserve"> (e) of the Covenant.</w:t>
      </w:r>
    </w:p>
    <w:p w14:paraId="39DD23D2" w14:textId="77777777" w:rsidR="00D04C4B" w:rsidRPr="00C51530" w:rsidRDefault="00D04C4B" w:rsidP="002C2C9E">
      <w:pPr>
        <w:pStyle w:val="SingleTxtG"/>
        <w:rPr>
          <w:lang w:val="en-GB"/>
        </w:rPr>
      </w:pPr>
      <w:r w:rsidRPr="00C51530">
        <w:rPr>
          <w:lang w:val="en-GB"/>
        </w:rPr>
        <w:t>8.</w:t>
      </w:r>
      <w:r w:rsidRPr="00C51530">
        <w:rPr>
          <w:lang w:val="en-GB"/>
        </w:rPr>
        <w:tab/>
        <w:t>The Committee, acting under article</w:t>
      </w:r>
      <w:r w:rsidR="0038095E" w:rsidRPr="00C51530">
        <w:rPr>
          <w:lang w:val="en-GB"/>
        </w:rPr>
        <w:t xml:space="preserve"> </w:t>
      </w:r>
      <w:r w:rsidRPr="00C51530">
        <w:rPr>
          <w:lang w:val="en-GB"/>
        </w:rPr>
        <w:t>5</w:t>
      </w:r>
      <w:r w:rsidR="0038095E" w:rsidRPr="00C51530">
        <w:rPr>
          <w:lang w:val="en-GB"/>
        </w:rPr>
        <w:t xml:space="preserve"> </w:t>
      </w:r>
      <w:r w:rsidR="007B4390">
        <w:rPr>
          <w:lang w:val="en-GB"/>
        </w:rPr>
        <w:t>(</w:t>
      </w:r>
      <w:r w:rsidRPr="00C51530">
        <w:rPr>
          <w:lang w:val="en-GB"/>
        </w:rPr>
        <w:t>4</w:t>
      </w:r>
      <w:r w:rsidR="007B4390">
        <w:rPr>
          <w:lang w:val="en-GB"/>
        </w:rPr>
        <w:t>)</w:t>
      </w:r>
      <w:r w:rsidRPr="00C51530">
        <w:rPr>
          <w:lang w:val="en-GB"/>
        </w:rPr>
        <w:t xml:space="preserve"> of the Optional Protocol, is of the view that the facts before it disclose a violation by </w:t>
      </w:r>
      <w:r w:rsidR="000B3A40" w:rsidRPr="00C51530">
        <w:rPr>
          <w:lang w:val="en-GB"/>
        </w:rPr>
        <w:t>the Russian Federation</w:t>
      </w:r>
      <w:r w:rsidRPr="00C51530">
        <w:rPr>
          <w:lang w:val="en-GB"/>
        </w:rPr>
        <w:t xml:space="preserve"> of article</w:t>
      </w:r>
      <w:r w:rsidR="007B4390">
        <w:rPr>
          <w:lang w:val="en-GB"/>
        </w:rPr>
        <w:t xml:space="preserve">s </w:t>
      </w:r>
      <w:r w:rsidR="00231DD0" w:rsidRPr="00C51530">
        <w:rPr>
          <w:lang w:val="en-GB"/>
        </w:rPr>
        <w:t xml:space="preserve">14 </w:t>
      </w:r>
      <w:r w:rsidR="007B4390">
        <w:rPr>
          <w:lang w:val="en-GB"/>
        </w:rPr>
        <w:t>(</w:t>
      </w:r>
      <w:r w:rsidR="00231DD0" w:rsidRPr="00C51530">
        <w:rPr>
          <w:lang w:val="en-GB"/>
        </w:rPr>
        <w:t>3</w:t>
      </w:r>
      <w:r w:rsidR="007B4390">
        <w:rPr>
          <w:lang w:val="en-GB"/>
        </w:rPr>
        <w:t>)</w:t>
      </w:r>
      <w:r w:rsidR="00231DD0" w:rsidRPr="00C51530">
        <w:rPr>
          <w:lang w:val="en-GB"/>
        </w:rPr>
        <w:t xml:space="preserve"> (e) </w:t>
      </w:r>
      <w:r w:rsidR="000B3A40" w:rsidRPr="00C51530">
        <w:rPr>
          <w:lang w:val="en-GB"/>
        </w:rPr>
        <w:t xml:space="preserve">and </w:t>
      </w:r>
      <w:r w:rsidRPr="00C51530">
        <w:rPr>
          <w:lang w:val="en-GB"/>
        </w:rPr>
        <w:t xml:space="preserve">19 </w:t>
      </w:r>
      <w:r w:rsidR="007B4390">
        <w:rPr>
          <w:lang w:val="en-GB"/>
        </w:rPr>
        <w:t>(</w:t>
      </w:r>
      <w:r w:rsidR="000B3A40" w:rsidRPr="00C51530">
        <w:rPr>
          <w:lang w:val="en-GB"/>
        </w:rPr>
        <w:t>2</w:t>
      </w:r>
      <w:r w:rsidR="007B4390">
        <w:rPr>
          <w:lang w:val="en-GB"/>
        </w:rPr>
        <w:t>)</w:t>
      </w:r>
      <w:r w:rsidRPr="00C51530">
        <w:rPr>
          <w:lang w:val="en-GB"/>
        </w:rPr>
        <w:t xml:space="preserve"> of the Covenant.</w:t>
      </w:r>
    </w:p>
    <w:p w14:paraId="73B40AB3" w14:textId="77777777" w:rsidR="00D04C4B" w:rsidRPr="00C51530" w:rsidRDefault="00D04C4B" w:rsidP="007B4390">
      <w:pPr>
        <w:pStyle w:val="SingleTxtG"/>
        <w:rPr>
          <w:lang w:val="en-GB"/>
        </w:rPr>
      </w:pPr>
      <w:r w:rsidRPr="00C51530">
        <w:rPr>
          <w:lang w:val="en-GB"/>
        </w:rPr>
        <w:t>9.</w:t>
      </w:r>
      <w:r w:rsidRPr="00C51530">
        <w:rPr>
          <w:lang w:val="en-GB"/>
        </w:rPr>
        <w:tab/>
        <w:t>In accordance with article</w:t>
      </w:r>
      <w:r w:rsidR="0038095E" w:rsidRPr="00C51530">
        <w:rPr>
          <w:lang w:val="en-GB"/>
        </w:rPr>
        <w:t xml:space="preserve"> </w:t>
      </w:r>
      <w:r w:rsidRPr="00C51530">
        <w:rPr>
          <w:lang w:val="en-GB"/>
        </w:rPr>
        <w:t xml:space="preserve">2 </w:t>
      </w:r>
      <w:r w:rsidR="007B4390">
        <w:rPr>
          <w:lang w:val="en-GB"/>
        </w:rPr>
        <w:t>(</w:t>
      </w:r>
      <w:r w:rsidRPr="00C51530">
        <w:rPr>
          <w:lang w:val="en-GB"/>
        </w:rPr>
        <w:t>3</w:t>
      </w:r>
      <w:r w:rsidR="007B4390">
        <w:rPr>
          <w:lang w:val="en-GB"/>
        </w:rPr>
        <w:t>)</w:t>
      </w:r>
      <w:r w:rsidRPr="00C51530">
        <w:rPr>
          <w:lang w:val="en-GB"/>
        </w:rPr>
        <w:t xml:space="preserve"> (a) of the Covenant, the State party is under an obligation to provide the author with an effective remedy</w:t>
      </w:r>
      <w:r w:rsidR="00974F34" w:rsidRPr="00C51530">
        <w:rPr>
          <w:lang w:val="en-GB"/>
        </w:rPr>
        <w:t xml:space="preserve">. </w:t>
      </w:r>
      <w:r w:rsidR="00974F34" w:rsidRPr="00B01321">
        <w:rPr>
          <w:color w:val="000000"/>
          <w:lang w:val="en-GB"/>
        </w:rPr>
        <w:t xml:space="preserve">This requires it to make full </w:t>
      </w:r>
      <w:r w:rsidR="00974F34" w:rsidRPr="00B01321">
        <w:rPr>
          <w:color w:val="000000"/>
          <w:lang w:val="en-GB"/>
        </w:rPr>
        <w:lastRenderedPageBreak/>
        <w:t>reparation to individuals whose Covenant rights have been violated. Accordingly, the State party is obligated, inter alia, to</w:t>
      </w:r>
      <w:r w:rsidRPr="00C51530">
        <w:rPr>
          <w:lang w:val="en-GB"/>
        </w:rPr>
        <w:t xml:space="preserve"> </w:t>
      </w:r>
      <w:r w:rsidR="00974F34" w:rsidRPr="00C51530">
        <w:rPr>
          <w:lang w:val="en-GB"/>
        </w:rPr>
        <w:t xml:space="preserve">provide the author with </w:t>
      </w:r>
      <w:r w:rsidR="002C556E" w:rsidRPr="00C51530">
        <w:rPr>
          <w:lang w:val="en-GB"/>
        </w:rPr>
        <w:t xml:space="preserve">adequate compensation and </w:t>
      </w:r>
      <w:r w:rsidRPr="00C51530">
        <w:rPr>
          <w:lang w:val="en-GB"/>
        </w:rPr>
        <w:t>reimbursement of any legal costs incurred by him. The State party is also under the obligation to take steps to prevent similar violations in the future.</w:t>
      </w:r>
    </w:p>
    <w:p w14:paraId="5D0B65F1" w14:textId="77777777" w:rsidR="00C00847" w:rsidRPr="00C51530" w:rsidRDefault="00C00847" w:rsidP="0091026B">
      <w:pPr>
        <w:pStyle w:val="SingleTxtG"/>
        <w:rPr>
          <w:lang w:val="en-GB"/>
        </w:rPr>
      </w:pPr>
      <w:r w:rsidRPr="00C51530">
        <w:rPr>
          <w:lang w:val="en-GB"/>
        </w:rPr>
        <w:t>1</w:t>
      </w:r>
      <w:r w:rsidR="002E1860" w:rsidRPr="00C51530">
        <w:rPr>
          <w:lang w:val="en-GB"/>
        </w:rPr>
        <w:t>0</w:t>
      </w:r>
      <w:r w:rsidRPr="00C51530">
        <w:rPr>
          <w:lang w:val="en-GB"/>
        </w:rPr>
        <w:t>.</w:t>
      </w:r>
      <w:r w:rsidRPr="00C51530">
        <w:rPr>
          <w:lang w:val="en-GB"/>
        </w:rPr>
        <w:tab/>
        <w:t>Bearing in mind that</w:t>
      </w:r>
      <w:r w:rsidR="00C56DA9">
        <w:rPr>
          <w:lang w:val="en-GB"/>
        </w:rPr>
        <w:t>,</w:t>
      </w:r>
      <w:r w:rsidRPr="00C51530">
        <w:rPr>
          <w:lang w:val="en-GB"/>
        </w:rPr>
        <w:t xml:space="preserve">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w:t>
      </w:r>
      <w:r w:rsidR="0091026B">
        <w:rPr>
          <w:lang w:val="en-GB"/>
        </w:rPr>
        <w:t>when it has been determined that</w:t>
      </w:r>
      <w:r w:rsidRPr="00C51530">
        <w:rPr>
          <w:lang w:val="en-GB"/>
        </w:rPr>
        <w:t xml:space="preserve"> a violation has </w:t>
      </w:r>
      <w:r w:rsidR="0091026B">
        <w:rPr>
          <w:lang w:val="en-GB"/>
        </w:rPr>
        <w:t>occurred</w:t>
      </w:r>
      <w:r w:rsidRPr="00C51530">
        <w:rPr>
          <w:lang w:val="en-GB"/>
        </w:rPr>
        <w:t xml:space="preserve">, the Committee wishes to receive from the State party, within 180 days, information about the measures taken to give effect to the </w:t>
      </w:r>
      <w:r w:rsidR="0091026B">
        <w:rPr>
          <w:lang w:val="en-GB"/>
        </w:rPr>
        <w:t>present</w:t>
      </w:r>
      <w:r w:rsidRPr="00C51530">
        <w:rPr>
          <w:lang w:val="en-GB"/>
        </w:rPr>
        <w:t xml:space="preserve"> Views. The State party is also requested to publish the present Views and to have them widely disseminated in</w:t>
      </w:r>
      <w:r w:rsidR="004864E9" w:rsidRPr="00C51530">
        <w:rPr>
          <w:lang w:val="en-GB"/>
        </w:rPr>
        <w:t xml:space="preserve"> the official language of </w:t>
      </w:r>
      <w:r w:rsidRPr="00C51530">
        <w:rPr>
          <w:lang w:val="en-GB"/>
        </w:rPr>
        <w:t>the State party.</w:t>
      </w:r>
    </w:p>
    <w:p w14:paraId="1952C491" w14:textId="77777777" w:rsidR="00F35149" w:rsidRPr="00C51530" w:rsidRDefault="00F35149" w:rsidP="00F35149">
      <w:pPr>
        <w:pStyle w:val="SingleTxtG"/>
        <w:spacing w:before="240" w:after="0"/>
        <w:jc w:val="center"/>
        <w:rPr>
          <w:u w:val="single"/>
          <w:lang w:val="en-GB"/>
        </w:rPr>
      </w:pPr>
      <w:r w:rsidRPr="00C51530">
        <w:rPr>
          <w:u w:val="single"/>
          <w:lang w:val="en-GB"/>
        </w:rPr>
        <w:tab/>
      </w:r>
      <w:r w:rsidRPr="00C51530">
        <w:rPr>
          <w:u w:val="single"/>
          <w:lang w:val="en-GB"/>
        </w:rPr>
        <w:tab/>
      </w:r>
      <w:r w:rsidRPr="00C51530">
        <w:rPr>
          <w:u w:val="single"/>
          <w:lang w:val="en-GB"/>
        </w:rPr>
        <w:tab/>
      </w:r>
    </w:p>
    <w:sectPr w:rsidR="00F35149" w:rsidRPr="00C51530" w:rsidSect="009B451C">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2-09T08:22:00Z" w:initials="Start">
    <w:p w14:paraId="3ADA71CB" w14:textId="77777777" w:rsidR="009B451C" w:rsidRDefault="009B451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NO&gt;&gt;N1527941E&lt;&lt;ODS JOB NO&gt;&gt;</w:t>
      </w:r>
    </w:p>
    <w:p w14:paraId="694C5714" w14:textId="77777777" w:rsidR="009B451C" w:rsidRDefault="009B451C">
      <w:pPr>
        <w:pStyle w:val="CommentText"/>
      </w:pPr>
      <w:r>
        <w:t>&lt;&lt;ODS DOC SYMBOL1&gt;&gt;CCPR/C/115/D/2141/2012&lt;&lt;ODS DOC SYMBOL1&gt;&gt;</w:t>
      </w:r>
    </w:p>
    <w:p w14:paraId="30B58E68" w14:textId="77777777" w:rsidR="009B451C" w:rsidRDefault="009B451C">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B58E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D0C0B" w14:textId="77777777" w:rsidR="00CC3C10" w:rsidRDefault="00CC3C10"/>
  </w:endnote>
  <w:endnote w:type="continuationSeparator" w:id="0">
    <w:p w14:paraId="307F6C35" w14:textId="77777777" w:rsidR="00CC3C10" w:rsidRDefault="00CC3C10"/>
  </w:endnote>
  <w:endnote w:type="continuationNotice" w:id="1">
    <w:p w14:paraId="4190C083" w14:textId="77777777" w:rsidR="00CC3C10" w:rsidRDefault="00CC3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1B600" w14:textId="77777777" w:rsidR="000B3A40" w:rsidRPr="00781C83" w:rsidRDefault="000B3A40"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155D32">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973F7" w14:textId="77777777" w:rsidR="000B3A40" w:rsidRPr="00781C83" w:rsidRDefault="000B3A40" w:rsidP="00781C83">
    <w:pPr>
      <w:pStyle w:val="Footer"/>
      <w:tabs>
        <w:tab w:val="right" w:pos="9638"/>
      </w:tabs>
      <w:rPr>
        <w:sz w:val="18"/>
      </w:rPr>
    </w:pPr>
    <w:r>
      <w:rPr>
        <w:b/>
        <w:sz w:val="18"/>
      </w:rPr>
      <w:tab/>
    </w:r>
    <w:r w:rsidRPr="00781C83">
      <w:rPr>
        <w:sz w:val="18"/>
      </w:rPr>
      <w:fldChar w:fldCharType="begin"/>
    </w:r>
    <w:r w:rsidRPr="00781C83">
      <w:rPr>
        <w:sz w:val="18"/>
      </w:rPr>
      <w:instrText xml:space="preserve"> PAGE  \* MERGEFORMAT </w:instrText>
    </w:r>
    <w:r w:rsidRPr="00781C83">
      <w:rPr>
        <w:sz w:val="18"/>
      </w:rPr>
      <w:fldChar w:fldCharType="separate"/>
    </w:r>
    <w:r w:rsidR="00155D32">
      <w:rPr>
        <w:noProof/>
        <w:sz w:val="18"/>
      </w:rPr>
      <w:t>3</w:t>
    </w:r>
    <w:r w:rsidRPr="00781C83">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9B451C" w14:paraId="09C06032" w14:textId="77777777" w:rsidTr="009B451C">
      <w:tc>
        <w:tcPr>
          <w:tcW w:w="3614" w:type="dxa"/>
          <w:shd w:val="clear" w:color="auto" w:fill="auto"/>
        </w:tcPr>
        <w:p w14:paraId="7FD2C528" w14:textId="77777777" w:rsidR="009B451C" w:rsidRDefault="009B451C" w:rsidP="009B451C">
          <w:pPr>
            <w:pStyle w:val="Footer"/>
            <w:rPr>
              <w:sz w:val="20"/>
            </w:rPr>
          </w:pPr>
          <w:r>
            <w:rPr>
              <w:noProof/>
              <w:sz w:val="20"/>
              <w:lang w:val="en-US"/>
            </w:rPr>
            <w:drawing>
              <wp:anchor distT="0" distB="0" distL="114300" distR="114300" simplePos="0" relativeHeight="251658240" behindDoc="0" locked="0" layoutInCell="1" allowOverlap="1" wp14:anchorId="2C527CBA" wp14:editId="7387B5D2">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5/D/2141/201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141/201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GE.15-21312(E)</w:t>
          </w:r>
        </w:p>
        <w:p w14:paraId="53E28432" w14:textId="77777777" w:rsidR="009B451C" w:rsidRPr="009B451C" w:rsidRDefault="009B451C" w:rsidP="009B451C">
          <w:pPr>
            <w:pStyle w:val="Footer"/>
            <w:rPr>
              <w:rFonts w:ascii="Barcode 3 of 9 by request" w:hAnsi="Barcode 3 of 9 by request"/>
              <w:sz w:val="24"/>
            </w:rPr>
          </w:pPr>
          <w:r>
            <w:rPr>
              <w:rFonts w:ascii="Barcode 3 of 9 by request" w:hAnsi="Barcode 3 of 9 by request"/>
              <w:sz w:val="24"/>
            </w:rPr>
            <w:t>*1521312*</w:t>
          </w:r>
        </w:p>
      </w:tc>
      <w:tc>
        <w:tcPr>
          <w:tcW w:w="4752" w:type="dxa"/>
          <w:shd w:val="clear" w:color="auto" w:fill="auto"/>
        </w:tcPr>
        <w:p w14:paraId="33F644F6" w14:textId="77777777" w:rsidR="009B451C" w:rsidRDefault="009B451C" w:rsidP="009B451C">
          <w:pPr>
            <w:pStyle w:val="Footer"/>
            <w:spacing w:line="240" w:lineRule="atLeast"/>
            <w:jc w:val="right"/>
            <w:rPr>
              <w:sz w:val="20"/>
            </w:rPr>
          </w:pPr>
          <w:r>
            <w:rPr>
              <w:noProof/>
              <w:sz w:val="20"/>
              <w:lang w:val="en-US"/>
            </w:rPr>
            <w:drawing>
              <wp:inline distT="0" distB="0" distL="0" distR="0" wp14:anchorId="385739B8" wp14:editId="054E0836">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343714F0" w14:textId="77777777" w:rsidR="009B451C" w:rsidRPr="009B451C" w:rsidRDefault="009B451C" w:rsidP="009B451C">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F2146" w14:textId="77777777" w:rsidR="00CC3C10" w:rsidRPr="000B175B" w:rsidRDefault="00CC3C10" w:rsidP="000B175B">
      <w:pPr>
        <w:tabs>
          <w:tab w:val="right" w:pos="2155"/>
        </w:tabs>
        <w:spacing w:after="80"/>
        <w:ind w:left="680"/>
        <w:rPr>
          <w:u w:val="single"/>
        </w:rPr>
      </w:pPr>
      <w:r>
        <w:rPr>
          <w:u w:val="single"/>
        </w:rPr>
        <w:tab/>
      </w:r>
    </w:p>
  </w:footnote>
  <w:footnote w:type="continuationSeparator" w:id="0">
    <w:p w14:paraId="4AC1A8CA" w14:textId="77777777" w:rsidR="00CC3C10" w:rsidRPr="00FC68B7" w:rsidRDefault="00CC3C10" w:rsidP="00FC68B7">
      <w:pPr>
        <w:tabs>
          <w:tab w:val="left" w:pos="2155"/>
        </w:tabs>
        <w:spacing w:after="80"/>
        <w:ind w:left="680"/>
        <w:rPr>
          <w:u w:val="single"/>
        </w:rPr>
      </w:pPr>
      <w:r>
        <w:rPr>
          <w:u w:val="single"/>
        </w:rPr>
        <w:tab/>
      </w:r>
    </w:p>
  </w:footnote>
  <w:footnote w:type="continuationNotice" w:id="1">
    <w:p w14:paraId="6182FD7E" w14:textId="77777777" w:rsidR="00CC3C10" w:rsidRDefault="00CC3C10"/>
  </w:footnote>
  <w:footnote w:id="2">
    <w:p w14:paraId="1D9DB438" w14:textId="77777777" w:rsidR="00E70F78" w:rsidRPr="006271E0" w:rsidRDefault="00E70F78" w:rsidP="0038670F">
      <w:pPr>
        <w:pStyle w:val="FootnoteText"/>
        <w:rPr>
          <w:lang w:val="en-GB"/>
        </w:rPr>
      </w:pPr>
      <w:r w:rsidRPr="00C51530">
        <w:rPr>
          <w:rStyle w:val="FootnoteReference"/>
          <w:sz w:val="20"/>
          <w:vertAlign w:val="baseline"/>
        </w:rPr>
        <w:tab/>
        <w:t>*</w:t>
      </w:r>
      <w:r w:rsidRPr="009D0FD4">
        <w:rPr>
          <w:rStyle w:val="FootnoteReference"/>
          <w:sz w:val="20"/>
          <w:vertAlign w:val="baseline"/>
        </w:rPr>
        <w:tab/>
      </w:r>
      <w:bookmarkStart w:id="2" w:name="OLE_LINK1"/>
      <w:bookmarkStart w:id="3" w:name="OLE_LINK2"/>
      <w:r w:rsidRPr="007F7A13">
        <w:t xml:space="preserve">The following members of the Committee participated in the examination of the present communication: </w:t>
      </w:r>
      <w:bookmarkEnd w:id="2"/>
      <w:bookmarkEnd w:id="3"/>
      <w:r w:rsidRPr="007F7A13">
        <w:t xml:space="preserve">Yadh </w:t>
      </w:r>
      <w:r w:rsidRPr="00D11C79">
        <w:t xml:space="preserve">Ben Achour, Lazhari Bouzid, Sarah Cleveland, Olivier </w:t>
      </w:r>
      <w:r w:rsidRPr="00F118A5">
        <w:rPr>
          <w:lang w:val="en-GB"/>
        </w:rPr>
        <w:t>d</w:t>
      </w:r>
      <w:r w:rsidRPr="00D11C79">
        <w:t>e Frouville, Yuji Iwasawa, Ivana Jeli</w:t>
      </w:r>
      <w:r w:rsidR="0038670F">
        <w:t>ć</w:t>
      </w:r>
      <w:r w:rsidRPr="00D11C79">
        <w:t xml:space="preserve">, Duncan </w:t>
      </w:r>
      <w:r w:rsidR="0038670F" w:rsidRPr="00D11C79">
        <w:t>Laki</w:t>
      </w:r>
      <w:r w:rsidR="0038670F">
        <w:rPr>
          <w:lang w:val="en-US"/>
        </w:rPr>
        <w:t xml:space="preserve"> </w:t>
      </w:r>
      <w:r w:rsidRPr="00D11C79">
        <w:t>Muhumuza, Photini Pazartzis, Mauro Politi, Sir Nigel Rodley, V</w:t>
      </w:r>
      <w:r w:rsidR="0038670F">
        <w:rPr>
          <w:lang w:val="en-US"/>
        </w:rPr>
        <w:t>í</w:t>
      </w:r>
      <w:r w:rsidRPr="00D11C79">
        <w:t>ctor Manuel Rodríguez-Resci</w:t>
      </w:r>
      <w:r w:rsidRPr="007C2A7D">
        <w:t xml:space="preserve">a, Fabián Omar Salvioli, Dheerujlall Seetulsingh, </w:t>
      </w:r>
      <w:r>
        <w:t>Anja Seibert-Fohr, Yuval Shany</w:t>
      </w:r>
      <w:r>
        <w:rPr>
          <w:lang w:val="fr-CH"/>
        </w:rPr>
        <w:t xml:space="preserve"> </w:t>
      </w:r>
      <w:r w:rsidRPr="007C2A7D">
        <w:t>and Margo Waterval.</w:t>
      </w:r>
    </w:p>
  </w:footnote>
  <w:footnote w:id="3">
    <w:p w14:paraId="46178F73" w14:textId="77777777" w:rsidR="000B3A40" w:rsidRPr="00156DFE" w:rsidRDefault="00A61F33" w:rsidP="00A61F33">
      <w:pPr>
        <w:pStyle w:val="FootnoteText"/>
      </w:pPr>
      <w:r w:rsidRPr="00530425">
        <w:rPr>
          <w:lang w:val="en-GB"/>
        </w:rPr>
        <w:tab/>
      </w:r>
      <w:r w:rsidR="000B3A40">
        <w:rPr>
          <w:rStyle w:val="FootnoteReference"/>
        </w:rPr>
        <w:footnoteRef/>
      </w:r>
      <w:r w:rsidRPr="00530425">
        <w:rPr>
          <w:lang w:val="en-GB"/>
        </w:rPr>
        <w:tab/>
      </w:r>
      <w:r w:rsidR="000B3A40">
        <w:t xml:space="preserve">The Optional </w:t>
      </w:r>
      <w:r w:rsidR="000B3A40" w:rsidRPr="00A61F33">
        <w:t>Protocol</w:t>
      </w:r>
      <w:r w:rsidR="000B3A40">
        <w:t xml:space="preserve"> entered into force for the Russian Federation on 1 </w:t>
      </w:r>
      <w:r w:rsidR="00AC41FA">
        <w:rPr>
          <w:lang w:val="en-GB"/>
        </w:rPr>
        <w:t>J</w:t>
      </w:r>
      <w:r w:rsidR="00AC41FA" w:rsidRPr="001241CB">
        <w:rPr>
          <w:lang w:val="en-GB"/>
        </w:rPr>
        <w:t xml:space="preserve">anuary </w:t>
      </w:r>
      <w:r w:rsidR="000B3A40">
        <w:t>199</w:t>
      </w:r>
      <w:r w:rsidR="00AC41FA" w:rsidRPr="001241CB">
        <w:rPr>
          <w:lang w:val="en-GB"/>
        </w:rPr>
        <w:t>2</w:t>
      </w:r>
      <w:r w:rsidR="000B3A40">
        <w:t>.</w:t>
      </w:r>
    </w:p>
  </w:footnote>
  <w:footnote w:id="4">
    <w:p w14:paraId="10E71715" w14:textId="77777777" w:rsidR="000B3A40" w:rsidRPr="005D1B16" w:rsidRDefault="00A61F33">
      <w:pPr>
        <w:pStyle w:val="FootnoteText"/>
      </w:pPr>
      <w:r w:rsidRPr="00530425">
        <w:rPr>
          <w:lang w:val="en-GB"/>
        </w:rPr>
        <w:tab/>
      </w:r>
      <w:r w:rsidR="000B3A40">
        <w:rPr>
          <w:rStyle w:val="FootnoteReference"/>
        </w:rPr>
        <w:footnoteRef/>
      </w:r>
      <w:r w:rsidRPr="00530425">
        <w:rPr>
          <w:lang w:val="en-GB"/>
        </w:rPr>
        <w:tab/>
      </w:r>
      <w:r w:rsidR="000B3A40" w:rsidRPr="005D1B16">
        <w:t xml:space="preserve">The author refers to </w:t>
      </w:r>
      <w:r w:rsidR="000B3A40">
        <w:t xml:space="preserve">communication </w:t>
      </w:r>
      <w:r w:rsidR="00131AB0">
        <w:rPr>
          <w:lang w:val="en-US"/>
        </w:rPr>
        <w:t xml:space="preserve"> No. </w:t>
      </w:r>
      <w:r w:rsidR="000B3A40">
        <w:t xml:space="preserve">1866/2009, </w:t>
      </w:r>
      <w:r w:rsidR="000B3A40" w:rsidRPr="005D1B16">
        <w:rPr>
          <w:i/>
        </w:rPr>
        <w:t>Chebota</w:t>
      </w:r>
      <w:r w:rsidR="00131AB0">
        <w:rPr>
          <w:i/>
          <w:lang w:val="en-US"/>
        </w:rPr>
        <w:t>r</w:t>
      </w:r>
      <w:r w:rsidR="000B3A40" w:rsidRPr="005D1B16">
        <w:rPr>
          <w:i/>
        </w:rPr>
        <w:t>eva v. Russia</w:t>
      </w:r>
      <w:r w:rsidR="000B3A40">
        <w:t xml:space="preserve">, Views </w:t>
      </w:r>
      <w:r w:rsidR="00F5246C">
        <w:rPr>
          <w:lang w:val="en-US"/>
        </w:rPr>
        <w:t xml:space="preserve">adopted </w:t>
      </w:r>
      <w:r w:rsidR="000B3A40">
        <w:t>o</w:t>
      </w:r>
      <w:r w:rsidR="00F5246C">
        <w:rPr>
          <w:lang w:val="en-US"/>
        </w:rPr>
        <w:t>n</w:t>
      </w:r>
      <w:r w:rsidR="000B3A40">
        <w:t xml:space="preserve"> </w:t>
      </w:r>
      <w:r w:rsidR="000B3A40" w:rsidRPr="005D1B16">
        <w:t>26 March 2012</w:t>
      </w:r>
      <w:r w:rsidR="000B3A40">
        <w:t>, para</w:t>
      </w:r>
      <w:r w:rsidR="009D0FD4" w:rsidRPr="00C51530">
        <w:rPr>
          <w:lang w:val="en-US"/>
        </w:rPr>
        <w:t>.</w:t>
      </w:r>
      <w:r w:rsidR="000B3A40">
        <w:t xml:space="preserve"> 8.3, </w:t>
      </w:r>
      <w:r w:rsidR="00F5246C">
        <w:rPr>
          <w:lang w:val="en-US"/>
        </w:rPr>
        <w:t>in which</w:t>
      </w:r>
      <w:r w:rsidR="000B3A40">
        <w:t xml:space="preserve"> the Committee stated </w:t>
      </w:r>
      <w:r w:rsidR="00F5246C">
        <w:rPr>
          <w:lang w:val="en-US"/>
        </w:rPr>
        <w:t xml:space="preserve">that </w:t>
      </w:r>
      <w:r w:rsidR="000B3A40">
        <w:t>“</w:t>
      </w:r>
      <w:r w:rsidR="000B3A40" w:rsidRPr="005D1B16">
        <w:rPr>
          <w:bCs/>
        </w:rPr>
        <w:t>supervisory</w:t>
      </w:r>
      <w:r w:rsidR="000B3A40" w:rsidRPr="005D1B16">
        <w:t xml:space="preserve"> review procedures against court decisions which have entered into force constitute an extraordinary remedy, dependent on the discretionary</w:t>
      </w:r>
      <w:r w:rsidR="000B3A40">
        <w:t xml:space="preserve"> power of a judge …</w:t>
      </w:r>
      <w:r w:rsidR="000B3A40" w:rsidRPr="005D1B16">
        <w:t xml:space="preserve"> and which, thus, do not need to be exhausted for purposes of admissibility</w:t>
      </w:r>
      <w:r w:rsidR="000B3A40">
        <w:t>”.</w:t>
      </w:r>
      <w:r w:rsidR="000B3A40" w:rsidRPr="005D1B16">
        <w:t xml:space="preserve"> </w:t>
      </w:r>
    </w:p>
  </w:footnote>
  <w:footnote w:id="5">
    <w:p w14:paraId="0C6D2E1D" w14:textId="77777777" w:rsidR="000B3A40" w:rsidRPr="00C15B6B" w:rsidRDefault="00A61F33">
      <w:pPr>
        <w:pStyle w:val="FootnoteText"/>
        <w:ind w:hanging="567"/>
        <w:rPr>
          <w:lang w:val="en-GB"/>
        </w:rPr>
      </w:pPr>
      <w:r w:rsidRPr="00530425">
        <w:rPr>
          <w:lang w:val="en-GB"/>
        </w:rPr>
        <w:tab/>
      </w:r>
      <w:r w:rsidR="000B3A40">
        <w:rPr>
          <w:rStyle w:val="FootnoteReference"/>
        </w:rPr>
        <w:footnoteRef/>
      </w:r>
      <w:r w:rsidRPr="00530425">
        <w:rPr>
          <w:lang w:val="en-GB"/>
        </w:rPr>
        <w:tab/>
      </w:r>
      <w:r w:rsidR="00F5246C">
        <w:rPr>
          <w:lang w:val="en-GB"/>
        </w:rPr>
        <w:t xml:space="preserve">See </w:t>
      </w:r>
      <w:r w:rsidR="00F5246C">
        <w:rPr>
          <w:lang w:val="en-US"/>
        </w:rPr>
        <w:t>c</w:t>
      </w:r>
      <w:r w:rsidR="000B3A40" w:rsidRPr="0000397C">
        <w:t>ommunication</w:t>
      </w:r>
      <w:r w:rsidR="00F5246C">
        <w:rPr>
          <w:lang w:val="en-US"/>
        </w:rPr>
        <w:t>s</w:t>
      </w:r>
      <w:r w:rsidR="000B3A40" w:rsidRPr="00380E01">
        <w:t xml:space="preserve"> No. 836/1998, </w:t>
      </w:r>
      <w:r w:rsidR="000B3A40" w:rsidRPr="0086457A">
        <w:rPr>
          <w:i/>
        </w:rPr>
        <w:t>Gelazauskas v. Lithuania</w:t>
      </w:r>
      <w:r w:rsidR="000B3A40" w:rsidRPr="00380E01">
        <w:t xml:space="preserve">, </w:t>
      </w:r>
      <w:r w:rsidR="008C5999" w:rsidRPr="00380E01">
        <w:t xml:space="preserve">Views adopted on </w:t>
      </w:r>
      <w:r w:rsidR="008C5999">
        <w:rPr>
          <w:lang w:val="en-US"/>
        </w:rPr>
        <w:t xml:space="preserve">17 March 2003, </w:t>
      </w:r>
      <w:r w:rsidR="000B3A40" w:rsidRPr="00380E01">
        <w:t>para</w:t>
      </w:r>
      <w:r w:rsidR="009D0FD4" w:rsidRPr="00C51530">
        <w:rPr>
          <w:lang w:val="en-GB"/>
        </w:rPr>
        <w:t>.</w:t>
      </w:r>
      <w:r w:rsidR="000B3A40" w:rsidRPr="00380E01">
        <w:t xml:space="preserve"> 7.4; No</w:t>
      </w:r>
      <w:r w:rsidR="000B3A40" w:rsidRPr="00530425">
        <w:rPr>
          <w:lang w:val="en-GB"/>
        </w:rPr>
        <w:t>.</w:t>
      </w:r>
      <w:r w:rsidR="000B3A40" w:rsidRPr="00380E01">
        <w:t xml:space="preserve"> 1851/2008, </w:t>
      </w:r>
      <w:r w:rsidR="008C5999" w:rsidRPr="006F5B58">
        <w:rPr>
          <w:i/>
          <w:iCs/>
        </w:rPr>
        <w:t>Sekerko v. Belarus</w:t>
      </w:r>
      <w:r w:rsidR="008C5999">
        <w:rPr>
          <w:lang w:val="en-US"/>
        </w:rPr>
        <w:t xml:space="preserve">, Views adopted on </w:t>
      </w:r>
      <w:r w:rsidR="008C5999">
        <w:t>28 October 2013</w:t>
      </w:r>
      <w:r w:rsidR="008C5999">
        <w:rPr>
          <w:lang w:val="en-US"/>
        </w:rPr>
        <w:t xml:space="preserve">, </w:t>
      </w:r>
      <w:r w:rsidR="000B3A40" w:rsidRPr="00380E01">
        <w:t>para</w:t>
      </w:r>
      <w:r w:rsidR="009D0FD4" w:rsidRPr="00C51530">
        <w:rPr>
          <w:lang w:val="en-US"/>
        </w:rPr>
        <w:t>.</w:t>
      </w:r>
      <w:r w:rsidR="000B3A40" w:rsidRPr="00380E01">
        <w:t xml:space="preserve"> 8.3; </w:t>
      </w:r>
      <w:r w:rsidR="008C5999">
        <w:rPr>
          <w:lang w:val="en-US"/>
        </w:rPr>
        <w:t xml:space="preserve">Nos. 1919-1920/2009, </w:t>
      </w:r>
      <w:r w:rsidR="000B3A40" w:rsidRPr="0086457A">
        <w:rPr>
          <w:i/>
        </w:rPr>
        <w:t>Protsko and Tolchin v. Belarus</w:t>
      </w:r>
      <w:r w:rsidR="000B3A40" w:rsidRPr="00380E01">
        <w:t xml:space="preserve">, </w:t>
      </w:r>
      <w:r w:rsidR="008C5999">
        <w:rPr>
          <w:lang w:val="en-US"/>
        </w:rPr>
        <w:t xml:space="preserve">Views adopted on </w:t>
      </w:r>
      <w:r w:rsidR="008C5999">
        <w:t>1 November 2013</w:t>
      </w:r>
      <w:r w:rsidR="008C5999">
        <w:rPr>
          <w:lang w:val="en-US"/>
        </w:rPr>
        <w:t xml:space="preserve">, </w:t>
      </w:r>
      <w:r w:rsidR="000B3A40" w:rsidRPr="00380E01">
        <w:t xml:space="preserve">para. 6.5; No. 1784/2008, </w:t>
      </w:r>
      <w:r w:rsidR="000B3A40" w:rsidRPr="0086457A">
        <w:rPr>
          <w:i/>
        </w:rPr>
        <w:t>Schumilin v. Belarus</w:t>
      </w:r>
      <w:r w:rsidR="000B3A40" w:rsidRPr="00380E01">
        <w:t xml:space="preserve">, Views adopted on 23 July 2012, para. 8.3; No. 1814/2008, </w:t>
      </w:r>
      <w:r w:rsidR="000B3A40" w:rsidRPr="0086457A">
        <w:rPr>
          <w:i/>
        </w:rPr>
        <w:t>P.L. v. Belarus</w:t>
      </w:r>
      <w:r w:rsidR="000B3A40" w:rsidRPr="00380E01">
        <w:t>, decision of inadmissibility</w:t>
      </w:r>
      <w:r w:rsidR="008C5999">
        <w:rPr>
          <w:lang w:val="en-US"/>
        </w:rPr>
        <w:t xml:space="preserve"> </w:t>
      </w:r>
      <w:r w:rsidR="008C5999" w:rsidRPr="00380E01">
        <w:t xml:space="preserve">adopted on </w:t>
      </w:r>
      <w:r w:rsidR="000B3A40" w:rsidRPr="00380E01">
        <w:t xml:space="preserve">26 July </w:t>
      </w:r>
      <w:r w:rsidR="000B3A40">
        <w:t>2011, para. 6.2</w:t>
      </w:r>
      <w:r w:rsidR="0038095E">
        <w:t>;</w:t>
      </w:r>
      <w:r w:rsidR="000B3A40" w:rsidRPr="0086457A">
        <w:rPr>
          <w:lang w:val="en-GB"/>
        </w:rPr>
        <w:t xml:space="preserve"> No. 2021/2010, </w:t>
      </w:r>
      <w:r w:rsidR="000B3A40" w:rsidRPr="0086457A">
        <w:rPr>
          <w:i/>
          <w:lang w:val="en-GB"/>
        </w:rPr>
        <w:t>E.Z. v. Kazakhstan</w:t>
      </w:r>
      <w:r w:rsidR="000B3A40" w:rsidRPr="0086457A">
        <w:rPr>
          <w:lang w:val="en-GB"/>
        </w:rPr>
        <w:t xml:space="preserve">, </w:t>
      </w:r>
      <w:r w:rsidR="008C5999" w:rsidRPr="0086457A">
        <w:rPr>
          <w:lang w:val="en-GB"/>
        </w:rPr>
        <w:t>decision</w:t>
      </w:r>
      <w:r w:rsidR="008C5999">
        <w:rPr>
          <w:lang w:val="en-GB"/>
        </w:rPr>
        <w:t xml:space="preserve"> of </w:t>
      </w:r>
      <w:r w:rsidR="000B3A40" w:rsidRPr="0086457A">
        <w:rPr>
          <w:lang w:val="en-GB"/>
        </w:rPr>
        <w:t xml:space="preserve">inadmissibility </w:t>
      </w:r>
      <w:r w:rsidR="008C5999" w:rsidRPr="00380E01">
        <w:t>adopted on</w:t>
      </w:r>
      <w:r w:rsidR="000B3A40" w:rsidRPr="0086457A">
        <w:rPr>
          <w:lang w:val="en-GB"/>
        </w:rPr>
        <w:t xml:space="preserve"> 1 April 2015, para</w:t>
      </w:r>
      <w:r w:rsidR="009D0FD4">
        <w:rPr>
          <w:lang w:val="en-GB"/>
        </w:rPr>
        <w:t>.</w:t>
      </w:r>
      <w:r w:rsidR="000B3A40" w:rsidRPr="0086457A">
        <w:rPr>
          <w:lang w:val="en-GB"/>
        </w:rPr>
        <w:t xml:space="preserve"> 7.3</w:t>
      </w:r>
      <w:r w:rsidR="008C5999">
        <w:rPr>
          <w:lang w:val="en-GB"/>
        </w:rPr>
        <w:t>;</w:t>
      </w:r>
      <w:r w:rsidR="00C570B5" w:rsidRPr="00C570B5">
        <w:rPr>
          <w:szCs w:val="18"/>
        </w:rPr>
        <w:t xml:space="preserve"> </w:t>
      </w:r>
      <w:r w:rsidR="00C570B5">
        <w:rPr>
          <w:szCs w:val="18"/>
        </w:rPr>
        <w:t xml:space="preserve">No. 1873/2009, </w:t>
      </w:r>
      <w:r w:rsidR="00C570B5">
        <w:rPr>
          <w:i/>
          <w:szCs w:val="18"/>
        </w:rPr>
        <w:t>Alekseev v. Russian Federation</w:t>
      </w:r>
      <w:r w:rsidR="00C570B5">
        <w:rPr>
          <w:szCs w:val="18"/>
        </w:rPr>
        <w:t>, Views adopted on 25 October 2013, para</w:t>
      </w:r>
      <w:r w:rsidR="0038095E" w:rsidRPr="00C51530">
        <w:rPr>
          <w:szCs w:val="18"/>
          <w:lang w:val="en-US"/>
        </w:rPr>
        <w:t>.</w:t>
      </w:r>
      <w:r w:rsidR="00C570B5">
        <w:rPr>
          <w:szCs w:val="18"/>
        </w:rPr>
        <w:t xml:space="preserve"> 8.4</w:t>
      </w:r>
      <w:r w:rsidR="00C570B5" w:rsidRPr="004E1E4E">
        <w:rPr>
          <w:szCs w:val="18"/>
          <w:lang w:val="en-GB"/>
        </w:rPr>
        <w:t xml:space="preserve">; </w:t>
      </w:r>
      <w:r w:rsidR="009D0FD4" w:rsidRPr="00C15B6B">
        <w:t xml:space="preserve">No. </w:t>
      </w:r>
      <w:r w:rsidR="00C570B5" w:rsidRPr="00C15B6B">
        <w:rPr>
          <w:szCs w:val="18"/>
          <w:lang w:val="en-GB"/>
        </w:rPr>
        <w:t xml:space="preserve">2041/2011, </w:t>
      </w:r>
      <w:r w:rsidR="00C570B5" w:rsidRPr="00C15B6B">
        <w:rPr>
          <w:i/>
          <w:szCs w:val="18"/>
          <w:lang w:val="en-GB"/>
        </w:rPr>
        <w:t>Dorofeev v. Russian Federation</w:t>
      </w:r>
      <w:r w:rsidR="00C570B5" w:rsidRPr="00C15B6B">
        <w:rPr>
          <w:szCs w:val="18"/>
          <w:lang w:val="en-GB"/>
        </w:rPr>
        <w:t xml:space="preserve">, Views adopted on </w:t>
      </w:r>
      <w:r w:rsidR="00C570B5" w:rsidRPr="00C15B6B">
        <w:t>11 July 2014</w:t>
      </w:r>
      <w:r w:rsidR="00C570B5" w:rsidRPr="00C15B6B">
        <w:rPr>
          <w:lang w:val="en-GB"/>
        </w:rPr>
        <w:t>, para</w:t>
      </w:r>
      <w:r w:rsidR="009D0FD4">
        <w:rPr>
          <w:lang w:val="en-GB"/>
        </w:rPr>
        <w:t>.</w:t>
      </w:r>
      <w:r w:rsidR="00C570B5" w:rsidRPr="00C15B6B">
        <w:rPr>
          <w:lang w:val="en-GB"/>
        </w:rPr>
        <w:t xml:space="preserve"> 9.6</w:t>
      </w:r>
      <w:r w:rsidR="000B3A40" w:rsidRPr="00C15B6B">
        <w:rPr>
          <w:lang w:val="en-GB"/>
        </w:rPr>
        <w:t xml:space="preserve">. </w:t>
      </w:r>
    </w:p>
  </w:footnote>
  <w:footnote w:id="6">
    <w:p w14:paraId="538ECBD3" w14:textId="77777777" w:rsidR="000B3A40" w:rsidRPr="00C15B6B" w:rsidRDefault="00A61F33" w:rsidP="004A4177">
      <w:pPr>
        <w:pStyle w:val="FootnoteText"/>
        <w:ind w:hanging="567"/>
      </w:pPr>
      <w:r w:rsidRPr="00530425">
        <w:rPr>
          <w:lang w:val="en-GB"/>
        </w:rPr>
        <w:tab/>
      </w:r>
      <w:r w:rsidR="000B3A40" w:rsidRPr="00C15B6B">
        <w:rPr>
          <w:rStyle w:val="FootnoteReference"/>
        </w:rPr>
        <w:footnoteRef/>
      </w:r>
      <w:r w:rsidRPr="00530425">
        <w:rPr>
          <w:lang w:val="en-GB"/>
        </w:rPr>
        <w:tab/>
      </w:r>
      <w:r w:rsidR="000B3A40" w:rsidRPr="00C15B6B">
        <w:t>See</w:t>
      </w:r>
      <w:r w:rsidR="008C5999">
        <w:rPr>
          <w:lang w:val="en-US"/>
        </w:rPr>
        <w:t>,</w:t>
      </w:r>
      <w:r w:rsidR="000B3A40" w:rsidRPr="00C15B6B">
        <w:t xml:space="preserve"> </w:t>
      </w:r>
      <w:r w:rsidR="00DE4E25" w:rsidRPr="00C15B6B">
        <w:rPr>
          <w:lang w:val="en-GB"/>
        </w:rPr>
        <w:t>for example</w:t>
      </w:r>
      <w:r w:rsidR="008C5999">
        <w:rPr>
          <w:lang w:val="en-GB"/>
        </w:rPr>
        <w:t>,</w:t>
      </w:r>
      <w:r w:rsidR="00DE4E25" w:rsidRPr="00C15B6B">
        <w:rPr>
          <w:lang w:val="en-GB"/>
        </w:rPr>
        <w:t xml:space="preserve"> </w:t>
      </w:r>
      <w:r w:rsidR="00DE4E25" w:rsidRPr="00C15B6B">
        <w:rPr>
          <w:i/>
          <w:lang w:val="en-GB"/>
        </w:rPr>
        <w:t>Dorofeev v. Russian Federation</w:t>
      </w:r>
      <w:r w:rsidR="00DE4E25" w:rsidRPr="00C15B6B">
        <w:rPr>
          <w:lang w:val="en-GB"/>
        </w:rPr>
        <w:t>, para</w:t>
      </w:r>
      <w:r w:rsidR="009D0FD4">
        <w:rPr>
          <w:lang w:val="en-GB"/>
        </w:rPr>
        <w:t>.</w:t>
      </w:r>
      <w:r w:rsidR="00DE4E25" w:rsidRPr="00C15B6B">
        <w:rPr>
          <w:lang w:val="en-GB"/>
        </w:rPr>
        <w:t xml:space="preserve"> 9.6; </w:t>
      </w:r>
      <w:r w:rsidR="00DE4E25" w:rsidRPr="00C51530">
        <w:rPr>
          <w:i/>
        </w:rPr>
        <w:t>Gelazauskas</w:t>
      </w:r>
      <w:r w:rsidR="009D0FD4" w:rsidRPr="00C51530">
        <w:rPr>
          <w:i/>
          <w:lang w:val="en-US"/>
        </w:rPr>
        <w:t xml:space="preserve"> </w:t>
      </w:r>
      <w:r w:rsidR="00DE4E25" w:rsidRPr="00C51530">
        <w:rPr>
          <w:i/>
        </w:rPr>
        <w:t>v. Lithuania</w:t>
      </w:r>
      <w:r w:rsidR="00DE4E25" w:rsidRPr="00C15B6B">
        <w:t>, para</w:t>
      </w:r>
      <w:r w:rsidR="009D0FD4" w:rsidRPr="00C51530">
        <w:rPr>
          <w:lang w:val="en-US"/>
        </w:rPr>
        <w:t>.</w:t>
      </w:r>
      <w:r w:rsidR="00DE4E25" w:rsidRPr="00C15B6B">
        <w:t xml:space="preserve"> 7.4; </w:t>
      </w:r>
      <w:r w:rsidR="00DE4E25" w:rsidRPr="00C15B6B">
        <w:rPr>
          <w:i/>
        </w:rPr>
        <w:t>P.L. v. Belarus</w:t>
      </w:r>
      <w:r w:rsidR="00DE4E25" w:rsidRPr="00C15B6B">
        <w:t>, para. 6.2</w:t>
      </w:r>
      <w:r w:rsidR="0038095E">
        <w:t>;</w:t>
      </w:r>
      <w:r w:rsidR="00DE4E25" w:rsidRPr="00C15B6B">
        <w:rPr>
          <w:lang w:val="en-GB"/>
        </w:rPr>
        <w:t xml:space="preserve"> </w:t>
      </w:r>
      <w:r w:rsidR="004A4177">
        <w:rPr>
          <w:lang w:val="en-GB"/>
        </w:rPr>
        <w:t xml:space="preserve">communications </w:t>
      </w:r>
      <w:r w:rsidR="000B3A40" w:rsidRPr="00C15B6B">
        <w:t xml:space="preserve">No. 1785/2008, </w:t>
      </w:r>
      <w:r w:rsidR="000B3A40" w:rsidRPr="00C15B6B">
        <w:rPr>
          <w:i/>
        </w:rPr>
        <w:t>Ole</w:t>
      </w:r>
      <w:r w:rsidR="00C46A7A">
        <w:rPr>
          <w:i/>
          <w:lang w:val="en-US"/>
        </w:rPr>
        <w:t>c</w:t>
      </w:r>
      <w:r w:rsidR="000B3A40" w:rsidRPr="00C15B6B">
        <w:rPr>
          <w:i/>
        </w:rPr>
        <w:t>hkevi</w:t>
      </w:r>
      <w:r w:rsidR="00C46A7A">
        <w:rPr>
          <w:i/>
          <w:lang w:val="en-US"/>
        </w:rPr>
        <w:t>t</w:t>
      </w:r>
      <w:r w:rsidR="000B3A40" w:rsidRPr="00C15B6B">
        <w:rPr>
          <w:i/>
        </w:rPr>
        <w:t>ch v. Belarus</w:t>
      </w:r>
      <w:r w:rsidR="000B3A40" w:rsidRPr="00C15B6B">
        <w:t xml:space="preserve">, Views adopted on 18 March 2013, para. 7.3; </w:t>
      </w:r>
      <w:r w:rsidR="000B3A40" w:rsidRPr="00C15B6B">
        <w:rPr>
          <w:i/>
        </w:rPr>
        <w:t>Schumilin v. Belarus</w:t>
      </w:r>
      <w:r w:rsidR="000B3A40" w:rsidRPr="00C15B6B">
        <w:t xml:space="preserve">, para. 8.3; No. 1839/2008, </w:t>
      </w:r>
      <w:r w:rsidR="000B3A40" w:rsidRPr="00C15B6B">
        <w:rPr>
          <w:i/>
        </w:rPr>
        <w:t>Komarovsky v. Belarus</w:t>
      </w:r>
      <w:r w:rsidR="000B3A40" w:rsidRPr="00C15B6B">
        <w:t>, Views adopted on 25 October 2013, para. 8.3; No.</w:t>
      </w:r>
      <w:r w:rsidR="004A4177">
        <w:rPr>
          <w:lang w:val="en-US"/>
        </w:rPr>
        <w:t xml:space="preserve"> </w:t>
      </w:r>
      <w:r w:rsidR="000B3A40" w:rsidRPr="00C15B6B">
        <w:t xml:space="preserve">1903/2009, </w:t>
      </w:r>
      <w:r w:rsidR="000B3A40" w:rsidRPr="00C15B6B">
        <w:rPr>
          <w:i/>
        </w:rPr>
        <w:t>Youbko v. Belarus</w:t>
      </w:r>
      <w:r w:rsidR="000B3A40" w:rsidRPr="00C15B6B">
        <w:t>, Views adopted on 17 March 2014, para. 8.3</w:t>
      </w:r>
      <w:r w:rsidR="008C5999">
        <w:rPr>
          <w:lang w:val="en-GB"/>
        </w:rPr>
        <w:t>;</w:t>
      </w:r>
      <w:r w:rsidR="000B3A40" w:rsidRPr="00C15B6B">
        <w:rPr>
          <w:lang w:val="en-GB"/>
        </w:rPr>
        <w:t xml:space="preserve"> No. 1929/2010, </w:t>
      </w:r>
      <w:r w:rsidR="000B3A40" w:rsidRPr="00C15B6B">
        <w:rPr>
          <w:i/>
          <w:lang w:val="en-GB"/>
        </w:rPr>
        <w:t xml:space="preserve">Lozenko v. Belarus, </w:t>
      </w:r>
      <w:r w:rsidR="000B3A40" w:rsidRPr="00C15B6B">
        <w:rPr>
          <w:lang w:val="en-GB"/>
        </w:rPr>
        <w:t>Views adopted on 24 October 2014, para.</w:t>
      </w:r>
      <w:r w:rsidR="009D0FD4">
        <w:rPr>
          <w:lang w:val="en-GB"/>
        </w:rPr>
        <w:t xml:space="preserve"> </w:t>
      </w:r>
      <w:r w:rsidR="000B3A40" w:rsidRPr="00C15B6B">
        <w:rPr>
          <w:lang w:val="en-GB"/>
        </w:rPr>
        <w:t>6.3</w:t>
      </w:r>
      <w:r w:rsidR="000B3A40" w:rsidRPr="00C15B6B">
        <w:t>.</w:t>
      </w:r>
    </w:p>
  </w:footnote>
  <w:footnote w:id="7">
    <w:p w14:paraId="282E4DD2" w14:textId="77777777" w:rsidR="000B3A40" w:rsidRDefault="00A61F33" w:rsidP="00ED2F5A">
      <w:pPr>
        <w:pStyle w:val="FootnoteText"/>
      </w:pPr>
      <w:r>
        <w:rPr>
          <w:lang w:val="en-GB"/>
        </w:rPr>
        <w:tab/>
      </w:r>
      <w:r w:rsidR="000B3A40">
        <w:rPr>
          <w:rStyle w:val="FootnoteReference"/>
        </w:rPr>
        <w:footnoteRef/>
      </w:r>
      <w:r>
        <w:rPr>
          <w:lang w:val="en-GB"/>
        </w:rPr>
        <w:tab/>
      </w:r>
      <w:r w:rsidR="003E5145">
        <w:rPr>
          <w:lang w:val="en-GB"/>
        </w:rPr>
        <w:t xml:space="preserve">See the </w:t>
      </w:r>
      <w:r w:rsidR="000B3A40">
        <w:t xml:space="preserve">Committee’s </w:t>
      </w:r>
      <w:r w:rsidR="000B3A40" w:rsidRPr="00C51530">
        <w:t>general comment</w:t>
      </w:r>
      <w:r w:rsidR="000B3A40">
        <w:t xml:space="preserve"> No.</w:t>
      </w:r>
      <w:r w:rsidR="009D0FD4" w:rsidRPr="00C51530">
        <w:rPr>
          <w:lang w:val="en-US"/>
        </w:rPr>
        <w:t xml:space="preserve"> </w:t>
      </w:r>
      <w:r w:rsidR="000B3A40">
        <w:t>34 (2011) on freedoms of opinion and expression, para.</w:t>
      </w:r>
      <w:r w:rsidR="009D0FD4" w:rsidRPr="00C51530">
        <w:rPr>
          <w:lang w:val="en-US"/>
        </w:rPr>
        <w:t xml:space="preserve"> </w:t>
      </w:r>
      <w:r w:rsidR="000B3A40">
        <w:t>22. See also, for example, communication No.</w:t>
      </w:r>
      <w:r w:rsidR="0038095E">
        <w:t xml:space="preserve"> </w:t>
      </w:r>
      <w:r w:rsidR="000B3A40">
        <w:t xml:space="preserve">1948/2010, </w:t>
      </w:r>
      <w:r w:rsidR="000B3A40" w:rsidRPr="0038095E">
        <w:rPr>
          <w:i/>
          <w:iCs/>
        </w:rPr>
        <w:t xml:space="preserve">Turchenyak et al. </w:t>
      </w:r>
      <w:r w:rsidR="000B3A40" w:rsidRPr="00C51530">
        <w:rPr>
          <w:i/>
        </w:rPr>
        <w:t>v.</w:t>
      </w:r>
      <w:r w:rsidR="000B3A40" w:rsidRPr="0038095E">
        <w:rPr>
          <w:i/>
          <w:iCs/>
        </w:rPr>
        <w:t xml:space="preserve"> Belarus</w:t>
      </w:r>
      <w:r w:rsidR="000B3A40" w:rsidRPr="00F166DC">
        <w:rPr>
          <w:iCs/>
          <w:lang w:val="en-GB"/>
        </w:rPr>
        <w:t xml:space="preserve">, Views </w:t>
      </w:r>
      <w:r w:rsidR="00ED2F5A" w:rsidRPr="00C15B6B">
        <w:t>adopted</w:t>
      </w:r>
      <w:r w:rsidR="00ED2F5A">
        <w:rPr>
          <w:lang w:val="en-US"/>
        </w:rPr>
        <w:t xml:space="preserve"> </w:t>
      </w:r>
      <w:r w:rsidR="000B3A40" w:rsidRPr="00F166DC">
        <w:rPr>
          <w:iCs/>
          <w:lang w:val="en-GB"/>
        </w:rPr>
        <w:t>o</w:t>
      </w:r>
      <w:r w:rsidR="00ED2F5A">
        <w:rPr>
          <w:iCs/>
          <w:lang w:val="en-GB"/>
        </w:rPr>
        <w:t>n</w:t>
      </w:r>
      <w:r w:rsidR="000B3A40" w:rsidRPr="00F166DC">
        <w:rPr>
          <w:iCs/>
          <w:lang w:val="en-GB"/>
        </w:rPr>
        <w:t xml:space="preserve"> </w:t>
      </w:r>
      <w:r w:rsidR="000B3A40">
        <w:t>24 July 2013</w:t>
      </w:r>
      <w:r w:rsidR="000B3A40" w:rsidRPr="00F166DC">
        <w:rPr>
          <w:lang w:val="en-GB"/>
        </w:rPr>
        <w:t>,</w:t>
      </w:r>
      <w:r w:rsidR="000B3A40">
        <w:t xml:space="preserve"> para.</w:t>
      </w:r>
      <w:r w:rsidR="0038095E">
        <w:t xml:space="preserve"> </w:t>
      </w:r>
      <w:r w:rsidR="000B3A40">
        <w:t>7.7.</w:t>
      </w:r>
    </w:p>
  </w:footnote>
  <w:footnote w:id="8">
    <w:p w14:paraId="136C47E9" w14:textId="77777777" w:rsidR="000B3A40" w:rsidRDefault="00A61F33" w:rsidP="003E5145">
      <w:pPr>
        <w:pStyle w:val="FootnoteText"/>
      </w:pPr>
      <w:r w:rsidRPr="00530425">
        <w:rPr>
          <w:lang w:val="en-GB"/>
        </w:rPr>
        <w:tab/>
      </w:r>
      <w:r w:rsidR="000B3A40">
        <w:rPr>
          <w:rStyle w:val="FootnoteReference"/>
        </w:rPr>
        <w:footnoteRef/>
      </w:r>
      <w:r w:rsidRPr="00530425">
        <w:rPr>
          <w:lang w:val="en-GB"/>
        </w:rPr>
        <w:tab/>
      </w:r>
      <w:r w:rsidR="000B3A40">
        <w:t xml:space="preserve">See, for example, </w:t>
      </w:r>
      <w:r w:rsidR="000B3A40" w:rsidRPr="0038095E">
        <w:rPr>
          <w:i/>
        </w:rPr>
        <w:t xml:space="preserve">Turchenyak et al. </w:t>
      </w:r>
      <w:r w:rsidR="000B3A40" w:rsidRPr="00C51530">
        <w:rPr>
          <w:i/>
          <w:iCs/>
        </w:rPr>
        <w:t>v.</w:t>
      </w:r>
      <w:r w:rsidR="000B3A40" w:rsidRPr="0038095E">
        <w:rPr>
          <w:i/>
        </w:rPr>
        <w:t xml:space="preserve"> Belarus</w:t>
      </w:r>
      <w:r w:rsidR="000B3A40">
        <w:t>, para.</w:t>
      </w:r>
      <w:r w:rsidR="0038095E">
        <w:t xml:space="preserve"> </w:t>
      </w:r>
      <w:r w:rsidR="000B3A40">
        <w:t>7.8.</w:t>
      </w:r>
    </w:p>
  </w:footnote>
  <w:footnote w:id="9">
    <w:p w14:paraId="3C0F6839" w14:textId="77777777" w:rsidR="000B3A40" w:rsidRPr="00F166DC" w:rsidRDefault="00A61F33" w:rsidP="00ED2F5A">
      <w:pPr>
        <w:pStyle w:val="FootnoteText"/>
      </w:pPr>
      <w:r w:rsidRPr="00530425">
        <w:rPr>
          <w:lang w:val="en-GB"/>
        </w:rPr>
        <w:tab/>
      </w:r>
      <w:r w:rsidR="000B3A40">
        <w:rPr>
          <w:rStyle w:val="FootnoteReference"/>
        </w:rPr>
        <w:footnoteRef/>
      </w:r>
      <w:r w:rsidRPr="00530425">
        <w:rPr>
          <w:lang w:val="en-GB"/>
        </w:rPr>
        <w:tab/>
      </w:r>
      <w:r w:rsidR="000B3A40" w:rsidRPr="00F166DC">
        <w:t xml:space="preserve">See communication </w:t>
      </w:r>
      <w:r w:rsidR="0038095E">
        <w:t xml:space="preserve">No. </w:t>
      </w:r>
      <w:r w:rsidR="000B3A40" w:rsidRPr="00F166DC">
        <w:t xml:space="preserve">1128/2002, </w:t>
      </w:r>
      <w:r w:rsidR="000B3A40" w:rsidRPr="00F166DC">
        <w:rPr>
          <w:i/>
        </w:rPr>
        <w:t>Marques de Morais v. Angola</w:t>
      </w:r>
      <w:r w:rsidR="000B3A40" w:rsidRPr="00F166DC">
        <w:t xml:space="preserve">, Views </w:t>
      </w:r>
      <w:r w:rsidR="00ED2F5A" w:rsidRPr="00C15B6B">
        <w:t>adopted</w:t>
      </w:r>
      <w:r w:rsidR="00ED2F5A">
        <w:rPr>
          <w:lang w:val="en-US"/>
        </w:rPr>
        <w:t xml:space="preserve"> </w:t>
      </w:r>
      <w:r w:rsidR="00ED2F5A" w:rsidRPr="00F166DC">
        <w:rPr>
          <w:iCs/>
          <w:lang w:val="en-GB"/>
        </w:rPr>
        <w:t>o</w:t>
      </w:r>
      <w:r w:rsidR="00ED2F5A">
        <w:rPr>
          <w:iCs/>
          <w:lang w:val="en-GB"/>
        </w:rPr>
        <w:t>n</w:t>
      </w:r>
      <w:r w:rsidR="000B3A40" w:rsidRPr="00F166DC">
        <w:t xml:space="preserve"> 29 March 2005, para</w:t>
      </w:r>
      <w:r w:rsidR="009D0FD4" w:rsidRPr="00C51530">
        <w:rPr>
          <w:lang w:val="en-US"/>
        </w:rPr>
        <w:t>.</w:t>
      </w:r>
      <w:r w:rsidR="000B3A40">
        <w:t xml:space="preserve"> 6.8.</w:t>
      </w:r>
    </w:p>
  </w:footnote>
  <w:footnote w:id="10">
    <w:p w14:paraId="361E1D7D" w14:textId="77777777" w:rsidR="000B3A40" w:rsidRPr="008127E8" w:rsidRDefault="00A61F33" w:rsidP="00E652FC">
      <w:pPr>
        <w:pStyle w:val="FootnoteText"/>
        <w:rPr>
          <w:lang w:val="en-GB"/>
        </w:rPr>
      </w:pPr>
      <w:r w:rsidRPr="00530425">
        <w:rPr>
          <w:lang w:val="en-GB"/>
        </w:rPr>
        <w:tab/>
      </w:r>
      <w:r w:rsidR="000B3A40">
        <w:rPr>
          <w:rStyle w:val="FootnoteReference"/>
          <w:szCs w:val="18"/>
        </w:rPr>
        <w:footnoteRef/>
      </w:r>
      <w:r w:rsidRPr="00530425">
        <w:rPr>
          <w:lang w:val="en-GB"/>
        </w:rPr>
        <w:tab/>
      </w:r>
      <w:r w:rsidR="000B3A40" w:rsidRPr="00642AE9">
        <w:rPr>
          <w:iCs/>
        </w:rPr>
        <w:t>See</w:t>
      </w:r>
      <w:r w:rsidR="000B3A40">
        <w:t xml:space="preserve"> the Committee</w:t>
      </w:r>
      <w:r w:rsidR="009D0FD4" w:rsidRPr="00C51530">
        <w:rPr>
          <w:lang w:val="en-US"/>
        </w:rPr>
        <w:t>’</w:t>
      </w:r>
      <w:r w:rsidR="000B3A40">
        <w:t xml:space="preserve">s </w:t>
      </w:r>
      <w:r w:rsidR="003E5145">
        <w:rPr>
          <w:lang w:val="en-US"/>
        </w:rPr>
        <w:t>g</w:t>
      </w:r>
      <w:r w:rsidR="000B3A40" w:rsidRPr="00C51530">
        <w:t xml:space="preserve">eneral </w:t>
      </w:r>
      <w:r w:rsidR="003E5145">
        <w:rPr>
          <w:lang w:val="en-US"/>
        </w:rPr>
        <w:t>c</w:t>
      </w:r>
      <w:r w:rsidR="000B3A40" w:rsidRPr="00C51530">
        <w:t>omment</w:t>
      </w:r>
      <w:r w:rsidR="000B3A40">
        <w:t xml:space="preserve"> No. 32</w:t>
      </w:r>
      <w:r w:rsidR="003E5145">
        <w:rPr>
          <w:lang w:val="en-US"/>
        </w:rPr>
        <w:t xml:space="preserve"> </w:t>
      </w:r>
      <w:r w:rsidR="003E5145">
        <w:t xml:space="preserve">(2007) </w:t>
      </w:r>
      <w:r w:rsidR="003E5145">
        <w:rPr>
          <w:lang w:val="en-US"/>
        </w:rPr>
        <w:t>on the r</w:t>
      </w:r>
      <w:r w:rsidR="000B3A40">
        <w:t>ight to equality before courts and tribunals and to a fair trial, para</w:t>
      </w:r>
      <w:r w:rsidR="00985E39" w:rsidRPr="00C51530">
        <w:rPr>
          <w:lang w:val="en-US"/>
        </w:rPr>
        <w:t>.</w:t>
      </w:r>
      <w:r w:rsidR="000B3A40">
        <w:t xml:space="preserve"> 39</w:t>
      </w:r>
      <w:r w:rsidR="000B3A40" w:rsidRPr="00642AE9">
        <w:rPr>
          <w:lang w:val="en-GB"/>
        </w:rPr>
        <w:t>,</w:t>
      </w:r>
      <w:r w:rsidR="003E5145">
        <w:rPr>
          <w:lang w:val="en-GB"/>
        </w:rPr>
        <w:t xml:space="preserve"> and</w:t>
      </w:r>
      <w:r w:rsidR="000B3A40" w:rsidRPr="008127E8">
        <w:rPr>
          <w:lang w:val="en-GB"/>
        </w:rPr>
        <w:t xml:space="preserve"> </w:t>
      </w:r>
      <w:r w:rsidR="000B3A40">
        <w:rPr>
          <w:lang w:val="en-GB"/>
        </w:rPr>
        <w:t>communications No</w:t>
      </w:r>
      <w:r w:rsidR="00985E39">
        <w:rPr>
          <w:lang w:val="en-GB"/>
        </w:rPr>
        <w:t xml:space="preserve">. </w:t>
      </w:r>
      <w:r w:rsidR="000B3A40" w:rsidRPr="008127E8">
        <w:rPr>
          <w:lang w:val="en-GB"/>
        </w:rPr>
        <w:t>1758/2008</w:t>
      </w:r>
      <w:r w:rsidR="000B3A40">
        <w:rPr>
          <w:lang w:val="en-GB"/>
        </w:rPr>
        <w:t xml:space="preserve">, </w:t>
      </w:r>
      <w:r w:rsidR="000B3A40" w:rsidRPr="008127E8">
        <w:rPr>
          <w:i/>
          <w:lang w:val="en-US"/>
        </w:rPr>
        <w:t>Jessop v. New Zealand</w:t>
      </w:r>
      <w:r w:rsidR="000B3A40">
        <w:rPr>
          <w:lang w:val="en-GB"/>
        </w:rPr>
        <w:t xml:space="preserve">, Views </w:t>
      </w:r>
      <w:r w:rsidR="00ED2F5A">
        <w:rPr>
          <w:lang w:val="en-GB"/>
        </w:rPr>
        <w:t xml:space="preserve">adopted </w:t>
      </w:r>
      <w:r w:rsidR="000B3A40">
        <w:rPr>
          <w:lang w:val="en-GB"/>
        </w:rPr>
        <w:t>o</w:t>
      </w:r>
      <w:r w:rsidR="00ED2F5A">
        <w:rPr>
          <w:lang w:val="en-GB"/>
        </w:rPr>
        <w:t>n</w:t>
      </w:r>
      <w:r w:rsidR="000B3A40">
        <w:rPr>
          <w:lang w:val="en-GB"/>
        </w:rPr>
        <w:t xml:space="preserve"> </w:t>
      </w:r>
      <w:r w:rsidR="000B3A40">
        <w:rPr>
          <w:lang w:val="en-US"/>
        </w:rPr>
        <w:t>29 March 2011,</w:t>
      </w:r>
      <w:r w:rsidR="000B3A40">
        <w:rPr>
          <w:lang w:val="en-GB"/>
        </w:rPr>
        <w:t xml:space="preserve"> para</w:t>
      </w:r>
      <w:r w:rsidR="0038095E">
        <w:rPr>
          <w:lang w:val="en-GB"/>
        </w:rPr>
        <w:t>.</w:t>
      </w:r>
      <w:r w:rsidR="000B3A40">
        <w:rPr>
          <w:lang w:val="en-GB"/>
        </w:rPr>
        <w:t xml:space="preserve"> 8.6 and </w:t>
      </w:r>
      <w:r w:rsidR="0038095E">
        <w:rPr>
          <w:lang w:val="en-GB"/>
        </w:rPr>
        <w:t xml:space="preserve">No. </w:t>
      </w:r>
      <w:r w:rsidR="000B3A40" w:rsidRPr="00642AE9">
        <w:rPr>
          <w:lang w:val="en-GB"/>
        </w:rPr>
        <w:t>1769/2008</w:t>
      </w:r>
      <w:r w:rsidR="000B3A40">
        <w:rPr>
          <w:lang w:val="en-GB"/>
        </w:rPr>
        <w:t xml:space="preserve">, </w:t>
      </w:r>
      <w:r w:rsidR="000B3A40" w:rsidRPr="00642AE9">
        <w:rPr>
          <w:i/>
          <w:lang w:val="en-GB"/>
        </w:rPr>
        <w:t>Bondar v. Uzbekistan</w:t>
      </w:r>
      <w:r w:rsidR="000B3A40">
        <w:rPr>
          <w:lang w:val="en-GB"/>
        </w:rPr>
        <w:t xml:space="preserve">, Views </w:t>
      </w:r>
      <w:r w:rsidR="00ED2F5A">
        <w:rPr>
          <w:lang w:val="en-GB"/>
        </w:rPr>
        <w:t xml:space="preserve">adopted </w:t>
      </w:r>
      <w:r w:rsidR="000B3A40">
        <w:rPr>
          <w:lang w:val="en-GB"/>
        </w:rPr>
        <w:t>o</w:t>
      </w:r>
      <w:r w:rsidR="00ED2F5A">
        <w:rPr>
          <w:lang w:val="en-GB"/>
        </w:rPr>
        <w:t>n</w:t>
      </w:r>
      <w:r w:rsidR="000B3A40">
        <w:rPr>
          <w:lang w:val="en-GB"/>
        </w:rPr>
        <w:t xml:space="preserve"> </w:t>
      </w:r>
      <w:r w:rsidR="000B3A40">
        <w:rPr>
          <w:lang w:val="en-US"/>
        </w:rPr>
        <w:t>25 March 2011,</w:t>
      </w:r>
      <w:r w:rsidR="000B3A40">
        <w:rPr>
          <w:lang w:val="en-GB"/>
        </w:rPr>
        <w:t xml:space="preserve"> para</w:t>
      </w:r>
      <w:r w:rsidR="00985E39">
        <w:rPr>
          <w:lang w:val="en-GB"/>
        </w:rPr>
        <w:t>.</w:t>
      </w:r>
      <w:r w:rsidR="000B3A40">
        <w:rPr>
          <w:lang w:val="en-GB"/>
        </w:rPr>
        <w:t xml:space="preserve"> 7.5.</w:t>
      </w:r>
    </w:p>
  </w:footnote>
  <w:footnote w:id="11">
    <w:p w14:paraId="3C5E0287" w14:textId="77777777" w:rsidR="002C556E" w:rsidRPr="001241CB" w:rsidRDefault="0078043C" w:rsidP="003E5145">
      <w:pPr>
        <w:pStyle w:val="FootnoteText"/>
        <w:rPr>
          <w:lang w:val="en-GB"/>
        </w:rPr>
      </w:pPr>
      <w:r w:rsidRPr="00E70F78">
        <w:rPr>
          <w:lang w:val="en-GB"/>
        </w:rPr>
        <w:tab/>
      </w:r>
      <w:r w:rsidR="002C556E" w:rsidRPr="00985E39">
        <w:rPr>
          <w:rStyle w:val="FootnoteReference"/>
        </w:rPr>
        <w:footnoteRef/>
      </w:r>
      <w:r w:rsidRPr="00E70F78">
        <w:rPr>
          <w:lang w:val="en-GB"/>
        </w:rPr>
        <w:tab/>
      </w:r>
      <w:r w:rsidR="002C556E" w:rsidRPr="00C51530">
        <w:rPr>
          <w:lang w:val="en-GB"/>
        </w:rPr>
        <w:t>See the Committee</w:t>
      </w:r>
      <w:r w:rsidR="00985E39" w:rsidRPr="00C51530">
        <w:rPr>
          <w:lang w:val="en-GB"/>
        </w:rPr>
        <w:t>’</w:t>
      </w:r>
      <w:r w:rsidR="002C556E" w:rsidRPr="00C51530">
        <w:rPr>
          <w:lang w:val="en-GB"/>
        </w:rPr>
        <w:t xml:space="preserve">s </w:t>
      </w:r>
      <w:r w:rsidR="003E5145">
        <w:rPr>
          <w:lang w:val="en-US"/>
        </w:rPr>
        <w:t>g</w:t>
      </w:r>
      <w:r w:rsidR="002C556E" w:rsidRPr="00C51530">
        <w:t xml:space="preserve">eneral </w:t>
      </w:r>
      <w:r w:rsidR="003E5145">
        <w:rPr>
          <w:lang w:val="en-US"/>
        </w:rPr>
        <w:t>c</w:t>
      </w:r>
      <w:r w:rsidR="002C556E" w:rsidRPr="00C51530">
        <w:t>omment</w:t>
      </w:r>
      <w:r w:rsidR="002C556E" w:rsidRPr="00C51530">
        <w:rPr>
          <w:lang w:val="en-GB"/>
        </w:rPr>
        <w:t xml:space="preserve"> No. 32</w:t>
      </w:r>
      <w:r w:rsidR="002C556E">
        <w:rPr>
          <w:lang w:val="en-GB"/>
        </w:rPr>
        <w:t>, para</w:t>
      </w:r>
      <w:r w:rsidR="00985E39">
        <w:rPr>
          <w:lang w:val="en-GB"/>
        </w:rPr>
        <w:t>.</w:t>
      </w:r>
      <w:r w:rsidR="002C556E">
        <w:rPr>
          <w:lang w:val="en-GB"/>
        </w:rPr>
        <w:t xml:space="preserve">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F096A" w14:textId="77777777" w:rsidR="000B3A40" w:rsidRPr="00781C83" w:rsidRDefault="000B3A40" w:rsidP="00781C83">
    <w:pPr>
      <w:pStyle w:val="Header"/>
    </w:pPr>
    <w:r>
      <w:t>CCPR/C/115/D/</w:t>
    </w:r>
    <w:r w:rsidRPr="001C1379">
      <w:t>2141/2012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53251" w14:textId="77777777" w:rsidR="000B3A40" w:rsidRPr="00781C83" w:rsidRDefault="000B3A40" w:rsidP="00781C83">
    <w:pPr>
      <w:pStyle w:val="Header"/>
      <w:jc w:val="right"/>
    </w:pPr>
    <w:r>
      <w:t>CCPR/C/115/D/</w:t>
    </w:r>
    <w:r w:rsidRPr="001C1379">
      <w:t>2141/2012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397C"/>
    <w:rsid w:val="000044E2"/>
    <w:rsid w:val="00004760"/>
    <w:rsid w:val="00006AE6"/>
    <w:rsid w:val="0001627B"/>
    <w:rsid w:val="000170C3"/>
    <w:rsid w:val="00023024"/>
    <w:rsid w:val="00024522"/>
    <w:rsid w:val="00025D1D"/>
    <w:rsid w:val="00025D41"/>
    <w:rsid w:val="0002635B"/>
    <w:rsid w:val="000272B3"/>
    <w:rsid w:val="000331A1"/>
    <w:rsid w:val="0003387B"/>
    <w:rsid w:val="00033CD0"/>
    <w:rsid w:val="00036B13"/>
    <w:rsid w:val="00036F3F"/>
    <w:rsid w:val="000377A5"/>
    <w:rsid w:val="000379DC"/>
    <w:rsid w:val="0004092D"/>
    <w:rsid w:val="00041994"/>
    <w:rsid w:val="00043AFA"/>
    <w:rsid w:val="00050F6B"/>
    <w:rsid w:val="00052C48"/>
    <w:rsid w:val="00054DCF"/>
    <w:rsid w:val="00055FFE"/>
    <w:rsid w:val="0005782B"/>
    <w:rsid w:val="00057D41"/>
    <w:rsid w:val="00057E97"/>
    <w:rsid w:val="00060C3A"/>
    <w:rsid w:val="000630DF"/>
    <w:rsid w:val="00066476"/>
    <w:rsid w:val="000672D9"/>
    <w:rsid w:val="000673A3"/>
    <w:rsid w:val="00067CCE"/>
    <w:rsid w:val="000707D1"/>
    <w:rsid w:val="00072C8C"/>
    <w:rsid w:val="000733B5"/>
    <w:rsid w:val="000803DA"/>
    <w:rsid w:val="00081815"/>
    <w:rsid w:val="00081BF7"/>
    <w:rsid w:val="0008245C"/>
    <w:rsid w:val="00085A16"/>
    <w:rsid w:val="00086DCF"/>
    <w:rsid w:val="00090022"/>
    <w:rsid w:val="00090758"/>
    <w:rsid w:val="00091F15"/>
    <w:rsid w:val="000931C0"/>
    <w:rsid w:val="00093D88"/>
    <w:rsid w:val="0009642A"/>
    <w:rsid w:val="000970C1"/>
    <w:rsid w:val="000A2EE4"/>
    <w:rsid w:val="000A310C"/>
    <w:rsid w:val="000A5559"/>
    <w:rsid w:val="000A69CF"/>
    <w:rsid w:val="000A7065"/>
    <w:rsid w:val="000B02C3"/>
    <w:rsid w:val="000B0894"/>
    <w:rsid w:val="000B175B"/>
    <w:rsid w:val="000B1788"/>
    <w:rsid w:val="000B3A0F"/>
    <w:rsid w:val="000B3A40"/>
    <w:rsid w:val="000B4EF7"/>
    <w:rsid w:val="000C2AB9"/>
    <w:rsid w:val="000C2C03"/>
    <w:rsid w:val="000C2D2E"/>
    <w:rsid w:val="000C2E06"/>
    <w:rsid w:val="000C3983"/>
    <w:rsid w:val="000C46B7"/>
    <w:rsid w:val="000C4DA0"/>
    <w:rsid w:val="000C6921"/>
    <w:rsid w:val="000C695D"/>
    <w:rsid w:val="000D0ABB"/>
    <w:rsid w:val="000D3D17"/>
    <w:rsid w:val="000D5926"/>
    <w:rsid w:val="000D6E0C"/>
    <w:rsid w:val="000E0415"/>
    <w:rsid w:val="000E07B1"/>
    <w:rsid w:val="000E0E8E"/>
    <w:rsid w:val="000E20F8"/>
    <w:rsid w:val="000E2484"/>
    <w:rsid w:val="000E29B9"/>
    <w:rsid w:val="000E3240"/>
    <w:rsid w:val="000E4550"/>
    <w:rsid w:val="000E7537"/>
    <w:rsid w:val="000F3409"/>
    <w:rsid w:val="000F39F9"/>
    <w:rsid w:val="000F6A6B"/>
    <w:rsid w:val="000F7E69"/>
    <w:rsid w:val="00102617"/>
    <w:rsid w:val="001037D9"/>
    <w:rsid w:val="001103AA"/>
    <w:rsid w:val="00110F83"/>
    <w:rsid w:val="00112792"/>
    <w:rsid w:val="00112984"/>
    <w:rsid w:val="001133DB"/>
    <w:rsid w:val="0011580E"/>
    <w:rsid w:val="00117506"/>
    <w:rsid w:val="0011787A"/>
    <w:rsid w:val="00120A2E"/>
    <w:rsid w:val="001223A2"/>
    <w:rsid w:val="00123712"/>
    <w:rsid w:val="001241CB"/>
    <w:rsid w:val="001306DD"/>
    <w:rsid w:val="00130D48"/>
    <w:rsid w:val="0013113A"/>
    <w:rsid w:val="00131AB0"/>
    <w:rsid w:val="00131B64"/>
    <w:rsid w:val="0013235B"/>
    <w:rsid w:val="001340B3"/>
    <w:rsid w:val="00134B81"/>
    <w:rsid w:val="00136DE8"/>
    <w:rsid w:val="00137249"/>
    <w:rsid w:val="001375A9"/>
    <w:rsid w:val="00142286"/>
    <w:rsid w:val="00154DA5"/>
    <w:rsid w:val="0015520B"/>
    <w:rsid w:val="00155D32"/>
    <w:rsid w:val="00156DFE"/>
    <w:rsid w:val="00157820"/>
    <w:rsid w:val="00161364"/>
    <w:rsid w:val="00162DB2"/>
    <w:rsid w:val="00163E0C"/>
    <w:rsid w:val="00164C92"/>
    <w:rsid w:val="00165F3A"/>
    <w:rsid w:val="00166183"/>
    <w:rsid w:val="001707EA"/>
    <w:rsid w:val="00170DDB"/>
    <w:rsid w:val="00171909"/>
    <w:rsid w:val="001721A9"/>
    <w:rsid w:val="0017277A"/>
    <w:rsid w:val="00172802"/>
    <w:rsid w:val="0017322C"/>
    <w:rsid w:val="0017342F"/>
    <w:rsid w:val="00174528"/>
    <w:rsid w:val="001756D6"/>
    <w:rsid w:val="001758E2"/>
    <w:rsid w:val="00176D6B"/>
    <w:rsid w:val="00181F7C"/>
    <w:rsid w:val="00183968"/>
    <w:rsid w:val="001844A0"/>
    <w:rsid w:val="0018481A"/>
    <w:rsid w:val="00186A34"/>
    <w:rsid w:val="001905FB"/>
    <w:rsid w:val="001912DB"/>
    <w:rsid w:val="00191845"/>
    <w:rsid w:val="001965C0"/>
    <w:rsid w:val="00196CDF"/>
    <w:rsid w:val="001979E6"/>
    <w:rsid w:val="001A06EE"/>
    <w:rsid w:val="001A09DE"/>
    <w:rsid w:val="001A2C08"/>
    <w:rsid w:val="001A32CB"/>
    <w:rsid w:val="001A4429"/>
    <w:rsid w:val="001A5B2F"/>
    <w:rsid w:val="001A6461"/>
    <w:rsid w:val="001A660B"/>
    <w:rsid w:val="001A6686"/>
    <w:rsid w:val="001A67B5"/>
    <w:rsid w:val="001A723C"/>
    <w:rsid w:val="001A7E43"/>
    <w:rsid w:val="001B4041"/>
    <w:rsid w:val="001B4485"/>
    <w:rsid w:val="001B4B04"/>
    <w:rsid w:val="001B7D22"/>
    <w:rsid w:val="001C1379"/>
    <w:rsid w:val="001C3120"/>
    <w:rsid w:val="001C4471"/>
    <w:rsid w:val="001C4C03"/>
    <w:rsid w:val="001C5BED"/>
    <w:rsid w:val="001C657F"/>
    <w:rsid w:val="001C6663"/>
    <w:rsid w:val="001C7895"/>
    <w:rsid w:val="001C7D37"/>
    <w:rsid w:val="001D0C8C"/>
    <w:rsid w:val="001D26DF"/>
    <w:rsid w:val="001D2D79"/>
    <w:rsid w:val="001D3743"/>
    <w:rsid w:val="001D3A03"/>
    <w:rsid w:val="001D6813"/>
    <w:rsid w:val="001E06EB"/>
    <w:rsid w:val="001E10EC"/>
    <w:rsid w:val="001E2B4C"/>
    <w:rsid w:val="001E4617"/>
    <w:rsid w:val="001E48A9"/>
    <w:rsid w:val="001E6148"/>
    <w:rsid w:val="001E7073"/>
    <w:rsid w:val="001E718D"/>
    <w:rsid w:val="001E7AF9"/>
    <w:rsid w:val="001F0720"/>
    <w:rsid w:val="001F08A3"/>
    <w:rsid w:val="001F0F1A"/>
    <w:rsid w:val="001F1088"/>
    <w:rsid w:val="001F11EA"/>
    <w:rsid w:val="001F7A23"/>
    <w:rsid w:val="00202DA8"/>
    <w:rsid w:val="002069CC"/>
    <w:rsid w:val="00210D62"/>
    <w:rsid w:val="00211DEE"/>
    <w:rsid w:val="00211E0B"/>
    <w:rsid w:val="00213E21"/>
    <w:rsid w:val="002172B8"/>
    <w:rsid w:val="00217D74"/>
    <w:rsid w:val="00220677"/>
    <w:rsid w:val="00222689"/>
    <w:rsid w:val="00224AED"/>
    <w:rsid w:val="0022501D"/>
    <w:rsid w:val="002256A1"/>
    <w:rsid w:val="002278E3"/>
    <w:rsid w:val="00227EDC"/>
    <w:rsid w:val="002314F8"/>
    <w:rsid w:val="00231DD0"/>
    <w:rsid w:val="0023210C"/>
    <w:rsid w:val="00232334"/>
    <w:rsid w:val="00233707"/>
    <w:rsid w:val="0023438F"/>
    <w:rsid w:val="002345C1"/>
    <w:rsid w:val="002361D0"/>
    <w:rsid w:val="00240564"/>
    <w:rsid w:val="00240F4B"/>
    <w:rsid w:val="002433D8"/>
    <w:rsid w:val="0025162E"/>
    <w:rsid w:val="0025421C"/>
    <w:rsid w:val="0025487E"/>
    <w:rsid w:val="002633B3"/>
    <w:rsid w:val="00263CA1"/>
    <w:rsid w:val="002650C2"/>
    <w:rsid w:val="002656E9"/>
    <w:rsid w:val="00265CF8"/>
    <w:rsid w:val="00266EB7"/>
    <w:rsid w:val="00267F5F"/>
    <w:rsid w:val="00271477"/>
    <w:rsid w:val="00271484"/>
    <w:rsid w:val="00273B14"/>
    <w:rsid w:val="00274BD3"/>
    <w:rsid w:val="00281144"/>
    <w:rsid w:val="00282899"/>
    <w:rsid w:val="00283A20"/>
    <w:rsid w:val="0028489A"/>
    <w:rsid w:val="002860DB"/>
    <w:rsid w:val="002863A9"/>
    <w:rsid w:val="00286B4D"/>
    <w:rsid w:val="00291295"/>
    <w:rsid w:val="00292F7D"/>
    <w:rsid w:val="0029365C"/>
    <w:rsid w:val="00293B90"/>
    <w:rsid w:val="0029453D"/>
    <w:rsid w:val="002A0E62"/>
    <w:rsid w:val="002A1243"/>
    <w:rsid w:val="002A2C12"/>
    <w:rsid w:val="002A3CBA"/>
    <w:rsid w:val="002A4B67"/>
    <w:rsid w:val="002A5C82"/>
    <w:rsid w:val="002A728F"/>
    <w:rsid w:val="002A77E6"/>
    <w:rsid w:val="002B3B76"/>
    <w:rsid w:val="002B3F1E"/>
    <w:rsid w:val="002B6513"/>
    <w:rsid w:val="002C06BA"/>
    <w:rsid w:val="002C1F2F"/>
    <w:rsid w:val="002C2508"/>
    <w:rsid w:val="002C2C9E"/>
    <w:rsid w:val="002C556E"/>
    <w:rsid w:val="002C5BCD"/>
    <w:rsid w:val="002D17CE"/>
    <w:rsid w:val="002D18B7"/>
    <w:rsid w:val="002D3AF5"/>
    <w:rsid w:val="002D4CB1"/>
    <w:rsid w:val="002D76B1"/>
    <w:rsid w:val="002E1084"/>
    <w:rsid w:val="002E1860"/>
    <w:rsid w:val="002E1B73"/>
    <w:rsid w:val="002E52B1"/>
    <w:rsid w:val="002E538F"/>
    <w:rsid w:val="002E5C99"/>
    <w:rsid w:val="002E69AE"/>
    <w:rsid w:val="002F00D8"/>
    <w:rsid w:val="002F039C"/>
    <w:rsid w:val="002F175C"/>
    <w:rsid w:val="002F1942"/>
    <w:rsid w:val="002F4557"/>
    <w:rsid w:val="002F5159"/>
    <w:rsid w:val="002F582A"/>
    <w:rsid w:val="0030138D"/>
    <w:rsid w:val="00306124"/>
    <w:rsid w:val="00307164"/>
    <w:rsid w:val="003078AA"/>
    <w:rsid w:val="003134AC"/>
    <w:rsid w:val="0031721B"/>
    <w:rsid w:val="0031724C"/>
    <w:rsid w:val="00317544"/>
    <w:rsid w:val="00320E07"/>
    <w:rsid w:val="00321438"/>
    <w:rsid w:val="00321F98"/>
    <w:rsid w:val="0032230D"/>
    <w:rsid w:val="003229D8"/>
    <w:rsid w:val="00322F8A"/>
    <w:rsid w:val="00323632"/>
    <w:rsid w:val="003248C7"/>
    <w:rsid w:val="00327502"/>
    <w:rsid w:val="00330BE1"/>
    <w:rsid w:val="00331C12"/>
    <w:rsid w:val="00331F5B"/>
    <w:rsid w:val="003331BD"/>
    <w:rsid w:val="00340A69"/>
    <w:rsid w:val="00341E55"/>
    <w:rsid w:val="00342DBC"/>
    <w:rsid w:val="00345647"/>
    <w:rsid w:val="00345C21"/>
    <w:rsid w:val="00351398"/>
    <w:rsid w:val="00352709"/>
    <w:rsid w:val="00354AA8"/>
    <w:rsid w:val="003611D1"/>
    <w:rsid w:val="00361E8A"/>
    <w:rsid w:val="00363A98"/>
    <w:rsid w:val="00364426"/>
    <w:rsid w:val="0036645D"/>
    <w:rsid w:val="003667AD"/>
    <w:rsid w:val="00366CF9"/>
    <w:rsid w:val="00367567"/>
    <w:rsid w:val="003705C9"/>
    <w:rsid w:val="00371095"/>
    <w:rsid w:val="00371178"/>
    <w:rsid w:val="0037301C"/>
    <w:rsid w:val="003730DD"/>
    <w:rsid w:val="00373F8F"/>
    <w:rsid w:val="0037429D"/>
    <w:rsid w:val="00375119"/>
    <w:rsid w:val="00375CDD"/>
    <w:rsid w:val="00376720"/>
    <w:rsid w:val="00377828"/>
    <w:rsid w:val="0038095E"/>
    <w:rsid w:val="00380E01"/>
    <w:rsid w:val="003823CB"/>
    <w:rsid w:val="0038336C"/>
    <w:rsid w:val="00384F90"/>
    <w:rsid w:val="00386624"/>
    <w:rsid w:val="0038670F"/>
    <w:rsid w:val="00387ECB"/>
    <w:rsid w:val="003903FC"/>
    <w:rsid w:val="00392947"/>
    <w:rsid w:val="0039347E"/>
    <w:rsid w:val="003954DB"/>
    <w:rsid w:val="003A1602"/>
    <w:rsid w:val="003A325A"/>
    <w:rsid w:val="003A6810"/>
    <w:rsid w:val="003A6EFA"/>
    <w:rsid w:val="003A70FC"/>
    <w:rsid w:val="003A7575"/>
    <w:rsid w:val="003A7AF2"/>
    <w:rsid w:val="003B2E07"/>
    <w:rsid w:val="003C02AB"/>
    <w:rsid w:val="003C14F4"/>
    <w:rsid w:val="003C2CC4"/>
    <w:rsid w:val="003C566E"/>
    <w:rsid w:val="003C730E"/>
    <w:rsid w:val="003D1C5A"/>
    <w:rsid w:val="003D2795"/>
    <w:rsid w:val="003D3E59"/>
    <w:rsid w:val="003D4B23"/>
    <w:rsid w:val="003D52B0"/>
    <w:rsid w:val="003D7AEE"/>
    <w:rsid w:val="003E1C7F"/>
    <w:rsid w:val="003E2BA4"/>
    <w:rsid w:val="003E4173"/>
    <w:rsid w:val="003E5145"/>
    <w:rsid w:val="003E6A36"/>
    <w:rsid w:val="003E6F7E"/>
    <w:rsid w:val="003F67BD"/>
    <w:rsid w:val="003F745D"/>
    <w:rsid w:val="003F7D91"/>
    <w:rsid w:val="004050C4"/>
    <w:rsid w:val="00405473"/>
    <w:rsid w:val="00410C89"/>
    <w:rsid w:val="004143EE"/>
    <w:rsid w:val="00414931"/>
    <w:rsid w:val="00414B35"/>
    <w:rsid w:val="00414F92"/>
    <w:rsid w:val="004217A4"/>
    <w:rsid w:val="004220AB"/>
    <w:rsid w:val="004227C0"/>
    <w:rsid w:val="00423634"/>
    <w:rsid w:val="00423A59"/>
    <w:rsid w:val="00426B9B"/>
    <w:rsid w:val="00427695"/>
    <w:rsid w:val="0043003F"/>
    <w:rsid w:val="004301C5"/>
    <w:rsid w:val="00431396"/>
    <w:rsid w:val="004325CB"/>
    <w:rsid w:val="004352DD"/>
    <w:rsid w:val="00436B33"/>
    <w:rsid w:val="00436C80"/>
    <w:rsid w:val="00436E7E"/>
    <w:rsid w:val="00437253"/>
    <w:rsid w:val="00442792"/>
    <w:rsid w:val="00442A83"/>
    <w:rsid w:val="00442C9D"/>
    <w:rsid w:val="00442EB6"/>
    <w:rsid w:val="00445A57"/>
    <w:rsid w:val="00446ABC"/>
    <w:rsid w:val="00450D0E"/>
    <w:rsid w:val="00451963"/>
    <w:rsid w:val="0045285D"/>
    <w:rsid w:val="0045495B"/>
    <w:rsid w:val="00455C43"/>
    <w:rsid w:val="004607BF"/>
    <w:rsid w:val="0046115E"/>
    <w:rsid w:val="00464446"/>
    <w:rsid w:val="004653C7"/>
    <w:rsid w:val="00466B4C"/>
    <w:rsid w:val="00466FA4"/>
    <w:rsid w:val="00467A53"/>
    <w:rsid w:val="0047173A"/>
    <w:rsid w:val="00473963"/>
    <w:rsid w:val="00476073"/>
    <w:rsid w:val="00481CB1"/>
    <w:rsid w:val="004864E9"/>
    <w:rsid w:val="00487488"/>
    <w:rsid w:val="00487FB8"/>
    <w:rsid w:val="0049219B"/>
    <w:rsid w:val="00492801"/>
    <w:rsid w:val="00492FCD"/>
    <w:rsid w:val="0049418F"/>
    <w:rsid w:val="00495A34"/>
    <w:rsid w:val="00495FB9"/>
    <w:rsid w:val="00497CBC"/>
    <w:rsid w:val="004A0821"/>
    <w:rsid w:val="004A2789"/>
    <w:rsid w:val="004A28A7"/>
    <w:rsid w:val="004A36BB"/>
    <w:rsid w:val="004A4177"/>
    <w:rsid w:val="004A4E95"/>
    <w:rsid w:val="004B1937"/>
    <w:rsid w:val="004B2B8A"/>
    <w:rsid w:val="004C55DD"/>
    <w:rsid w:val="004D0446"/>
    <w:rsid w:val="004D5BD1"/>
    <w:rsid w:val="004E01F0"/>
    <w:rsid w:val="004E15CC"/>
    <w:rsid w:val="004E1E4E"/>
    <w:rsid w:val="004F1D45"/>
    <w:rsid w:val="004F22B8"/>
    <w:rsid w:val="004F392D"/>
    <w:rsid w:val="004F5078"/>
    <w:rsid w:val="004F56B6"/>
    <w:rsid w:val="004F7287"/>
    <w:rsid w:val="0050328D"/>
    <w:rsid w:val="00505D08"/>
    <w:rsid w:val="005105B9"/>
    <w:rsid w:val="005125F0"/>
    <w:rsid w:val="005167F1"/>
    <w:rsid w:val="00516C94"/>
    <w:rsid w:val="00520400"/>
    <w:rsid w:val="0052136D"/>
    <w:rsid w:val="005232E6"/>
    <w:rsid w:val="00525395"/>
    <w:rsid w:val="0052775E"/>
    <w:rsid w:val="00530425"/>
    <w:rsid w:val="00533FA3"/>
    <w:rsid w:val="00534169"/>
    <w:rsid w:val="0053582A"/>
    <w:rsid w:val="005409DC"/>
    <w:rsid w:val="00540F02"/>
    <w:rsid w:val="0054109A"/>
    <w:rsid w:val="0054150C"/>
    <w:rsid w:val="005420F2"/>
    <w:rsid w:val="005427DE"/>
    <w:rsid w:val="00546665"/>
    <w:rsid w:val="005509CD"/>
    <w:rsid w:val="00550D3B"/>
    <w:rsid w:val="00555470"/>
    <w:rsid w:val="00560BA5"/>
    <w:rsid w:val="00561B68"/>
    <w:rsid w:val="005628B6"/>
    <w:rsid w:val="005640D1"/>
    <w:rsid w:val="00564714"/>
    <w:rsid w:val="00565BE7"/>
    <w:rsid w:val="0056624F"/>
    <w:rsid w:val="005722B3"/>
    <w:rsid w:val="00572DE0"/>
    <w:rsid w:val="0057585A"/>
    <w:rsid w:val="00575BA3"/>
    <w:rsid w:val="00577E84"/>
    <w:rsid w:val="005848B3"/>
    <w:rsid w:val="00587573"/>
    <w:rsid w:val="00590F87"/>
    <w:rsid w:val="00592C4A"/>
    <w:rsid w:val="005A0415"/>
    <w:rsid w:val="005A2ACD"/>
    <w:rsid w:val="005B09AE"/>
    <w:rsid w:val="005B15AD"/>
    <w:rsid w:val="005B38A5"/>
    <w:rsid w:val="005B3DB3"/>
    <w:rsid w:val="005B410E"/>
    <w:rsid w:val="005B4F61"/>
    <w:rsid w:val="005B6047"/>
    <w:rsid w:val="005B6F8E"/>
    <w:rsid w:val="005C112F"/>
    <w:rsid w:val="005C11C1"/>
    <w:rsid w:val="005C176E"/>
    <w:rsid w:val="005C1C11"/>
    <w:rsid w:val="005C2131"/>
    <w:rsid w:val="005C223E"/>
    <w:rsid w:val="005C25A9"/>
    <w:rsid w:val="005C3893"/>
    <w:rsid w:val="005C413D"/>
    <w:rsid w:val="005C4A9E"/>
    <w:rsid w:val="005C5011"/>
    <w:rsid w:val="005C5103"/>
    <w:rsid w:val="005C634E"/>
    <w:rsid w:val="005C658D"/>
    <w:rsid w:val="005D0679"/>
    <w:rsid w:val="005D1B16"/>
    <w:rsid w:val="005D5721"/>
    <w:rsid w:val="005D58AF"/>
    <w:rsid w:val="005D5AF5"/>
    <w:rsid w:val="005D7CB5"/>
    <w:rsid w:val="005E021C"/>
    <w:rsid w:val="005E2F71"/>
    <w:rsid w:val="005E5805"/>
    <w:rsid w:val="005E77C5"/>
    <w:rsid w:val="005E783D"/>
    <w:rsid w:val="005F06C6"/>
    <w:rsid w:val="005F5699"/>
    <w:rsid w:val="005F7416"/>
    <w:rsid w:val="005F7717"/>
    <w:rsid w:val="005F7B75"/>
    <w:rsid w:val="005F7BF7"/>
    <w:rsid w:val="005F7F93"/>
    <w:rsid w:val="006001B0"/>
    <w:rsid w:val="006001EE"/>
    <w:rsid w:val="00605042"/>
    <w:rsid w:val="00606E44"/>
    <w:rsid w:val="00607BC1"/>
    <w:rsid w:val="006108E0"/>
    <w:rsid w:val="00611FC4"/>
    <w:rsid w:val="00613FE0"/>
    <w:rsid w:val="006148AF"/>
    <w:rsid w:val="006160CB"/>
    <w:rsid w:val="006176FB"/>
    <w:rsid w:val="006239C9"/>
    <w:rsid w:val="00623FD3"/>
    <w:rsid w:val="0062462D"/>
    <w:rsid w:val="0062630E"/>
    <w:rsid w:val="006274AD"/>
    <w:rsid w:val="00627FB0"/>
    <w:rsid w:val="00631C31"/>
    <w:rsid w:val="00632E25"/>
    <w:rsid w:val="0063379B"/>
    <w:rsid w:val="00640B26"/>
    <w:rsid w:val="00640C76"/>
    <w:rsid w:val="00642AE9"/>
    <w:rsid w:val="00644F46"/>
    <w:rsid w:val="00645379"/>
    <w:rsid w:val="00645949"/>
    <w:rsid w:val="006507CD"/>
    <w:rsid w:val="0065298C"/>
    <w:rsid w:val="00652D0A"/>
    <w:rsid w:val="00653DBF"/>
    <w:rsid w:val="00654447"/>
    <w:rsid w:val="00660559"/>
    <w:rsid w:val="0066207D"/>
    <w:rsid w:val="00662BB6"/>
    <w:rsid w:val="006637A4"/>
    <w:rsid w:val="006639CE"/>
    <w:rsid w:val="00665EB7"/>
    <w:rsid w:val="00671510"/>
    <w:rsid w:val="00671948"/>
    <w:rsid w:val="00672110"/>
    <w:rsid w:val="0067289A"/>
    <w:rsid w:val="006743E9"/>
    <w:rsid w:val="00674B0A"/>
    <w:rsid w:val="00674D65"/>
    <w:rsid w:val="0067681D"/>
    <w:rsid w:val="006813BA"/>
    <w:rsid w:val="00681702"/>
    <w:rsid w:val="00682284"/>
    <w:rsid w:val="006838C8"/>
    <w:rsid w:val="00684B7A"/>
    <w:rsid w:val="00684C21"/>
    <w:rsid w:val="00685FA6"/>
    <w:rsid w:val="0068743C"/>
    <w:rsid w:val="00692BBE"/>
    <w:rsid w:val="00694AE6"/>
    <w:rsid w:val="006954C6"/>
    <w:rsid w:val="00695991"/>
    <w:rsid w:val="0069763E"/>
    <w:rsid w:val="00697F3E"/>
    <w:rsid w:val="006B346D"/>
    <w:rsid w:val="006B4FA2"/>
    <w:rsid w:val="006B5538"/>
    <w:rsid w:val="006B58E5"/>
    <w:rsid w:val="006C0435"/>
    <w:rsid w:val="006C05C1"/>
    <w:rsid w:val="006C0EA0"/>
    <w:rsid w:val="006C3AD1"/>
    <w:rsid w:val="006C65A6"/>
    <w:rsid w:val="006D37AF"/>
    <w:rsid w:val="006D51D0"/>
    <w:rsid w:val="006D53C0"/>
    <w:rsid w:val="006D5457"/>
    <w:rsid w:val="006D5961"/>
    <w:rsid w:val="006E212F"/>
    <w:rsid w:val="006E3F07"/>
    <w:rsid w:val="006E5067"/>
    <w:rsid w:val="006E564B"/>
    <w:rsid w:val="006E5A29"/>
    <w:rsid w:val="006E7191"/>
    <w:rsid w:val="006E7196"/>
    <w:rsid w:val="006F30DF"/>
    <w:rsid w:val="006F464F"/>
    <w:rsid w:val="006F52C5"/>
    <w:rsid w:val="006F5B58"/>
    <w:rsid w:val="006F6515"/>
    <w:rsid w:val="006F70B9"/>
    <w:rsid w:val="00701AF2"/>
    <w:rsid w:val="00703577"/>
    <w:rsid w:val="00705625"/>
    <w:rsid w:val="00706988"/>
    <w:rsid w:val="0071171F"/>
    <w:rsid w:val="00711F00"/>
    <w:rsid w:val="00713571"/>
    <w:rsid w:val="00713C74"/>
    <w:rsid w:val="00715DDD"/>
    <w:rsid w:val="00716EC7"/>
    <w:rsid w:val="00717ADC"/>
    <w:rsid w:val="0072082B"/>
    <w:rsid w:val="0072328C"/>
    <w:rsid w:val="00725151"/>
    <w:rsid w:val="0072632A"/>
    <w:rsid w:val="00726A48"/>
    <w:rsid w:val="00727C31"/>
    <w:rsid w:val="007327D5"/>
    <w:rsid w:val="00732876"/>
    <w:rsid w:val="00734ABE"/>
    <w:rsid w:val="00735CA1"/>
    <w:rsid w:val="00735F4E"/>
    <w:rsid w:val="00736EAD"/>
    <w:rsid w:val="0074315D"/>
    <w:rsid w:val="007435F7"/>
    <w:rsid w:val="007449A6"/>
    <w:rsid w:val="00746750"/>
    <w:rsid w:val="00746D61"/>
    <w:rsid w:val="007509EB"/>
    <w:rsid w:val="00750FC5"/>
    <w:rsid w:val="0075395D"/>
    <w:rsid w:val="007552FC"/>
    <w:rsid w:val="00760B80"/>
    <w:rsid w:val="00762878"/>
    <w:rsid w:val="00762922"/>
    <w:rsid w:val="007629C8"/>
    <w:rsid w:val="00762E39"/>
    <w:rsid w:val="007635DF"/>
    <w:rsid w:val="00764972"/>
    <w:rsid w:val="007661CD"/>
    <w:rsid w:val="00770F3B"/>
    <w:rsid w:val="0077327C"/>
    <w:rsid w:val="007734E8"/>
    <w:rsid w:val="007734FC"/>
    <w:rsid w:val="007740F1"/>
    <w:rsid w:val="00776E5E"/>
    <w:rsid w:val="00777322"/>
    <w:rsid w:val="0078043C"/>
    <w:rsid w:val="00781C83"/>
    <w:rsid w:val="00782696"/>
    <w:rsid w:val="0078300D"/>
    <w:rsid w:val="00785DB2"/>
    <w:rsid w:val="0078601B"/>
    <w:rsid w:val="0078676D"/>
    <w:rsid w:val="00787E5D"/>
    <w:rsid w:val="0079034E"/>
    <w:rsid w:val="00792116"/>
    <w:rsid w:val="0079681E"/>
    <w:rsid w:val="007A0EB2"/>
    <w:rsid w:val="007A212F"/>
    <w:rsid w:val="007A36C9"/>
    <w:rsid w:val="007B3302"/>
    <w:rsid w:val="007B412F"/>
    <w:rsid w:val="007B41DA"/>
    <w:rsid w:val="007B4390"/>
    <w:rsid w:val="007B6BA5"/>
    <w:rsid w:val="007C1241"/>
    <w:rsid w:val="007C3390"/>
    <w:rsid w:val="007C3FFB"/>
    <w:rsid w:val="007C4F4B"/>
    <w:rsid w:val="007C55BE"/>
    <w:rsid w:val="007C784F"/>
    <w:rsid w:val="007D00CF"/>
    <w:rsid w:val="007D2684"/>
    <w:rsid w:val="007D564F"/>
    <w:rsid w:val="007D74AF"/>
    <w:rsid w:val="007E0B2D"/>
    <w:rsid w:val="007E0ED5"/>
    <w:rsid w:val="007E3B72"/>
    <w:rsid w:val="007E41CA"/>
    <w:rsid w:val="007E4594"/>
    <w:rsid w:val="007E4BBE"/>
    <w:rsid w:val="007E533F"/>
    <w:rsid w:val="007E5EA4"/>
    <w:rsid w:val="007F098E"/>
    <w:rsid w:val="007F12FC"/>
    <w:rsid w:val="007F167F"/>
    <w:rsid w:val="007F2D0D"/>
    <w:rsid w:val="007F3A2C"/>
    <w:rsid w:val="007F4853"/>
    <w:rsid w:val="007F6611"/>
    <w:rsid w:val="00803534"/>
    <w:rsid w:val="0081043C"/>
    <w:rsid w:val="008105B8"/>
    <w:rsid w:val="00811D06"/>
    <w:rsid w:val="008123D2"/>
    <w:rsid w:val="008127E8"/>
    <w:rsid w:val="00812971"/>
    <w:rsid w:val="00813327"/>
    <w:rsid w:val="008146B2"/>
    <w:rsid w:val="00816972"/>
    <w:rsid w:val="00816E23"/>
    <w:rsid w:val="00816EE0"/>
    <w:rsid w:val="00817A02"/>
    <w:rsid w:val="008216A5"/>
    <w:rsid w:val="00821A8D"/>
    <w:rsid w:val="00821E25"/>
    <w:rsid w:val="0082420A"/>
    <w:rsid w:val="008242D7"/>
    <w:rsid w:val="00824565"/>
    <w:rsid w:val="00824C73"/>
    <w:rsid w:val="00824FE2"/>
    <w:rsid w:val="00825659"/>
    <w:rsid w:val="008257B1"/>
    <w:rsid w:val="00825B68"/>
    <w:rsid w:val="008309E6"/>
    <w:rsid w:val="00830FF4"/>
    <w:rsid w:val="0083185A"/>
    <w:rsid w:val="0083223B"/>
    <w:rsid w:val="00833370"/>
    <w:rsid w:val="00834821"/>
    <w:rsid w:val="00836A49"/>
    <w:rsid w:val="008379A8"/>
    <w:rsid w:val="0084033C"/>
    <w:rsid w:val="008406D2"/>
    <w:rsid w:val="0084126F"/>
    <w:rsid w:val="00843767"/>
    <w:rsid w:val="00846666"/>
    <w:rsid w:val="00847B18"/>
    <w:rsid w:val="00851F2A"/>
    <w:rsid w:val="00854DFD"/>
    <w:rsid w:val="00856F01"/>
    <w:rsid w:val="00861599"/>
    <w:rsid w:val="0086457A"/>
    <w:rsid w:val="00864797"/>
    <w:rsid w:val="008655A1"/>
    <w:rsid w:val="008679D9"/>
    <w:rsid w:val="00871051"/>
    <w:rsid w:val="00871750"/>
    <w:rsid w:val="00871AF5"/>
    <w:rsid w:val="00872A6B"/>
    <w:rsid w:val="00872F86"/>
    <w:rsid w:val="008730D5"/>
    <w:rsid w:val="008747BF"/>
    <w:rsid w:val="00875F71"/>
    <w:rsid w:val="00875FE5"/>
    <w:rsid w:val="00880AF2"/>
    <w:rsid w:val="00883BBF"/>
    <w:rsid w:val="008846D9"/>
    <w:rsid w:val="00884FCB"/>
    <w:rsid w:val="0088719B"/>
    <w:rsid w:val="00891792"/>
    <w:rsid w:val="00891C2B"/>
    <w:rsid w:val="00894F53"/>
    <w:rsid w:val="00896597"/>
    <w:rsid w:val="008979B1"/>
    <w:rsid w:val="00897F0A"/>
    <w:rsid w:val="008A00C8"/>
    <w:rsid w:val="008A09B5"/>
    <w:rsid w:val="008A1DB2"/>
    <w:rsid w:val="008A6B25"/>
    <w:rsid w:val="008A6C4F"/>
    <w:rsid w:val="008B012F"/>
    <w:rsid w:val="008B175B"/>
    <w:rsid w:val="008B2335"/>
    <w:rsid w:val="008B629E"/>
    <w:rsid w:val="008C0D17"/>
    <w:rsid w:val="008C12BF"/>
    <w:rsid w:val="008C22CC"/>
    <w:rsid w:val="008C3223"/>
    <w:rsid w:val="008C3294"/>
    <w:rsid w:val="008C4B5A"/>
    <w:rsid w:val="008C4EDC"/>
    <w:rsid w:val="008C5999"/>
    <w:rsid w:val="008C6E58"/>
    <w:rsid w:val="008C77CB"/>
    <w:rsid w:val="008D085A"/>
    <w:rsid w:val="008D0C03"/>
    <w:rsid w:val="008D1459"/>
    <w:rsid w:val="008D1908"/>
    <w:rsid w:val="008D1E1A"/>
    <w:rsid w:val="008D299D"/>
    <w:rsid w:val="008D2A46"/>
    <w:rsid w:val="008D6D5E"/>
    <w:rsid w:val="008E0678"/>
    <w:rsid w:val="008E0CFD"/>
    <w:rsid w:val="008E4C4F"/>
    <w:rsid w:val="008E5A83"/>
    <w:rsid w:val="008E5FF6"/>
    <w:rsid w:val="008E6067"/>
    <w:rsid w:val="008F0336"/>
    <w:rsid w:val="008F0E3C"/>
    <w:rsid w:val="008F16E4"/>
    <w:rsid w:val="008F1FA8"/>
    <w:rsid w:val="008F6145"/>
    <w:rsid w:val="008F6F47"/>
    <w:rsid w:val="00900036"/>
    <w:rsid w:val="009002FE"/>
    <w:rsid w:val="00903876"/>
    <w:rsid w:val="0090599C"/>
    <w:rsid w:val="009062A7"/>
    <w:rsid w:val="0090637F"/>
    <w:rsid w:val="0091026B"/>
    <w:rsid w:val="00910F40"/>
    <w:rsid w:val="00912C08"/>
    <w:rsid w:val="00913616"/>
    <w:rsid w:val="0091377B"/>
    <w:rsid w:val="009223CA"/>
    <w:rsid w:val="00930548"/>
    <w:rsid w:val="009377CE"/>
    <w:rsid w:val="00937F60"/>
    <w:rsid w:val="0094095A"/>
    <w:rsid w:val="00940F93"/>
    <w:rsid w:val="00944934"/>
    <w:rsid w:val="00946696"/>
    <w:rsid w:val="00947422"/>
    <w:rsid w:val="00951161"/>
    <w:rsid w:val="00951EAC"/>
    <w:rsid w:val="0095347F"/>
    <w:rsid w:val="00953725"/>
    <w:rsid w:val="009568BE"/>
    <w:rsid w:val="0096045D"/>
    <w:rsid w:val="0096073F"/>
    <w:rsid w:val="00960911"/>
    <w:rsid w:val="009633D7"/>
    <w:rsid w:val="00967F59"/>
    <w:rsid w:val="009701C4"/>
    <w:rsid w:val="00970EA1"/>
    <w:rsid w:val="00970EED"/>
    <w:rsid w:val="00972C38"/>
    <w:rsid w:val="009735A8"/>
    <w:rsid w:val="00973F26"/>
    <w:rsid w:val="00974EF5"/>
    <w:rsid w:val="00974F34"/>
    <w:rsid w:val="009760F3"/>
    <w:rsid w:val="009800FA"/>
    <w:rsid w:val="00980EA8"/>
    <w:rsid w:val="009817F4"/>
    <w:rsid w:val="009856D2"/>
    <w:rsid w:val="00985E39"/>
    <w:rsid w:val="009873ED"/>
    <w:rsid w:val="009909F5"/>
    <w:rsid w:val="00990FCA"/>
    <w:rsid w:val="009910D8"/>
    <w:rsid w:val="0099515D"/>
    <w:rsid w:val="009960E6"/>
    <w:rsid w:val="009A078E"/>
    <w:rsid w:val="009A0E8D"/>
    <w:rsid w:val="009A19F8"/>
    <w:rsid w:val="009A5C88"/>
    <w:rsid w:val="009B0FC5"/>
    <w:rsid w:val="009B16A7"/>
    <w:rsid w:val="009B26E7"/>
    <w:rsid w:val="009B451C"/>
    <w:rsid w:val="009B58BD"/>
    <w:rsid w:val="009B6530"/>
    <w:rsid w:val="009C162C"/>
    <w:rsid w:val="009C3FF1"/>
    <w:rsid w:val="009C4FB2"/>
    <w:rsid w:val="009C50D8"/>
    <w:rsid w:val="009C60EB"/>
    <w:rsid w:val="009C6DFE"/>
    <w:rsid w:val="009D0FD4"/>
    <w:rsid w:val="009D1E8D"/>
    <w:rsid w:val="009E2F54"/>
    <w:rsid w:val="009E74DB"/>
    <w:rsid w:val="009E7D26"/>
    <w:rsid w:val="009F03D3"/>
    <w:rsid w:val="009F2AC1"/>
    <w:rsid w:val="009F5182"/>
    <w:rsid w:val="009F5D64"/>
    <w:rsid w:val="009F7636"/>
    <w:rsid w:val="00A00A3F"/>
    <w:rsid w:val="00A01489"/>
    <w:rsid w:val="00A017A9"/>
    <w:rsid w:val="00A018AB"/>
    <w:rsid w:val="00A03ED0"/>
    <w:rsid w:val="00A06DB2"/>
    <w:rsid w:val="00A11771"/>
    <w:rsid w:val="00A17E37"/>
    <w:rsid w:val="00A206FC"/>
    <w:rsid w:val="00A230A0"/>
    <w:rsid w:val="00A232DB"/>
    <w:rsid w:val="00A26063"/>
    <w:rsid w:val="00A31B81"/>
    <w:rsid w:val="00A338F1"/>
    <w:rsid w:val="00A33C96"/>
    <w:rsid w:val="00A343D0"/>
    <w:rsid w:val="00A35E72"/>
    <w:rsid w:val="00A367D9"/>
    <w:rsid w:val="00A3706C"/>
    <w:rsid w:val="00A377A8"/>
    <w:rsid w:val="00A41A5C"/>
    <w:rsid w:val="00A42B98"/>
    <w:rsid w:val="00A44487"/>
    <w:rsid w:val="00A44615"/>
    <w:rsid w:val="00A447CC"/>
    <w:rsid w:val="00A4728C"/>
    <w:rsid w:val="00A47874"/>
    <w:rsid w:val="00A52D60"/>
    <w:rsid w:val="00A52FFA"/>
    <w:rsid w:val="00A573DB"/>
    <w:rsid w:val="00A61F33"/>
    <w:rsid w:val="00A647C7"/>
    <w:rsid w:val="00A65032"/>
    <w:rsid w:val="00A70EA1"/>
    <w:rsid w:val="00A72C70"/>
    <w:rsid w:val="00A72F22"/>
    <w:rsid w:val="00A7360F"/>
    <w:rsid w:val="00A748A6"/>
    <w:rsid w:val="00A74E3C"/>
    <w:rsid w:val="00A75355"/>
    <w:rsid w:val="00A76648"/>
    <w:rsid w:val="00A769F4"/>
    <w:rsid w:val="00A776B4"/>
    <w:rsid w:val="00A777C5"/>
    <w:rsid w:val="00A777CF"/>
    <w:rsid w:val="00A81D4E"/>
    <w:rsid w:val="00A85EA0"/>
    <w:rsid w:val="00A9008E"/>
    <w:rsid w:val="00A91A32"/>
    <w:rsid w:val="00A94361"/>
    <w:rsid w:val="00A95FBA"/>
    <w:rsid w:val="00A96A77"/>
    <w:rsid w:val="00A96BCF"/>
    <w:rsid w:val="00A97E2A"/>
    <w:rsid w:val="00A97F19"/>
    <w:rsid w:val="00AA293C"/>
    <w:rsid w:val="00AA2D0D"/>
    <w:rsid w:val="00AA56FB"/>
    <w:rsid w:val="00AA672A"/>
    <w:rsid w:val="00AA6FA4"/>
    <w:rsid w:val="00AB0648"/>
    <w:rsid w:val="00AB19FA"/>
    <w:rsid w:val="00AB2855"/>
    <w:rsid w:val="00AB45A3"/>
    <w:rsid w:val="00AB4CA5"/>
    <w:rsid w:val="00AB5490"/>
    <w:rsid w:val="00AC41FA"/>
    <w:rsid w:val="00AC4B52"/>
    <w:rsid w:val="00AC505B"/>
    <w:rsid w:val="00AC6A0A"/>
    <w:rsid w:val="00AD18CA"/>
    <w:rsid w:val="00AD46B8"/>
    <w:rsid w:val="00AE1CFF"/>
    <w:rsid w:val="00AE3A93"/>
    <w:rsid w:val="00AE4730"/>
    <w:rsid w:val="00AE50CE"/>
    <w:rsid w:val="00AE55CB"/>
    <w:rsid w:val="00AE62B3"/>
    <w:rsid w:val="00AE673B"/>
    <w:rsid w:val="00AF0BB7"/>
    <w:rsid w:val="00AF1A44"/>
    <w:rsid w:val="00AF3148"/>
    <w:rsid w:val="00AF34D9"/>
    <w:rsid w:val="00AF3BC4"/>
    <w:rsid w:val="00AF5C70"/>
    <w:rsid w:val="00AF5CCF"/>
    <w:rsid w:val="00AF7286"/>
    <w:rsid w:val="00B01321"/>
    <w:rsid w:val="00B03884"/>
    <w:rsid w:val="00B03AC1"/>
    <w:rsid w:val="00B04543"/>
    <w:rsid w:val="00B10640"/>
    <w:rsid w:val="00B1156E"/>
    <w:rsid w:val="00B11BC2"/>
    <w:rsid w:val="00B13E9B"/>
    <w:rsid w:val="00B16852"/>
    <w:rsid w:val="00B16940"/>
    <w:rsid w:val="00B174D5"/>
    <w:rsid w:val="00B2280C"/>
    <w:rsid w:val="00B23D94"/>
    <w:rsid w:val="00B25A5F"/>
    <w:rsid w:val="00B25D3D"/>
    <w:rsid w:val="00B2683D"/>
    <w:rsid w:val="00B30179"/>
    <w:rsid w:val="00B309E7"/>
    <w:rsid w:val="00B339A7"/>
    <w:rsid w:val="00B33ABD"/>
    <w:rsid w:val="00B37097"/>
    <w:rsid w:val="00B41A37"/>
    <w:rsid w:val="00B41ACB"/>
    <w:rsid w:val="00B42976"/>
    <w:rsid w:val="00B447A5"/>
    <w:rsid w:val="00B46514"/>
    <w:rsid w:val="00B467BE"/>
    <w:rsid w:val="00B46DF7"/>
    <w:rsid w:val="00B46FEF"/>
    <w:rsid w:val="00B47DB8"/>
    <w:rsid w:val="00B503FD"/>
    <w:rsid w:val="00B55522"/>
    <w:rsid w:val="00B56E4A"/>
    <w:rsid w:val="00B56E9C"/>
    <w:rsid w:val="00B60748"/>
    <w:rsid w:val="00B64B1F"/>
    <w:rsid w:val="00B6524C"/>
    <w:rsid w:val="00B6553F"/>
    <w:rsid w:val="00B66712"/>
    <w:rsid w:val="00B66E5E"/>
    <w:rsid w:val="00B739B5"/>
    <w:rsid w:val="00B73DC3"/>
    <w:rsid w:val="00B76950"/>
    <w:rsid w:val="00B777E4"/>
    <w:rsid w:val="00B77D05"/>
    <w:rsid w:val="00B81206"/>
    <w:rsid w:val="00B8190A"/>
    <w:rsid w:val="00B81E12"/>
    <w:rsid w:val="00B85756"/>
    <w:rsid w:val="00B85AF8"/>
    <w:rsid w:val="00B8650D"/>
    <w:rsid w:val="00B86C63"/>
    <w:rsid w:val="00B9067B"/>
    <w:rsid w:val="00B915E0"/>
    <w:rsid w:val="00B94491"/>
    <w:rsid w:val="00B95A99"/>
    <w:rsid w:val="00B96623"/>
    <w:rsid w:val="00B968B5"/>
    <w:rsid w:val="00B97074"/>
    <w:rsid w:val="00B97AFE"/>
    <w:rsid w:val="00BA0869"/>
    <w:rsid w:val="00BA1530"/>
    <w:rsid w:val="00BA434C"/>
    <w:rsid w:val="00BA5934"/>
    <w:rsid w:val="00BB22D5"/>
    <w:rsid w:val="00BB3EAA"/>
    <w:rsid w:val="00BB6283"/>
    <w:rsid w:val="00BC01E3"/>
    <w:rsid w:val="00BC2C23"/>
    <w:rsid w:val="00BC48F3"/>
    <w:rsid w:val="00BC5363"/>
    <w:rsid w:val="00BC6E5E"/>
    <w:rsid w:val="00BC7283"/>
    <w:rsid w:val="00BC74E9"/>
    <w:rsid w:val="00BD6CE9"/>
    <w:rsid w:val="00BE26B2"/>
    <w:rsid w:val="00BE4F3F"/>
    <w:rsid w:val="00BE5990"/>
    <w:rsid w:val="00BE62B5"/>
    <w:rsid w:val="00BF0285"/>
    <w:rsid w:val="00BF0311"/>
    <w:rsid w:val="00BF4613"/>
    <w:rsid w:val="00BF61C5"/>
    <w:rsid w:val="00BF68A8"/>
    <w:rsid w:val="00BF72FD"/>
    <w:rsid w:val="00C00739"/>
    <w:rsid w:val="00C00847"/>
    <w:rsid w:val="00C02E7A"/>
    <w:rsid w:val="00C04639"/>
    <w:rsid w:val="00C050F2"/>
    <w:rsid w:val="00C065DB"/>
    <w:rsid w:val="00C11092"/>
    <w:rsid w:val="00C11207"/>
    <w:rsid w:val="00C11870"/>
    <w:rsid w:val="00C11A03"/>
    <w:rsid w:val="00C144EC"/>
    <w:rsid w:val="00C14620"/>
    <w:rsid w:val="00C159F7"/>
    <w:rsid w:val="00C15B6B"/>
    <w:rsid w:val="00C16F6A"/>
    <w:rsid w:val="00C209C2"/>
    <w:rsid w:val="00C20A72"/>
    <w:rsid w:val="00C2284D"/>
    <w:rsid w:val="00C2473F"/>
    <w:rsid w:val="00C306F0"/>
    <w:rsid w:val="00C33A42"/>
    <w:rsid w:val="00C34926"/>
    <w:rsid w:val="00C40BDC"/>
    <w:rsid w:val="00C418BB"/>
    <w:rsid w:val="00C42190"/>
    <w:rsid w:val="00C42EAF"/>
    <w:rsid w:val="00C44D49"/>
    <w:rsid w:val="00C46054"/>
    <w:rsid w:val="00C463DD"/>
    <w:rsid w:val="00C46474"/>
    <w:rsid w:val="00C46A7A"/>
    <w:rsid w:val="00C4724C"/>
    <w:rsid w:val="00C47927"/>
    <w:rsid w:val="00C50356"/>
    <w:rsid w:val="00C50ECF"/>
    <w:rsid w:val="00C51530"/>
    <w:rsid w:val="00C53963"/>
    <w:rsid w:val="00C55706"/>
    <w:rsid w:val="00C55779"/>
    <w:rsid w:val="00C56114"/>
    <w:rsid w:val="00C56DA9"/>
    <w:rsid w:val="00C570B5"/>
    <w:rsid w:val="00C57A10"/>
    <w:rsid w:val="00C606D3"/>
    <w:rsid w:val="00C61C48"/>
    <w:rsid w:val="00C629A0"/>
    <w:rsid w:val="00C651DA"/>
    <w:rsid w:val="00C73736"/>
    <w:rsid w:val="00C745C3"/>
    <w:rsid w:val="00C76890"/>
    <w:rsid w:val="00C7728B"/>
    <w:rsid w:val="00C80234"/>
    <w:rsid w:val="00C803EC"/>
    <w:rsid w:val="00C819E8"/>
    <w:rsid w:val="00C8504E"/>
    <w:rsid w:val="00C85113"/>
    <w:rsid w:val="00C861CA"/>
    <w:rsid w:val="00C918F3"/>
    <w:rsid w:val="00C93256"/>
    <w:rsid w:val="00C94DC9"/>
    <w:rsid w:val="00C96D4E"/>
    <w:rsid w:val="00CA3EFF"/>
    <w:rsid w:val="00CA4C85"/>
    <w:rsid w:val="00CB1D44"/>
    <w:rsid w:val="00CB351A"/>
    <w:rsid w:val="00CB4D6E"/>
    <w:rsid w:val="00CB57C7"/>
    <w:rsid w:val="00CB6E28"/>
    <w:rsid w:val="00CC03E1"/>
    <w:rsid w:val="00CC0BB4"/>
    <w:rsid w:val="00CC1736"/>
    <w:rsid w:val="00CC2C70"/>
    <w:rsid w:val="00CC3C10"/>
    <w:rsid w:val="00CC661D"/>
    <w:rsid w:val="00CC6A70"/>
    <w:rsid w:val="00CE089B"/>
    <w:rsid w:val="00CE4A8F"/>
    <w:rsid w:val="00CE736B"/>
    <w:rsid w:val="00CF1984"/>
    <w:rsid w:val="00CF2621"/>
    <w:rsid w:val="00CF76D6"/>
    <w:rsid w:val="00D02C2A"/>
    <w:rsid w:val="00D04C4B"/>
    <w:rsid w:val="00D06AB9"/>
    <w:rsid w:val="00D06B6C"/>
    <w:rsid w:val="00D06B7E"/>
    <w:rsid w:val="00D12158"/>
    <w:rsid w:val="00D12AA9"/>
    <w:rsid w:val="00D1315B"/>
    <w:rsid w:val="00D13268"/>
    <w:rsid w:val="00D13345"/>
    <w:rsid w:val="00D141CF"/>
    <w:rsid w:val="00D2031B"/>
    <w:rsid w:val="00D257E7"/>
    <w:rsid w:val="00D25FE2"/>
    <w:rsid w:val="00D2637A"/>
    <w:rsid w:val="00D3001F"/>
    <w:rsid w:val="00D30034"/>
    <w:rsid w:val="00D3430C"/>
    <w:rsid w:val="00D35B7F"/>
    <w:rsid w:val="00D35FCA"/>
    <w:rsid w:val="00D43252"/>
    <w:rsid w:val="00D43E06"/>
    <w:rsid w:val="00D46C27"/>
    <w:rsid w:val="00D47EEA"/>
    <w:rsid w:val="00D47F7B"/>
    <w:rsid w:val="00D501D0"/>
    <w:rsid w:val="00D509AE"/>
    <w:rsid w:val="00D51D6E"/>
    <w:rsid w:val="00D53BAD"/>
    <w:rsid w:val="00D5423E"/>
    <w:rsid w:val="00D543C9"/>
    <w:rsid w:val="00D56C70"/>
    <w:rsid w:val="00D6148A"/>
    <w:rsid w:val="00D623C7"/>
    <w:rsid w:val="00D62D0F"/>
    <w:rsid w:val="00D63CF8"/>
    <w:rsid w:val="00D70BF9"/>
    <w:rsid w:val="00D729E4"/>
    <w:rsid w:val="00D73CB8"/>
    <w:rsid w:val="00D80EDF"/>
    <w:rsid w:val="00D864CC"/>
    <w:rsid w:val="00D872C2"/>
    <w:rsid w:val="00D90F93"/>
    <w:rsid w:val="00D91275"/>
    <w:rsid w:val="00D913B0"/>
    <w:rsid w:val="00D94BB8"/>
    <w:rsid w:val="00D94CDD"/>
    <w:rsid w:val="00D95303"/>
    <w:rsid w:val="00D96E57"/>
    <w:rsid w:val="00D97597"/>
    <w:rsid w:val="00D975A7"/>
    <w:rsid w:val="00D978C6"/>
    <w:rsid w:val="00DA3111"/>
    <w:rsid w:val="00DA3C1C"/>
    <w:rsid w:val="00DA4BBB"/>
    <w:rsid w:val="00DB0C79"/>
    <w:rsid w:val="00DB2CE7"/>
    <w:rsid w:val="00DB5724"/>
    <w:rsid w:val="00DB5B2F"/>
    <w:rsid w:val="00DC0714"/>
    <w:rsid w:val="00DC088A"/>
    <w:rsid w:val="00DC0C80"/>
    <w:rsid w:val="00DC465A"/>
    <w:rsid w:val="00DD2848"/>
    <w:rsid w:val="00DD471E"/>
    <w:rsid w:val="00DD593B"/>
    <w:rsid w:val="00DE1DF6"/>
    <w:rsid w:val="00DE4E25"/>
    <w:rsid w:val="00DE79A8"/>
    <w:rsid w:val="00DE7F59"/>
    <w:rsid w:val="00DF0799"/>
    <w:rsid w:val="00DF528D"/>
    <w:rsid w:val="00E06DA5"/>
    <w:rsid w:val="00E104C9"/>
    <w:rsid w:val="00E142AF"/>
    <w:rsid w:val="00E14989"/>
    <w:rsid w:val="00E15CC1"/>
    <w:rsid w:val="00E17C73"/>
    <w:rsid w:val="00E17F9F"/>
    <w:rsid w:val="00E209FD"/>
    <w:rsid w:val="00E21400"/>
    <w:rsid w:val="00E25E54"/>
    <w:rsid w:val="00E27346"/>
    <w:rsid w:val="00E31E79"/>
    <w:rsid w:val="00E34156"/>
    <w:rsid w:val="00E35AD2"/>
    <w:rsid w:val="00E36878"/>
    <w:rsid w:val="00E40A07"/>
    <w:rsid w:val="00E41BFE"/>
    <w:rsid w:val="00E4363C"/>
    <w:rsid w:val="00E53D02"/>
    <w:rsid w:val="00E6074E"/>
    <w:rsid w:val="00E61088"/>
    <w:rsid w:val="00E632CC"/>
    <w:rsid w:val="00E64123"/>
    <w:rsid w:val="00E652FC"/>
    <w:rsid w:val="00E65396"/>
    <w:rsid w:val="00E66EBA"/>
    <w:rsid w:val="00E67325"/>
    <w:rsid w:val="00E67DDB"/>
    <w:rsid w:val="00E70F78"/>
    <w:rsid w:val="00E71BC8"/>
    <w:rsid w:val="00E7260F"/>
    <w:rsid w:val="00E74206"/>
    <w:rsid w:val="00E77185"/>
    <w:rsid w:val="00E779FC"/>
    <w:rsid w:val="00E821FA"/>
    <w:rsid w:val="00E848D3"/>
    <w:rsid w:val="00E849B2"/>
    <w:rsid w:val="00E85728"/>
    <w:rsid w:val="00E86349"/>
    <w:rsid w:val="00E9205D"/>
    <w:rsid w:val="00E921CF"/>
    <w:rsid w:val="00E94466"/>
    <w:rsid w:val="00E96630"/>
    <w:rsid w:val="00EA0822"/>
    <w:rsid w:val="00EA1D97"/>
    <w:rsid w:val="00EA31F7"/>
    <w:rsid w:val="00EB11F3"/>
    <w:rsid w:val="00EB2581"/>
    <w:rsid w:val="00EB5373"/>
    <w:rsid w:val="00EC14EF"/>
    <w:rsid w:val="00EC4B91"/>
    <w:rsid w:val="00ED00FD"/>
    <w:rsid w:val="00ED16A2"/>
    <w:rsid w:val="00ED2F5A"/>
    <w:rsid w:val="00ED6970"/>
    <w:rsid w:val="00ED7A2A"/>
    <w:rsid w:val="00ED7E6E"/>
    <w:rsid w:val="00EE2027"/>
    <w:rsid w:val="00EE37B7"/>
    <w:rsid w:val="00EE56F3"/>
    <w:rsid w:val="00EE5C7E"/>
    <w:rsid w:val="00EE5D8B"/>
    <w:rsid w:val="00EE6929"/>
    <w:rsid w:val="00EE6B37"/>
    <w:rsid w:val="00EF0235"/>
    <w:rsid w:val="00EF0C54"/>
    <w:rsid w:val="00EF162E"/>
    <w:rsid w:val="00EF1D7A"/>
    <w:rsid w:val="00EF1D7F"/>
    <w:rsid w:val="00EF3514"/>
    <w:rsid w:val="00EF560D"/>
    <w:rsid w:val="00F00747"/>
    <w:rsid w:val="00F01F3B"/>
    <w:rsid w:val="00F03190"/>
    <w:rsid w:val="00F03A99"/>
    <w:rsid w:val="00F0403F"/>
    <w:rsid w:val="00F04475"/>
    <w:rsid w:val="00F04CDE"/>
    <w:rsid w:val="00F075CC"/>
    <w:rsid w:val="00F10F62"/>
    <w:rsid w:val="00F166DC"/>
    <w:rsid w:val="00F17BD5"/>
    <w:rsid w:val="00F20C3D"/>
    <w:rsid w:val="00F21FE3"/>
    <w:rsid w:val="00F22E3E"/>
    <w:rsid w:val="00F24F92"/>
    <w:rsid w:val="00F2653D"/>
    <w:rsid w:val="00F3026E"/>
    <w:rsid w:val="00F31056"/>
    <w:rsid w:val="00F31242"/>
    <w:rsid w:val="00F31B09"/>
    <w:rsid w:val="00F34D48"/>
    <w:rsid w:val="00F35149"/>
    <w:rsid w:val="00F373CD"/>
    <w:rsid w:val="00F41576"/>
    <w:rsid w:val="00F41B9F"/>
    <w:rsid w:val="00F41F7D"/>
    <w:rsid w:val="00F4204E"/>
    <w:rsid w:val="00F422CA"/>
    <w:rsid w:val="00F4374D"/>
    <w:rsid w:val="00F43E9E"/>
    <w:rsid w:val="00F44820"/>
    <w:rsid w:val="00F476C3"/>
    <w:rsid w:val="00F5246C"/>
    <w:rsid w:val="00F52BE2"/>
    <w:rsid w:val="00F53964"/>
    <w:rsid w:val="00F53F5C"/>
    <w:rsid w:val="00F546EA"/>
    <w:rsid w:val="00F56D22"/>
    <w:rsid w:val="00F60246"/>
    <w:rsid w:val="00F60C3B"/>
    <w:rsid w:val="00F70D25"/>
    <w:rsid w:val="00F70D30"/>
    <w:rsid w:val="00F72A4B"/>
    <w:rsid w:val="00F730A1"/>
    <w:rsid w:val="00F748B6"/>
    <w:rsid w:val="00F82653"/>
    <w:rsid w:val="00F82F23"/>
    <w:rsid w:val="00F8467B"/>
    <w:rsid w:val="00F85733"/>
    <w:rsid w:val="00F86121"/>
    <w:rsid w:val="00F8772A"/>
    <w:rsid w:val="00F9057C"/>
    <w:rsid w:val="00F906D7"/>
    <w:rsid w:val="00F908D7"/>
    <w:rsid w:val="00F90FD3"/>
    <w:rsid w:val="00F92AB7"/>
    <w:rsid w:val="00F93781"/>
    <w:rsid w:val="00F9532C"/>
    <w:rsid w:val="00F9653B"/>
    <w:rsid w:val="00F9682C"/>
    <w:rsid w:val="00F96BA5"/>
    <w:rsid w:val="00FA1718"/>
    <w:rsid w:val="00FB148B"/>
    <w:rsid w:val="00FB2745"/>
    <w:rsid w:val="00FB45D9"/>
    <w:rsid w:val="00FB5EB5"/>
    <w:rsid w:val="00FB613B"/>
    <w:rsid w:val="00FB74C7"/>
    <w:rsid w:val="00FB78D7"/>
    <w:rsid w:val="00FC0622"/>
    <w:rsid w:val="00FC1423"/>
    <w:rsid w:val="00FC6401"/>
    <w:rsid w:val="00FC68B7"/>
    <w:rsid w:val="00FD0381"/>
    <w:rsid w:val="00FD1D08"/>
    <w:rsid w:val="00FD28AF"/>
    <w:rsid w:val="00FD4F04"/>
    <w:rsid w:val="00FD4FB8"/>
    <w:rsid w:val="00FD61DA"/>
    <w:rsid w:val="00FD71F6"/>
    <w:rsid w:val="00FD7CD0"/>
    <w:rsid w:val="00FE106A"/>
    <w:rsid w:val="00FE2B82"/>
    <w:rsid w:val="00FE5BA0"/>
    <w:rsid w:val="00FF0000"/>
    <w:rsid w:val="00FF30F6"/>
    <w:rsid w:val="00FF4BF4"/>
    <w:rsid w:val="00FF66E4"/>
    <w:rsid w:val="00FF7226"/>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9E7E7"/>
  <w15:docId w15:val="{C843CAD0-EBAD-4ED5-97C8-4D2D183A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Char,Char"/>
    <w:basedOn w:val="Normal"/>
    <w:link w:val="FootnoteTextChar"/>
    <w:qFormat/>
    <w:rsid w:val="000272B3"/>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Footnotes refss,Style 10"/>
    <w:qFormat/>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
    <w:link w:val="FootnoteText"/>
    <w:rsid w:val="008216A5"/>
    <w:rPr>
      <w:sz w:val="18"/>
      <w:lang w:eastAsia="en-US"/>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styleId="BodyText">
    <w:name w:val="Body Text"/>
    <w:basedOn w:val="Normal"/>
    <w:link w:val="BodyTextChar"/>
    <w:rsid w:val="0067289A"/>
    <w:pPr>
      <w:spacing w:after="120"/>
    </w:pPr>
  </w:style>
  <w:style w:type="character" w:customStyle="1" w:styleId="BodyTextChar">
    <w:name w:val="Body Text Char"/>
    <w:link w:val="BodyText"/>
    <w:rsid w:val="0067289A"/>
    <w:rPr>
      <w:lang w:eastAsia="en-US"/>
    </w:rPr>
  </w:style>
  <w:style w:type="paragraph" w:styleId="Revision">
    <w:name w:val="Revision"/>
    <w:hidden/>
    <w:uiPriority w:val="99"/>
    <w:semiHidden/>
    <w:rsid w:val="006E3F0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236">
      <w:bodyDiv w:val="1"/>
      <w:marLeft w:val="0"/>
      <w:marRight w:val="0"/>
      <w:marTop w:val="0"/>
      <w:marBottom w:val="0"/>
      <w:divBdr>
        <w:top w:val="none" w:sz="0" w:space="0" w:color="auto"/>
        <w:left w:val="none" w:sz="0" w:space="0" w:color="auto"/>
        <w:bottom w:val="none" w:sz="0" w:space="0" w:color="auto"/>
        <w:right w:val="none" w:sz="0" w:space="0" w:color="auto"/>
      </w:divBdr>
    </w:div>
    <w:div w:id="180440984">
      <w:bodyDiv w:val="1"/>
      <w:marLeft w:val="0"/>
      <w:marRight w:val="0"/>
      <w:marTop w:val="0"/>
      <w:marBottom w:val="0"/>
      <w:divBdr>
        <w:top w:val="none" w:sz="0" w:space="0" w:color="auto"/>
        <w:left w:val="none" w:sz="0" w:space="0" w:color="auto"/>
        <w:bottom w:val="none" w:sz="0" w:space="0" w:color="auto"/>
        <w:right w:val="none" w:sz="0" w:space="0" w:color="auto"/>
      </w:divBdr>
    </w:div>
    <w:div w:id="248927851">
      <w:bodyDiv w:val="1"/>
      <w:marLeft w:val="0"/>
      <w:marRight w:val="0"/>
      <w:marTop w:val="0"/>
      <w:marBottom w:val="0"/>
      <w:divBdr>
        <w:top w:val="none" w:sz="0" w:space="0" w:color="auto"/>
        <w:left w:val="none" w:sz="0" w:space="0" w:color="auto"/>
        <w:bottom w:val="none" w:sz="0" w:space="0" w:color="auto"/>
        <w:right w:val="none" w:sz="0" w:space="0" w:color="auto"/>
      </w:divBdr>
    </w:div>
    <w:div w:id="257325199">
      <w:bodyDiv w:val="1"/>
      <w:marLeft w:val="0"/>
      <w:marRight w:val="0"/>
      <w:marTop w:val="0"/>
      <w:marBottom w:val="0"/>
      <w:divBdr>
        <w:top w:val="none" w:sz="0" w:space="0" w:color="auto"/>
        <w:left w:val="none" w:sz="0" w:space="0" w:color="auto"/>
        <w:bottom w:val="none" w:sz="0" w:space="0" w:color="auto"/>
        <w:right w:val="none" w:sz="0" w:space="0" w:color="auto"/>
      </w:divBdr>
    </w:div>
    <w:div w:id="261882214">
      <w:bodyDiv w:val="1"/>
      <w:marLeft w:val="0"/>
      <w:marRight w:val="0"/>
      <w:marTop w:val="0"/>
      <w:marBottom w:val="0"/>
      <w:divBdr>
        <w:top w:val="none" w:sz="0" w:space="0" w:color="auto"/>
        <w:left w:val="none" w:sz="0" w:space="0" w:color="auto"/>
        <w:bottom w:val="none" w:sz="0" w:space="0" w:color="auto"/>
        <w:right w:val="none" w:sz="0" w:space="0" w:color="auto"/>
      </w:divBdr>
    </w:div>
    <w:div w:id="312369054">
      <w:bodyDiv w:val="1"/>
      <w:marLeft w:val="0"/>
      <w:marRight w:val="0"/>
      <w:marTop w:val="0"/>
      <w:marBottom w:val="0"/>
      <w:divBdr>
        <w:top w:val="none" w:sz="0" w:space="0" w:color="auto"/>
        <w:left w:val="none" w:sz="0" w:space="0" w:color="auto"/>
        <w:bottom w:val="none" w:sz="0" w:space="0" w:color="auto"/>
        <w:right w:val="none" w:sz="0" w:space="0" w:color="auto"/>
      </w:divBdr>
    </w:div>
    <w:div w:id="363871972">
      <w:bodyDiv w:val="1"/>
      <w:marLeft w:val="0"/>
      <w:marRight w:val="0"/>
      <w:marTop w:val="0"/>
      <w:marBottom w:val="0"/>
      <w:divBdr>
        <w:top w:val="none" w:sz="0" w:space="0" w:color="auto"/>
        <w:left w:val="none" w:sz="0" w:space="0" w:color="auto"/>
        <w:bottom w:val="none" w:sz="0" w:space="0" w:color="auto"/>
        <w:right w:val="none" w:sz="0" w:space="0" w:color="auto"/>
      </w:divBdr>
    </w:div>
    <w:div w:id="39913793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496769995">
      <w:bodyDiv w:val="1"/>
      <w:marLeft w:val="0"/>
      <w:marRight w:val="0"/>
      <w:marTop w:val="0"/>
      <w:marBottom w:val="0"/>
      <w:divBdr>
        <w:top w:val="none" w:sz="0" w:space="0" w:color="auto"/>
        <w:left w:val="none" w:sz="0" w:space="0" w:color="auto"/>
        <w:bottom w:val="none" w:sz="0" w:space="0" w:color="auto"/>
        <w:right w:val="none" w:sz="0" w:space="0" w:color="auto"/>
      </w:divBdr>
    </w:div>
    <w:div w:id="524637426">
      <w:bodyDiv w:val="1"/>
      <w:marLeft w:val="0"/>
      <w:marRight w:val="0"/>
      <w:marTop w:val="0"/>
      <w:marBottom w:val="0"/>
      <w:divBdr>
        <w:top w:val="none" w:sz="0" w:space="0" w:color="auto"/>
        <w:left w:val="none" w:sz="0" w:space="0" w:color="auto"/>
        <w:bottom w:val="none" w:sz="0" w:space="0" w:color="auto"/>
        <w:right w:val="none" w:sz="0" w:space="0" w:color="auto"/>
      </w:divBdr>
    </w:div>
    <w:div w:id="599604541">
      <w:bodyDiv w:val="1"/>
      <w:marLeft w:val="0"/>
      <w:marRight w:val="0"/>
      <w:marTop w:val="0"/>
      <w:marBottom w:val="0"/>
      <w:divBdr>
        <w:top w:val="none" w:sz="0" w:space="0" w:color="auto"/>
        <w:left w:val="none" w:sz="0" w:space="0" w:color="auto"/>
        <w:bottom w:val="none" w:sz="0" w:space="0" w:color="auto"/>
        <w:right w:val="none" w:sz="0" w:space="0" w:color="auto"/>
      </w:divBdr>
    </w:div>
    <w:div w:id="678510910">
      <w:bodyDiv w:val="1"/>
      <w:marLeft w:val="0"/>
      <w:marRight w:val="0"/>
      <w:marTop w:val="0"/>
      <w:marBottom w:val="0"/>
      <w:divBdr>
        <w:top w:val="none" w:sz="0" w:space="0" w:color="auto"/>
        <w:left w:val="none" w:sz="0" w:space="0" w:color="auto"/>
        <w:bottom w:val="none" w:sz="0" w:space="0" w:color="auto"/>
        <w:right w:val="none" w:sz="0" w:space="0" w:color="auto"/>
      </w:divBdr>
    </w:div>
    <w:div w:id="697437412">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54009053">
      <w:bodyDiv w:val="1"/>
      <w:marLeft w:val="0"/>
      <w:marRight w:val="0"/>
      <w:marTop w:val="0"/>
      <w:marBottom w:val="0"/>
      <w:divBdr>
        <w:top w:val="none" w:sz="0" w:space="0" w:color="auto"/>
        <w:left w:val="none" w:sz="0" w:space="0" w:color="auto"/>
        <w:bottom w:val="none" w:sz="0" w:space="0" w:color="auto"/>
        <w:right w:val="none" w:sz="0" w:space="0" w:color="auto"/>
      </w:divBdr>
    </w:div>
    <w:div w:id="785779120">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948706033">
      <w:bodyDiv w:val="1"/>
      <w:marLeft w:val="0"/>
      <w:marRight w:val="0"/>
      <w:marTop w:val="0"/>
      <w:marBottom w:val="0"/>
      <w:divBdr>
        <w:top w:val="none" w:sz="0" w:space="0" w:color="auto"/>
        <w:left w:val="none" w:sz="0" w:space="0" w:color="auto"/>
        <w:bottom w:val="none" w:sz="0" w:space="0" w:color="auto"/>
        <w:right w:val="none" w:sz="0" w:space="0" w:color="auto"/>
      </w:divBdr>
    </w:div>
    <w:div w:id="958031477">
      <w:bodyDiv w:val="1"/>
      <w:marLeft w:val="0"/>
      <w:marRight w:val="0"/>
      <w:marTop w:val="0"/>
      <w:marBottom w:val="0"/>
      <w:divBdr>
        <w:top w:val="none" w:sz="0" w:space="0" w:color="auto"/>
        <w:left w:val="none" w:sz="0" w:space="0" w:color="auto"/>
        <w:bottom w:val="none" w:sz="0" w:space="0" w:color="auto"/>
        <w:right w:val="none" w:sz="0" w:space="0" w:color="auto"/>
      </w:divBdr>
    </w:div>
    <w:div w:id="1006517092">
      <w:bodyDiv w:val="1"/>
      <w:marLeft w:val="0"/>
      <w:marRight w:val="0"/>
      <w:marTop w:val="0"/>
      <w:marBottom w:val="0"/>
      <w:divBdr>
        <w:top w:val="none" w:sz="0" w:space="0" w:color="auto"/>
        <w:left w:val="none" w:sz="0" w:space="0" w:color="auto"/>
        <w:bottom w:val="none" w:sz="0" w:space="0" w:color="auto"/>
        <w:right w:val="none" w:sz="0" w:space="0" w:color="auto"/>
      </w:divBdr>
    </w:div>
    <w:div w:id="1042679307">
      <w:bodyDiv w:val="1"/>
      <w:marLeft w:val="0"/>
      <w:marRight w:val="0"/>
      <w:marTop w:val="0"/>
      <w:marBottom w:val="0"/>
      <w:divBdr>
        <w:top w:val="none" w:sz="0" w:space="0" w:color="auto"/>
        <w:left w:val="none" w:sz="0" w:space="0" w:color="auto"/>
        <w:bottom w:val="none" w:sz="0" w:space="0" w:color="auto"/>
        <w:right w:val="none" w:sz="0" w:space="0" w:color="auto"/>
      </w:divBdr>
    </w:div>
    <w:div w:id="1079448303">
      <w:bodyDiv w:val="1"/>
      <w:marLeft w:val="0"/>
      <w:marRight w:val="0"/>
      <w:marTop w:val="0"/>
      <w:marBottom w:val="0"/>
      <w:divBdr>
        <w:top w:val="none" w:sz="0" w:space="0" w:color="auto"/>
        <w:left w:val="none" w:sz="0" w:space="0" w:color="auto"/>
        <w:bottom w:val="none" w:sz="0" w:space="0" w:color="auto"/>
        <w:right w:val="none" w:sz="0" w:space="0" w:color="auto"/>
      </w:divBdr>
    </w:div>
    <w:div w:id="1092235954">
      <w:bodyDiv w:val="1"/>
      <w:marLeft w:val="0"/>
      <w:marRight w:val="0"/>
      <w:marTop w:val="0"/>
      <w:marBottom w:val="0"/>
      <w:divBdr>
        <w:top w:val="none" w:sz="0" w:space="0" w:color="auto"/>
        <w:left w:val="none" w:sz="0" w:space="0" w:color="auto"/>
        <w:bottom w:val="none" w:sz="0" w:space="0" w:color="auto"/>
        <w:right w:val="none" w:sz="0" w:space="0" w:color="auto"/>
      </w:divBdr>
    </w:div>
    <w:div w:id="1106462863">
      <w:bodyDiv w:val="1"/>
      <w:marLeft w:val="0"/>
      <w:marRight w:val="0"/>
      <w:marTop w:val="0"/>
      <w:marBottom w:val="0"/>
      <w:divBdr>
        <w:top w:val="none" w:sz="0" w:space="0" w:color="auto"/>
        <w:left w:val="none" w:sz="0" w:space="0" w:color="auto"/>
        <w:bottom w:val="none" w:sz="0" w:space="0" w:color="auto"/>
        <w:right w:val="none" w:sz="0" w:space="0" w:color="auto"/>
      </w:divBdr>
    </w:div>
    <w:div w:id="1144856056">
      <w:bodyDiv w:val="1"/>
      <w:marLeft w:val="0"/>
      <w:marRight w:val="0"/>
      <w:marTop w:val="0"/>
      <w:marBottom w:val="0"/>
      <w:divBdr>
        <w:top w:val="none" w:sz="0" w:space="0" w:color="auto"/>
        <w:left w:val="none" w:sz="0" w:space="0" w:color="auto"/>
        <w:bottom w:val="none" w:sz="0" w:space="0" w:color="auto"/>
        <w:right w:val="none" w:sz="0" w:space="0" w:color="auto"/>
      </w:divBdr>
    </w:div>
    <w:div w:id="1183082865">
      <w:bodyDiv w:val="1"/>
      <w:marLeft w:val="0"/>
      <w:marRight w:val="0"/>
      <w:marTop w:val="0"/>
      <w:marBottom w:val="0"/>
      <w:divBdr>
        <w:top w:val="none" w:sz="0" w:space="0" w:color="auto"/>
        <w:left w:val="none" w:sz="0" w:space="0" w:color="auto"/>
        <w:bottom w:val="none" w:sz="0" w:space="0" w:color="auto"/>
        <w:right w:val="none" w:sz="0" w:space="0" w:color="auto"/>
      </w:divBdr>
    </w:div>
    <w:div w:id="1207596932">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596475171">
      <w:bodyDiv w:val="1"/>
      <w:marLeft w:val="0"/>
      <w:marRight w:val="0"/>
      <w:marTop w:val="0"/>
      <w:marBottom w:val="0"/>
      <w:divBdr>
        <w:top w:val="none" w:sz="0" w:space="0" w:color="auto"/>
        <w:left w:val="none" w:sz="0" w:space="0" w:color="auto"/>
        <w:bottom w:val="none" w:sz="0" w:space="0" w:color="auto"/>
        <w:right w:val="none" w:sz="0" w:space="0" w:color="auto"/>
      </w:divBdr>
    </w:div>
    <w:div w:id="1608807259">
      <w:bodyDiv w:val="1"/>
      <w:marLeft w:val="0"/>
      <w:marRight w:val="0"/>
      <w:marTop w:val="0"/>
      <w:marBottom w:val="0"/>
      <w:divBdr>
        <w:top w:val="none" w:sz="0" w:space="0" w:color="auto"/>
        <w:left w:val="none" w:sz="0" w:space="0" w:color="auto"/>
        <w:bottom w:val="none" w:sz="0" w:space="0" w:color="auto"/>
        <w:right w:val="none" w:sz="0" w:space="0" w:color="auto"/>
      </w:divBdr>
    </w:div>
    <w:div w:id="1622110907">
      <w:bodyDiv w:val="1"/>
      <w:marLeft w:val="0"/>
      <w:marRight w:val="0"/>
      <w:marTop w:val="0"/>
      <w:marBottom w:val="0"/>
      <w:divBdr>
        <w:top w:val="none" w:sz="0" w:space="0" w:color="auto"/>
        <w:left w:val="none" w:sz="0" w:space="0" w:color="auto"/>
        <w:bottom w:val="none" w:sz="0" w:space="0" w:color="auto"/>
        <w:right w:val="none" w:sz="0" w:space="0" w:color="auto"/>
      </w:divBdr>
    </w:div>
    <w:div w:id="1746100521">
      <w:bodyDiv w:val="1"/>
      <w:marLeft w:val="0"/>
      <w:marRight w:val="0"/>
      <w:marTop w:val="0"/>
      <w:marBottom w:val="0"/>
      <w:divBdr>
        <w:top w:val="none" w:sz="0" w:space="0" w:color="auto"/>
        <w:left w:val="none" w:sz="0" w:space="0" w:color="auto"/>
        <w:bottom w:val="none" w:sz="0" w:space="0" w:color="auto"/>
        <w:right w:val="none" w:sz="0" w:space="0" w:color="auto"/>
      </w:divBdr>
    </w:div>
    <w:div w:id="1747073385">
      <w:bodyDiv w:val="1"/>
      <w:marLeft w:val="0"/>
      <w:marRight w:val="0"/>
      <w:marTop w:val="0"/>
      <w:marBottom w:val="0"/>
      <w:divBdr>
        <w:top w:val="none" w:sz="0" w:space="0" w:color="auto"/>
        <w:left w:val="none" w:sz="0" w:space="0" w:color="auto"/>
        <w:bottom w:val="none" w:sz="0" w:space="0" w:color="auto"/>
        <w:right w:val="none" w:sz="0" w:space="0" w:color="auto"/>
      </w:divBdr>
    </w:div>
    <w:div w:id="1785271603">
      <w:bodyDiv w:val="1"/>
      <w:marLeft w:val="0"/>
      <w:marRight w:val="0"/>
      <w:marTop w:val="0"/>
      <w:marBottom w:val="0"/>
      <w:divBdr>
        <w:top w:val="none" w:sz="0" w:space="0" w:color="auto"/>
        <w:left w:val="none" w:sz="0" w:space="0" w:color="auto"/>
        <w:bottom w:val="none" w:sz="0" w:space="0" w:color="auto"/>
        <w:right w:val="none" w:sz="0" w:space="0" w:color="auto"/>
      </w:divBdr>
    </w:div>
    <w:div w:id="188752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00E58-9D46-46D8-8C58-6887DE64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8</Pages>
  <Words>3213</Words>
  <Characters>18320</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2015-10-13T13:53:00Z</cp:lastPrinted>
  <dcterms:created xsi:type="dcterms:W3CDTF">2017-01-25T00:45:00Z</dcterms:created>
  <dcterms:modified xsi:type="dcterms:W3CDTF">2017-01-25T00:45:00Z</dcterms:modified>
</cp:coreProperties>
</file>