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2E40FC">
            <w:pPr>
              <w:jc w:val="right"/>
            </w:pPr>
            <w:r w:rsidRPr="008216A5">
              <w:rPr>
                <w:sz w:val="40"/>
              </w:rPr>
              <w:t>CCPR</w:t>
            </w:r>
            <w:r>
              <w:t>/C/1</w:t>
            </w:r>
            <w:r w:rsidR="00711F00">
              <w:t>1</w:t>
            </w:r>
            <w:r w:rsidR="00540F02">
              <w:t>3</w:t>
            </w:r>
            <w:r>
              <w:t>/D/</w:t>
            </w:r>
            <w:r w:rsidR="00A165F9">
              <w:t>2054</w:t>
            </w:r>
            <w:r>
              <w:t>/</w:t>
            </w:r>
            <w:r w:rsidR="00AE50CE">
              <w:t>20</w:t>
            </w:r>
            <w:r w:rsidR="00540F02">
              <w:t>1</w:t>
            </w:r>
            <w:r w:rsidR="00A165F9">
              <w:t>1</w:t>
            </w:r>
          </w:p>
        </w:tc>
      </w:tr>
      <w:tr w:rsidR="00B56E9C" w:rsidTr="00A9008E">
        <w:trPr>
          <w:cantSplit/>
          <w:trHeight w:hRule="exact" w:val="2706"/>
        </w:trPr>
        <w:tc>
          <w:tcPr>
            <w:tcW w:w="1276" w:type="dxa"/>
            <w:tcBorders>
              <w:top w:val="single" w:sz="4" w:space="0" w:color="auto"/>
              <w:bottom w:val="single" w:sz="12" w:space="0" w:color="auto"/>
            </w:tcBorders>
          </w:tcPr>
          <w:p w:rsidR="00B56E9C" w:rsidRDefault="00AA79BE" w:rsidP="00B6553F">
            <w:pPr>
              <w:spacing w:before="120"/>
            </w:pPr>
            <w:r>
              <w:rPr>
                <w:noProof/>
                <w:lang w:val="en-US"/>
              </w:rPr>
              <w:drawing>
                <wp:inline distT="0" distB="0" distL="0" distR="0">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3F63C8" w:rsidRPr="00AA79BE"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3F63C8">
              <w:t>General</w:t>
            </w:r>
          </w:p>
          <w:p w:rsidR="008216A5" w:rsidRDefault="009C23B5" w:rsidP="008216A5">
            <w:pPr>
              <w:spacing w:line="240" w:lineRule="exact"/>
            </w:pPr>
            <w:r>
              <w:t>7</w:t>
            </w:r>
            <w:r w:rsidR="00473E54">
              <w:t xml:space="preserve"> </w:t>
            </w:r>
            <w:r w:rsidR="00AF0412">
              <w:t>May</w:t>
            </w:r>
            <w:r w:rsidR="00C11092">
              <w:t xml:space="preserve"> </w:t>
            </w:r>
            <w:r w:rsidR="008216A5">
              <w:t>201</w:t>
            </w:r>
            <w:r w:rsidR="00540F02">
              <w:t>5</w:t>
            </w:r>
          </w:p>
          <w:p w:rsidR="008216A5" w:rsidRDefault="008216A5" w:rsidP="008216A5">
            <w:pPr>
              <w:spacing w:line="240" w:lineRule="exact"/>
            </w:pPr>
          </w:p>
          <w:p w:rsidR="00001CB8"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AA79BE">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http://undocs.org/m2/QRCode.ashx?DS=CCPR/C/113/D/2054/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54/201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4AC" w:rsidRDefault="003134AC" w:rsidP="003134AC">
      <w:pPr>
        <w:pStyle w:val="HChG"/>
      </w:pPr>
      <w:r w:rsidRPr="009E31DB">
        <w:tab/>
      </w:r>
      <w:r w:rsidRPr="009E31DB">
        <w:tab/>
        <w:t xml:space="preserve">Communication No. </w:t>
      </w:r>
      <w:r w:rsidR="00A165F9">
        <w:t>2054</w:t>
      </w:r>
      <w:r>
        <w:t>/20</w:t>
      </w:r>
      <w:r w:rsidR="00540F02">
        <w:t>1</w:t>
      </w:r>
      <w:r w:rsidR="00A165F9">
        <w:t>1</w:t>
      </w:r>
    </w:p>
    <w:p w:rsidR="003134AC" w:rsidRPr="009E31DB" w:rsidRDefault="003134AC" w:rsidP="00AD6DE3">
      <w:pPr>
        <w:pStyle w:val="H1G"/>
      </w:pPr>
      <w:r>
        <w:tab/>
      </w:r>
      <w:r>
        <w:tab/>
      </w:r>
      <w:r w:rsidR="002E40FC" w:rsidRPr="00F91B3A">
        <w:t>Views adopted by the Committee at its 11</w:t>
      </w:r>
      <w:r w:rsidR="002E40FC">
        <w:t>3</w:t>
      </w:r>
      <w:r w:rsidR="002E40FC" w:rsidRPr="003A3109">
        <w:t>th</w:t>
      </w:r>
      <w:r w:rsidR="002E40FC">
        <w:t xml:space="preserve"> session</w:t>
      </w:r>
      <w:r w:rsidR="006B5065">
        <w:br/>
      </w:r>
      <w:r w:rsidR="002E40FC">
        <w:t>(</w:t>
      </w:r>
      <w:r w:rsidR="002E40FC">
        <w:rPr>
          <w:bCs/>
          <w:lang w:val="en-US"/>
        </w:rPr>
        <w:t xml:space="preserve">16 March–2 April </w:t>
      </w:r>
      <w:r w:rsidR="002E40FC" w:rsidRPr="00735F4E">
        <w:rPr>
          <w:bCs/>
          <w:lang w:val="en-US"/>
        </w:rPr>
        <w:t>201</w:t>
      </w:r>
      <w:r w:rsidR="002E40FC">
        <w:rPr>
          <w:bCs/>
          <w:lang w:val="en-US"/>
        </w:rPr>
        <w:t>5)</w:t>
      </w:r>
    </w:p>
    <w:p w:rsidR="00A8797C" w:rsidRPr="009E31DB" w:rsidRDefault="00A8797C" w:rsidP="00AA79BE">
      <w:pPr>
        <w:pStyle w:val="SingleTxtG"/>
        <w:ind w:left="5103" w:hanging="3402"/>
        <w:jc w:val="left"/>
      </w:pPr>
      <w:r w:rsidRPr="009707F5">
        <w:rPr>
          <w:i/>
        </w:rPr>
        <w:t>Submitted by:</w:t>
      </w:r>
      <w:r w:rsidRPr="009E31DB">
        <w:tab/>
      </w:r>
      <w:r w:rsidR="00F91EEE" w:rsidRPr="00FE2460">
        <w:rPr>
          <w:lang w:val="en-US"/>
        </w:rPr>
        <w:t xml:space="preserve">Mamatkarim </w:t>
      </w:r>
      <w:r w:rsidRPr="00FE2460">
        <w:rPr>
          <w:lang w:val="en-US"/>
        </w:rPr>
        <w:t xml:space="preserve">Ernazarov </w:t>
      </w:r>
      <w:r>
        <w:rPr>
          <w:lang w:val="en-US"/>
        </w:rPr>
        <w:t xml:space="preserve">(represented by counsel, </w:t>
      </w:r>
      <w:r w:rsidRPr="00FE2460">
        <w:rPr>
          <w:lang w:val="en-US"/>
        </w:rPr>
        <w:t>Saidkamal Akhmedov</w:t>
      </w:r>
      <w:r>
        <w:rPr>
          <w:lang w:val="en-US"/>
        </w:rPr>
        <w:t>)</w:t>
      </w:r>
    </w:p>
    <w:p w:rsidR="00A8797C" w:rsidRPr="00A9008E" w:rsidRDefault="00A8797C" w:rsidP="00AA79BE">
      <w:pPr>
        <w:pStyle w:val="SingleTxtG"/>
        <w:ind w:left="5103" w:hanging="3402"/>
        <w:jc w:val="left"/>
        <w:rPr>
          <w:lang w:val="en-GB"/>
        </w:rPr>
      </w:pPr>
      <w:r w:rsidRPr="009707F5">
        <w:rPr>
          <w:i/>
        </w:rPr>
        <w:t>Alleged victim:</w:t>
      </w:r>
      <w:r w:rsidRPr="009E31DB">
        <w:tab/>
        <w:t>The author</w:t>
      </w:r>
      <w:r w:rsidRPr="00A8797C">
        <w:rPr>
          <w:lang w:val="en-GB"/>
        </w:rPr>
        <w:t>’</w:t>
      </w:r>
      <w:r w:rsidRPr="00A9008E">
        <w:rPr>
          <w:lang w:val="en-GB"/>
        </w:rPr>
        <w:t>s</w:t>
      </w:r>
      <w:r>
        <w:rPr>
          <w:lang w:val="en-GB"/>
        </w:rPr>
        <w:t xml:space="preserve"> brother </w:t>
      </w:r>
      <w:r w:rsidR="00F91EEE" w:rsidRPr="00FE2460">
        <w:rPr>
          <w:lang w:val="en-US"/>
        </w:rPr>
        <w:t xml:space="preserve">Rakhmonberdi </w:t>
      </w:r>
      <w:r w:rsidRPr="00FE2460">
        <w:rPr>
          <w:lang w:val="en-US"/>
        </w:rPr>
        <w:t xml:space="preserve">Ernazarov </w:t>
      </w:r>
    </w:p>
    <w:p w:rsidR="00A8797C" w:rsidRPr="00A9008E" w:rsidRDefault="00A8797C" w:rsidP="00AA79BE">
      <w:pPr>
        <w:pStyle w:val="SingleTxtG"/>
        <w:ind w:left="5103" w:hanging="3402"/>
        <w:jc w:val="left"/>
        <w:rPr>
          <w:lang w:val="en-GB"/>
        </w:rPr>
      </w:pPr>
      <w:r w:rsidRPr="009707F5">
        <w:rPr>
          <w:i/>
        </w:rPr>
        <w:t>State party:</w:t>
      </w:r>
      <w:r w:rsidRPr="009E31DB">
        <w:tab/>
      </w:r>
      <w:r w:rsidRPr="00E76B4C">
        <w:rPr>
          <w:lang w:val="en-US"/>
        </w:rPr>
        <w:t>Kyrgyzstan</w:t>
      </w:r>
    </w:p>
    <w:p w:rsidR="00A8797C" w:rsidRPr="009E31DB" w:rsidRDefault="00A8797C" w:rsidP="00AA79BE">
      <w:pPr>
        <w:pStyle w:val="SingleTxtG"/>
        <w:ind w:left="5103" w:hanging="3402"/>
        <w:jc w:val="left"/>
      </w:pPr>
      <w:r w:rsidRPr="009707F5">
        <w:rPr>
          <w:i/>
        </w:rPr>
        <w:t>Date of communication:</w:t>
      </w:r>
      <w:r w:rsidRPr="009E31DB">
        <w:tab/>
      </w:r>
      <w:r>
        <w:rPr>
          <w:lang w:val="en-GB"/>
        </w:rPr>
        <w:t>11 March 2011</w:t>
      </w:r>
      <w:r w:rsidRPr="009E31DB">
        <w:t xml:space="preserve"> (initial submission)</w:t>
      </w:r>
      <w:r w:rsidRPr="009E31DB">
        <w:tab/>
      </w:r>
    </w:p>
    <w:p w:rsidR="003134AC" w:rsidRPr="009E31DB" w:rsidRDefault="003134AC" w:rsidP="00AA79BE">
      <w:pPr>
        <w:pStyle w:val="SingleTxtG"/>
        <w:ind w:left="5103" w:hanging="3402"/>
        <w:jc w:val="left"/>
      </w:pPr>
      <w:r w:rsidRPr="009707F5">
        <w:rPr>
          <w:i/>
        </w:rPr>
        <w:t>Document references:</w:t>
      </w:r>
      <w:r w:rsidRPr="009E31DB">
        <w:tab/>
        <w:t>Special Rapporteur’s rule</w:t>
      </w:r>
      <w:r w:rsidR="00D46C27">
        <w:rPr>
          <w:lang w:val="en-GB"/>
        </w:rPr>
        <w:t xml:space="preserve"> 92 and rule</w:t>
      </w:r>
      <w:r w:rsidRPr="009E31DB">
        <w:t xml:space="preserve"> 97 decision, transmitted to the State party on </w:t>
      </w:r>
      <w:r w:rsidR="0039008D" w:rsidRPr="009040CE">
        <w:rPr>
          <w:lang w:val="en-GB"/>
        </w:rPr>
        <w:t>26</w:t>
      </w:r>
      <w:r w:rsidR="006B5065">
        <w:rPr>
          <w:lang w:val="en-GB"/>
        </w:rPr>
        <w:t> </w:t>
      </w:r>
      <w:r w:rsidR="0039008D" w:rsidRPr="009040CE">
        <w:rPr>
          <w:lang w:val="en-GB"/>
        </w:rPr>
        <w:t>April 2011</w:t>
      </w:r>
      <w:r>
        <w:t xml:space="preserve"> </w:t>
      </w:r>
      <w:r w:rsidRPr="009E31DB">
        <w:t xml:space="preserve">(not issued in </w:t>
      </w:r>
      <w:r>
        <w:t xml:space="preserve">a </w:t>
      </w:r>
      <w:r w:rsidRPr="009E31DB">
        <w:t>document form)</w:t>
      </w:r>
    </w:p>
    <w:p w:rsidR="00317ADA" w:rsidRDefault="003134AC" w:rsidP="00AA79BE">
      <w:pPr>
        <w:pStyle w:val="SingleTxtG"/>
        <w:ind w:left="5103" w:hanging="3402"/>
        <w:jc w:val="left"/>
        <w:rPr>
          <w:lang w:val="en-GB"/>
        </w:rPr>
      </w:pPr>
      <w:r w:rsidRPr="009707F5">
        <w:rPr>
          <w:i/>
        </w:rPr>
        <w:t>Date of adoption of Views:</w:t>
      </w:r>
      <w:r w:rsidRPr="009E31DB">
        <w:tab/>
      </w:r>
      <w:r w:rsidR="0033114D" w:rsidRPr="003A3109">
        <w:rPr>
          <w:lang w:val="en-GB"/>
        </w:rPr>
        <w:t xml:space="preserve">25 </w:t>
      </w:r>
      <w:r w:rsidR="001844A0">
        <w:rPr>
          <w:lang w:val="en-GB"/>
        </w:rPr>
        <w:t>March</w:t>
      </w:r>
      <w:r w:rsidRPr="009E31DB">
        <w:t xml:space="preserve"> 201</w:t>
      </w:r>
      <w:r w:rsidR="001844A0" w:rsidRPr="001844A0">
        <w:rPr>
          <w:lang w:val="en-GB"/>
        </w:rPr>
        <w:t>5</w:t>
      </w:r>
    </w:p>
    <w:p w:rsidR="003134AC" w:rsidRPr="00CF39B7" w:rsidRDefault="006B5065" w:rsidP="00AA79BE">
      <w:pPr>
        <w:pStyle w:val="SingleTxtG"/>
        <w:ind w:left="5103" w:hanging="3402"/>
        <w:jc w:val="left"/>
        <w:rPr>
          <w:lang w:val="en-GB"/>
        </w:rPr>
      </w:pPr>
      <w:r w:rsidRPr="009E31DB">
        <w:rPr>
          <w:i/>
          <w:iCs/>
        </w:rPr>
        <w:t>Subject matter:</w:t>
      </w:r>
      <w:r w:rsidRPr="003A3109">
        <w:rPr>
          <w:i/>
          <w:iCs/>
          <w:lang w:val="en-US"/>
        </w:rPr>
        <w:tab/>
      </w:r>
      <w:r w:rsidR="00C43DA5">
        <w:rPr>
          <w:lang w:val="en-US"/>
        </w:rPr>
        <w:t>Death</w:t>
      </w:r>
      <w:r w:rsidR="000A1B9B">
        <w:rPr>
          <w:lang w:val="en-US"/>
        </w:rPr>
        <w:t xml:space="preserve"> of the </w:t>
      </w:r>
      <w:r w:rsidR="000A1B9B">
        <w:rPr>
          <w:lang w:val="en-GB"/>
        </w:rPr>
        <w:t>a</w:t>
      </w:r>
      <w:r w:rsidRPr="00CF39B7">
        <w:rPr>
          <w:lang w:val="en-GB"/>
        </w:rPr>
        <w:t xml:space="preserve">uthor’s </w:t>
      </w:r>
      <w:r w:rsidRPr="00E76B4C">
        <w:rPr>
          <w:lang w:val="en-US"/>
        </w:rPr>
        <w:t>brother</w:t>
      </w:r>
      <w:r>
        <w:rPr>
          <w:lang w:val="en-GB"/>
        </w:rPr>
        <w:t xml:space="preserve"> while in custody of the police</w:t>
      </w:r>
    </w:p>
    <w:p w:rsidR="001A1BF9" w:rsidRPr="0058477C" w:rsidRDefault="006E279A" w:rsidP="00AA79BE">
      <w:pPr>
        <w:pStyle w:val="SingleTxtG"/>
        <w:ind w:left="5103" w:hanging="3402"/>
        <w:jc w:val="left"/>
        <w:rPr>
          <w:lang w:val="en-GB"/>
        </w:rPr>
      </w:pPr>
      <w:r>
        <w:rPr>
          <w:i/>
          <w:iCs/>
        </w:rPr>
        <w:t>Procedural issues:</w:t>
      </w:r>
      <w:r w:rsidR="001A1BF9" w:rsidRPr="005B6047">
        <w:rPr>
          <w:i/>
          <w:iCs/>
        </w:rPr>
        <w:tab/>
      </w:r>
      <w:r w:rsidR="001A1BF9" w:rsidRPr="0058477C">
        <w:rPr>
          <w:iCs/>
          <w:lang w:val="en-GB"/>
        </w:rPr>
        <w:t>Exhaustion of domestic remedies</w:t>
      </w:r>
    </w:p>
    <w:p w:rsidR="00CF39B7" w:rsidRPr="00CF39B7" w:rsidRDefault="003134AC" w:rsidP="00AA79BE">
      <w:pPr>
        <w:pStyle w:val="SingleTxtG"/>
        <w:ind w:left="5103" w:hanging="3402"/>
        <w:jc w:val="left"/>
        <w:rPr>
          <w:iCs/>
          <w:lang w:val="en-GB"/>
        </w:rPr>
      </w:pPr>
      <w:r w:rsidRPr="005B6047">
        <w:rPr>
          <w:i/>
          <w:iCs/>
        </w:rPr>
        <w:t>S</w:t>
      </w:r>
      <w:r w:rsidR="006E279A">
        <w:rPr>
          <w:i/>
          <w:iCs/>
        </w:rPr>
        <w:t>ubstantive issues:</w:t>
      </w:r>
      <w:r w:rsidRPr="005B6047">
        <w:rPr>
          <w:i/>
          <w:iCs/>
        </w:rPr>
        <w:tab/>
      </w:r>
      <w:r w:rsidR="00CF39B7" w:rsidRPr="00CF39B7">
        <w:rPr>
          <w:iCs/>
          <w:lang w:val="en-GB"/>
        </w:rPr>
        <w:t>Life; effective remedy</w:t>
      </w:r>
      <w:r w:rsidR="00CF39B7">
        <w:rPr>
          <w:iCs/>
          <w:lang w:val="en-GB"/>
        </w:rPr>
        <w:t>; torture</w:t>
      </w:r>
      <w:r w:rsidR="00C43DA5">
        <w:rPr>
          <w:iCs/>
          <w:lang w:val="en-GB"/>
        </w:rPr>
        <w:t>;</w:t>
      </w:r>
      <w:r w:rsidR="00CF39B7">
        <w:rPr>
          <w:iCs/>
          <w:lang w:val="en-GB"/>
        </w:rPr>
        <w:t xml:space="preserve"> prompt and impartial </w:t>
      </w:r>
      <w:r w:rsidR="00CF39B7" w:rsidRPr="00E76B4C">
        <w:rPr>
          <w:lang w:val="en-US"/>
        </w:rPr>
        <w:t>investigation</w:t>
      </w:r>
    </w:p>
    <w:p w:rsidR="005C11C1" w:rsidRPr="005C11C1" w:rsidRDefault="003134AC" w:rsidP="00AA79BE">
      <w:pPr>
        <w:pStyle w:val="SingleTxtG"/>
        <w:ind w:left="5103" w:hanging="3402"/>
        <w:jc w:val="left"/>
        <w:rPr>
          <w:lang w:val="en-GB"/>
        </w:rPr>
      </w:pPr>
      <w:r w:rsidRPr="005C11C1">
        <w:rPr>
          <w:i/>
          <w:iCs/>
        </w:rPr>
        <w:t>Articles of the Covenant:</w:t>
      </w:r>
      <w:r w:rsidRPr="005C11C1">
        <w:tab/>
      </w:r>
      <w:r w:rsidR="00C43DA5">
        <w:rPr>
          <w:lang w:val="en-US"/>
        </w:rPr>
        <w:t xml:space="preserve">Articles </w:t>
      </w:r>
      <w:r w:rsidR="008743E9" w:rsidRPr="00FE2460">
        <w:rPr>
          <w:lang w:val="en-US"/>
        </w:rPr>
        <w:t>6</w:t>
      </w:r>
      <w:r w:rsidR="006B5065">
        <w:rPr>
          <w:lang w:val="en-US"/>
        </w:rPr>
        <w:t> </w:t>
      </w:r>
      <w:r w:rsidR="00C43DA5">
        <w:rPr>
          <w:lang w:val="en-US"/>
        </w:rPr>
        <w:t>(</w:t>
      </w:r>
      <w:r w:rsidR="008743E9" w:rsidRPr="00FE2460">
        <w:rPr>
          <w:lang w:val="en-US"/>
        </w:rPr>
        <w:t>1</w:t>
      </w:r>
      <w:r w:rsidR="00C43DA5">
        <w:rPr>
          <w:lang w:val="en-US"/>
        </w:rPr>
        <w:t>)</w:t>
      </w:r>
      <w:r w:rsidR="008743E9" w:rsidRPr="00FE2460">
        <w:rPr>
          <w:lang w:val="en-US"/>
        </w:rPr>
        <w:t xml:space="preserve"> and 7</w:t>
      </w:r>
      <w:r w:rsidR="001A1BF9">
        <w:rPr>
          <w:lang w:val="en-US"/>
        </w:rPr>
        <w:t xml:space="preserve"> alone and</w:t>
      </w:r>
      <w:r w:rsidR="008743E9" w:rsidRPr="00FE2460">
        <w:rPr>
          <w:lang w:val="en-US"/>
        </w:rPr>
        <w:t xml:space="preserve"> in conjunction with</w:t>
      </w:r>
      <w:r w:rsidR="00C43DA5">
        <w:rPr>
          <w:lang w:val="en-US"/>
        </w:rPr>
        <w:t xml:space="preserve"> article</w:t>
      </w:r>
      <w:r w:rsidR="008743E9" w:rsidRPr="00FE2460">
        <w:rPr>
          <w:lang w:val="en-US"/>
        </w:rPr>
        <w:t xml:space="preserve"> 2</w:t>
      </w:r>
      <w:r w:rsidR="006B5065">
        <w:rPr>
          <w:lang w:val="en-US"/>
        </w:rPr>
        <w:t> </w:t>
      </w:r>
      <w:r w:rsidR="00C43DA5">
        <w:rPr>
          <w:lang w:val="en-US"/>
        </w:rPr>
        <w:t>(</w:t>
      </w:r>
      <w:r w:rsidR="008743E9" w:rsidRPr="00FE2460">
        <w:rPr>
          <w:lang w:val="en-US"/>
        </w:rPr>
        <w:t>3</w:t>
      </w:r>
      <w:r w:rsidR="00C43DA5">
        <w:rPr>
          <w:lang w:val="en-US"/>
        </w:rPr>
        <w:t>)</w:t>
      </w:r>
    </w:p>
    <w:p w:rsidR="00A9008E" w:rsidRPr="00317ADA" w:rsidRDefault="003134AC" w:rsidP="00AA79BE">
      <w:pPr>
        <w:pStyle w:val="SingleTxtG"/>
        <w:ind w:left="5103" w:hanging="3402"/>
        <w:jc w:val="left"/>
        <w:rPr>
          <w:lang w:val="en-GB"/>
        </w:rPr>
      </w:pPr>
      <w:r w:rsidRPr="009E31DB">
        <w:rPr>
          <w:i/>
          <w:iCs/>
        </w:rPr>
        <w:t>Art</w:t>
      </w:r>
      <w:r>
        <w:rPr>
          <w:i/>
          <w:iCs/>
        </w:rPr>
        <w:t>icles of the Optional Protocol:</w:t>
      </w:r>
      <w:r w:rsidR="00735F4E" w:rsidRPr="00735F4E">
        <w:rPr>
          <w:i/>
          <w:iCs/>
          <w:lang w:val="en-GB"/>
        </w:rPr>
        <w:tab/>
      </w:r>
      <w:r w:rsidR="00526666">
        <w:rPr>
          <w:lang w:val="en-GB"/>
        </w:rPr>
        <w:t xml:space="preserve">Article </w:t>
      </w:r>
      <w:r w:rsidR="001A1BF9">
        <w:rPr>
          <w:iCs/>
          <w:lang w:val="en-GB"/>
        </w:rPr>
        <w:t>5</w:t>
      </w:r>
      <w:r w:rsidR="006B5065">
        <w:rPr>
          <w:lang w:val="en-US"/>
        </w:rPr>
        <w:t> </w:t>
      </w:r>
      <w:r w:rsidR="00C43DA5">
        <w:rPr>
          <w:lang w:val="en-US"/>
        </w:rPr>
        <w:t>(</w:t>
      </w:r>
      <w:r w:rsidR="001A1BF9">
        <w:rPr>
          <w:iCs/>
          <w:lang w:val="en-GB"/>
        </w:rPr>
        <w:t>2 (b)</w:t>
      </w:r>
      <w:r w:rsidR="00C43DA5">
        <w:rPr>
          <w:iCs/>
          <w:lang w:val="en-GB"/>
        </w:rPr>
        <w:t>)</w:t>
      </w:r>
    </w:p>
    <w:p w:rsidR="003134AC" w:rsidRPr="009E31DB" w:rsidRDefault="003134AC" w:rsidP="003A3109">
      <w:pPr>
        <w:pStyle w:val="SingleTxtG"/>
        <w:rPr>
          <w:bCs/>
          <w:iCs/>
        </w:rPr>
      </w:pPr>
    </w:p>
    <w:p w:rsidR="003134AC" w:rsidRPr="009E31DB" w:rsidRDefault="003134AC" w:rsidP="003134AC">
      <w:pPr>
        <w:pStyle w:val="HChG"/>
      </w:pPr>
      <w:r w:rsidRPr="009E31DB">
        <w:br w:type="page"/>
      </w:r>
      <w:r w:rsidRPr="009E31DB">
        <w:lastRenderedPageBreak/>
        <w:t>Annex</w:t>
      </w:r>
    </w:p>
    <w:p w:rsidR="003134AC" w:rsidRPr="009E31DB" w:rsidRDefault="003134AC" w:rsidP="00CB6D80">
      <w:pPr>
        <w:pStyle w:val="HChG"/>
        <w:rPr>
          <w:bCs/>
        </w:rPr>
      </w:pPr>
      <w:r w:rsidRPr="009E31DB">
        <w:tab/>
      </w:r>
      <w:r w:rsidRPr="009E31DB">
        <w:tab/>
        <w:t xml:space="preserve">Views of the Human Rights Committee under article 5 </w:t>
      </w:r>
      <w:r w:rsidR="00F576D8">
        <w:t>(</w:t>
      </w:r>
      <w:r w:rsidRPr="009E31DB">
        <w:t>4</w:t>
      </w:r>
      <w:r w:rsidR="00F576D8">
        <w:t>)</w:t>
      </w:r>
      <w:r w:rsidRPr="009E31DB">
        <w:t xml:space="preserve"> of the Optional Protocol to the International Covenant on Civil and Political </w:t>
      </w:r>
      <w:r w:rsidR="00C43DA5">
        <w:t>R</w:t>
      </w:r>
      <w:r w:rsidRPr="009E31DB">
        <w:t>ights (</w:t>
      </w:r>
      <w:r>
        <w:t>11</w:t>
      </w:r>
      <w:r w:rsidR="001844A0">
        <w:t>3</w:t>
      </w:r>
      <w:r>
        <w:t xml:space="preserve">th </w:t>
      </w:r>
      <w:r w:rsidRPr="009E31DB">
        <w:rPr>
          <w:bCs/>
        </w:rPr>
        <w:t>session)</w:t>
      </w:r>
    </w:p>
    <w:p w:rsidR="003134AC" w:rsidRPr="009E31DB" w:rsidRDefault="003134AC" w:rsidP="003134AC">
      <w:pPr>
        <w:pStyle w:val="SingleTxtG"/>
        <w:rPr>
          <w:b/>
          <w:bCs/>
        </w:rPr>
      </w:pPr>
      <w:r w:rsidRPr="009E31DB">
        <w:t>concerning</w:t>
      </w:r>
    </w:p>
    <w:p w:rsidR="003134AC" w:rsidRPr="009E31DB" w:rsidRDefault="003134AC" w:rsidP="006E279A">
      <w:pPr>
        <w:pStyle w:val="H1G"/>
      </w:pPr>
      <w:r w:rsidRPr="009E31DB">
        <w:tab/>
      </w:r>
      <w:r w:rsidRPr="009E31DB">
        <w:tab/>
        <w:t xml:space="preserve">Communication </w:t>
      </w:r>
      <w:r w:rsidRPr="006E279A">
        <w:t>No</w:t>
      </w:r>
      <w:r w:rsidRPr="009E31DB">
        <w:t xml:space="preserve">. </w:t>
      </w:r>
      <w:r w:rsidR="00A165F9" w:rsidRPr="00317ADA">
        <w:t>2054</w:t>
      </w:r>
      <w:r>
        <w:t>/</w:t>
      </w:r>
      <w:r w:rsidR="00A165F9">
        <w:t>2011</w:t>
      </w:r>
      <w:r w:rsidR="003F63C8" w:rsidRPr="002358D7">
        <w:rPr>
          <w:rStyle w:val="FootnoteReference"/>
          <w:b w:val="0"/>
          <w:bCs/>
          <w:sz w:val="20"/>
          <w:vertAlign w:val="baseline"/>
        </w:rPr>
        <w:footnoteReference w:customMarkFollows="1" w:id="2"/>
        <w:t>*</w:t>
      </w:r>
    </w:p>
    <w:p w:rsidR="00361E8A" w:rsidRPr="009E31DB" w:rsidRDefault="00361E8A" w:rsidP="00AA79BE">
      <w:pPr>
        <w:pStyle w:val="SingleTxtG"/>
        <w:ind w:left="5103" w:hanging="3402"/>
        <w:jc w:val="left"/>
      </w:pPr>
      <w:r w:rsidRPr="009707F5">
        <w:rPr>
          <w:i/>
        </w:rPr>
        <w:t>Submitted by:</w:t>
      </w:r>
      <w:r w:rsidRPr="009E31DB">
        <w:tab/>
      </w:r>
      <w:r w:rsidR="00F91EEE" w:rsidRPr="00FE2460">
        <w:rPr>
          <w:lang w:val="en-US"/>
        </w:rPr>
        <w:t xml:space="preserve">Mamatkarim </w:t>
      </w:r>
      <w:r w:rsidR="00A8797C" w:rsidRPr="00FE2460">
        <w:rPr>
          <w:lang w:val="en-US"/>
        </w:rPr>
        <w:t xml:space="preserve">Ernazarov </w:t>
      </w:r>
      <w:r w:rsidR="00A8797C">
        <w:rPr>
          <w:lang w:val="en-US"/>
        </w:rPr>
        <w:t xml:space="preserve">(represented by counsel, </w:t>
      </w:r>
      <w:r w:rsidR="00A8797C" w:rsidRPr="00FE2460">
        <w:rPr>
          <w:lang w:val="en-US"/>
        </w:rPr>
        <w:t>Saidkamal Akhmedov</w:t>
      </w:r>
      <w:r w:rsidR="00A8797C">
        <w:rPr>
          <w:lang w:val="en-US"/>
        </w:rPr>
        <w:t>)</w:t>
      </w:r>
    </w:p>
    <w:p w:rsidR="00361E8A" w:rsidRPr="00A9008E" w:rsidRDefault="00361E8A" w:rsidP="00AA79BE">
      <w:pPr>
        <w:pStyle w:val="SingleTxtG"/>
        <w:ind w:left="5103" w:hanging="3402"/>
        <w:jc w:val="left"/>
        <w:rPr>
          <w:lang w:val="en-GB"/>
        </w:rPr>
      </w:pPr>
      <w:r w:rsidRPr="009707F5">
        <w:rPr>
          <w:i/>
        </w:rPr>
        <w:t>Alleged victim:</w:t>
      </w:r>
      <w:r w:rsidRPr="009E31DB">
        <w:tab/>
      </w:r>
      <w:r w:rsidR="00F91EEE" w:rsidRPr="00FE2460">
        <w:rPr>
          <w:lang w:val="en-US"/>
        </w:rPr>
        <w:t xml:space="preserve">Rakhmonberdi </w:t>
      </w:r>
      <w:r w:rsidR="00A8797C" w:rsidRPr="00FE2460">
        <w:rPr>
          <w:lang w:val="en-US"/>
        </w:rPr>
        <w:t xml:space="preserve">Ernazarov </w:t>
      </w:r>
      <w:r w:rsidR="00A86DC1">
        <w:rPr>
          <w:lang w:val="en-US"/>
        </w:rPr>
        <w:t>(</w:t>
      </w:r>
      <w:r w:rsidR="00F576D8">
        <w:rPr>
          <w:lang w:val="en-US"/>
        </w:rPr>
        <w:t>t</w:t>
      </w:r>
      <w:r w:rsidR="00F576D8" w:rsidRPr="00F576D8">
        <w:rPr>
          <w:lang w:val="en-GB"/>
        </w:rPr>
        <w:t>he author’s brother</w:t>
      </w:r>
      <w:r w:rsidR="00F576D8">
        <w:rPr>
          <w:lang w:val="en-GB"/>
        </w:rPr>
        <w:t>,</w:t>
      </w:r>
      <w:r w:rsidR="00F576D8" w:rsidRPr="00F576D8">
        <w:rPr>
          <w:lang w:val="en-GB"/>
        </w:rPr>
        <w:t xml:space="preserve"> </w:t>
      </w:r>
      <w:r w:rsidR="00A86DC1">
        <w:rPr>
          <w:lang w:val="en-US"/>
        </w:rPr>
        <w:t>deceased)</w:t>
      </w:r>
    </w:p>
    <w:p w:rsidR="00361E8A" w:rsidRPr="00A9008E" w:rsidRDefault="00361E8A" w:rsidP="00AA79BE">
      <w:pPr>
        <w:pStyle w:val="SingleTxtG"/>
        <w:ind w:left="5103" w:hanging="3402"/>
        <w:jc w:val="left"/>
        <w:rPr>
          <w:lang w:val="en-GB"/>
        </w:rPr>
      </w:pPr>
      <w:r w:rsidRPr="009707F5">
        <w:rPr>
          <w:i/>
        </w:rPr>
        <w:t>State party:</w:t>
      </w:r>
      <w:r w:rsidRPr="009E31DB">
        <w:tab/>
      </w:r>
      <w:r w:rsidR="00A8797C" w:rsidRPr="00A8797C">
        <w:rPr>
          <w:lang w:val="en-GB"/>
        </w:rPr>
        <w:t>Kyrgyzstan</w:t>
      </w:r>
    </w:p>
    <w:p w:rsidR="00361E8A" w:rsidRPr="009E31DB" w:rsidRDefault="00361E8A" w:rsidP="00AA79BE">
      <w:pPr>
        <w:pStyle w:val="SingleTxtG"/>
        <w:ind w:left="5103" w:hanging="3402"/>
        <w:jc w:val="left"/>
      </w:pPr>
      <w:r w:rsidRPr="009707F5">
        <w:rPr>
          <w:i/>
        </w:rPr>
        <w:t>Date of communication:</w:t>
      </w:r>
      <w:r w:rsidRPr="009E31DB">
        <w:tab/>
      </w:r>
      <w:r>
        <w:rPr>
          <w:lang w:val="en-GB"/>
        </w:rPr>
        <w:t>1</w:t>
      </w:r>
      <w:r w:rsidR="00A8797C">
        <w:rPr>
          <w:lang w:val="en-GB"/>
        </w:rPr>
        <w:t>1</w:t>
      </w:r>
      <w:r>
        <w:rPr>
          <w:lang w:val="en-GB"/>
        </w:rPr>
        <w:t xml:space="preserve"> March 201</w:t>
      </w:r>
      <w:r w:rsidR="00A8797C">
        <w:rPr>
          <w:lang w:val="en-GB"/>
        </w:rPr>
        <w:t>1</w:t>
      </w:r>
      <w:r w:rsidRPr="009E31DB">
        <w:t xml:space="preserve"> (initial </w:t>
      </w:r>
      <w:r w:rsidRPr="00E76B4C">
        <w:rPr>
          <w:lang w:val="en-US"/>
        </w:rPr>
        <w:t>submission</w:t>
      </w:r>
      <w:r w:rsidRPr="009E31DB">
        <w:t>)</w:t>
      </w:r>
      <w:r w:rsidRPr="009E31DB">
        <w:tab/>
      </w:r>
    </w:p>
    <w:p w:rsidR="003134AC" w:rsidRPr="009E31DB" w:rsidRDefault="003134AC" w:rsidP="002358D7">
      <w:pPr>
        <w:pStyle w:val="SingleTxtG"/>
        <w:spacing w:before="240"/>
      </w:pPr>
      <w:r w:rsidRPr="009E31DB">
        <w:tab/>
      </w:r>
      <w:r w:rsidRPr="009707F5">
        <w:rPr>
          <w:i/>
        </w:rPr>
        <w:t>The Human Rights Committee</w:t>
      </w:r>
      <w:r w:rsidRPr="009E31DB">
        <w:t xml:space="preserve">, established under </w:t>
      </w:r>
      <w:r w:rsidR="006B5065">
        <w:t>article </w:t>
      </w:r>
      <w:r w:rsidRPr="009E31DB">
        <w:t xml:space="preserve">28 of the International Covenant on Civil and Political Rights, </w:t>
      </w:r>
    </w:p>
    <w:p w:rsidR="003134AC" w:rsidRPr="009E31DB" w:rsidRDefault="003134AC" w:rsidP="003134AC">
      <w:pPr>
        <w:pStyle w:val="SingleTxtG"/>
      </w:pPr>
      <w:r w:rsidRPr="009E31DB">
        <w:tab/>
      </w:r>
      <w:r w:rsidRPr="009707F5">
        <w:rPr>
          <w:i/>
        </w:rPr>
        <w:t xml:space="preserve">Meeting </w:t>
      </w:r>
      <w:r w:rsidRPr="003A3109">
        <w:rPr>
          <w:iCs/>
        </w:rPr>
        <w:t>on</w:t>
      </w:r>
      <w:r w:rsidRPr="00D334EC">
        <w:rPr>
          <w:iCs/>
        </w:rPr>
        <w:t xml:space="preserve"> </w:t>
      </w:r>
      <w:r w:rsidR="0033114D" w:rsidRPr="003A3109">
        <w:rPr>
          <w:lang w:val="en-US"/>
        </w:rPr>
        <w:t>25</w:t>
      </w:r>
      <w:r w:rsidRPr="009E31DB">
        <w:t xml:space="preserve"> </w:t>
      </w:r>
      <w:r w:rsidR="001844A0" w:rsidRPr="001844A0">
        <w:rPr>
          <w:lang w:val="en-GB"/>
        </w:rPr>
        <w:t>March</w:t>
      </w:r>
      <w:r w:rsidRPr="009E31DB">
        <w:t xml:space="preserve"> 201</w:t>
      </w:r>
      <w:r w:rsidR="001844A0" w:rsidRPr="001844A0">
        <w:rPr>
          <w:lang w:val="en-GB"/>
        </w:rPr>
        <w:t>5</w:t>
      </w:r>
      <w:r w:rsidRPr="009E31DB">
        <w:t>,</w:t>
      </w:r>
    </w:p>
    <w:p w:rsidR="003134AC" w:rsidRPr="009E31DB" w:rsidRDefault="003134AC" w:rsidP="00F576D8">
      <w:pPr>
        <w:pStyle w:val="SingleTxtG"/>
      </w:pPr>
      <w:r w:rsidRPr="009E31DB">
        <w:tab/>
      </w:r>
      <w:r w:rsidRPr="009707F5">
        <w:rPr>
          <w:i/>
        </w:rPr>
        <w:t>Having concluded</w:t>
      </w:r>
      <w:r w:rsidRPr="009E31DB">
        <w:t xml:space="preserve"> its consideration of communication No.</w:t>
      </w:r>
      <w:r w:rsidR="006B5065" w:rsidRPr="003A3109">
        <w:rPr>
          <w:lang w:val="en-US"/>
        </w:rPr>
        <w:t> </w:t>
      </w:r>
      <w:r w:rsidR="00A165F9" w:rsidRPr="00A165F9">
        <w:rPr>
          <w:lang w:val="en-GB"/>
        </w:rPr>
        <w:t>2054</w:t>
      </w:r>
      <w:r>
        <w:t>/20</w:t>
      </w:r>
      <w:r w:rsidR="001844A0" w:rsidRPr="001844A0">
        <w:rPr>
          <w:lang w:val="en-GB"/>
        </w:rPr>
        <w:t>1</w:t>
      </w:r>
      <w:r w:rsidR="00A165F9">
        <w:rPr>
          <w:lang w:val="en-GB"/>
        </w:rPr>
        <w:t>1</w:t>
      </w:r>
      <w:r w:rsidRPr="009E31DB">
        <w:t xml:space="preserve">, submitted to </w:t>
      </w:r>
      <w:r>
        <w:t>the Human Rights Committee</w:t>
      </w:r>
      <w:r w:rsidR="00F576D8">
        <w:rPr>
          <w:lang w:val="en-US"/>
        </w:rPr>
        <w:t xml:space="preserve"> </w:t>
      </w:r>
      <w:r w:rsidR="00F576D8" w:rsidRPr="00FB4423">
        <w:rPr>
          <w:lang w:val="en-US"/>
        </w:rPr>
        <w:t>by</w:t>
      </w:r>
      <w:r w:rsidRPr="00FB4423">
        <w:t xml:space="preserve"> </w:t>
      </w:r>
      <w:r w:rsidR="00F576D8" w:rsidRPr="00A82CEE">
        <w:rPr>
          <w:lang w:val="en-US"/>
        </w:rPr>
        <w:t>Mamatkarim Ernazarov</w:t>
      </w:r>
      <w:r w:rsidR="00F576D8" w:rsidRPr="00F576D8">
        <w:rPr>
          <w:lang w:val="en-US"/>
        </w:rPr>
        <w:t xml:space="preserve"> </w:t>
      </w:r>
      <w:r w:rsidRPr="009E31DB">
        <w:t>under the Optional Protocol to the International Covenant on Civil and Political Rights,</w:t>
      </w:r>
    </w:p>
    <w:p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rsidR="003134AC" w:rsidRPr="009E31DB" w:rsidRDefault="003134AC" w:rsidP="003134AC">
      <w:pPr>
        <w:pStyle w:val="SingleTxtG"/>
      </w:pPr>
      <w:r w:rsidRPr="009E31DB">
        <w:tab/>
      </w:r>
      <w:r w:rsidRPr="009707F5">
        <w:rPr>
          <w:i/>
        </w:rPr>
        <w:t xml:space="preserve">Adopts </w:t>
      </w:r>
      <w:r w:rsidRPr="003A3109">
        <w:rPr>
          <w:iCs/>
        </w:rPr>
        <w:t>the following</w:t>
      </w:r>
      <w:r w:rsidRPr="009E31DB">
        <w:t>:</w:t>
      </w:r>
    </w:p>
    <w:p w:rsidR="003134AC" w:rsidRPr="009E31DB" w:rsidRDefault="003134AC" w:rsidP="00CB6D80">
      <w:pPr>
        <w:pStyle w:val="H1G"/>
      </w:pPr>
      <w:r w:rsidRPr="009E31DB">
        <w:tab/>
      </w:r>
      <w:r w:rsidRPr="009E31DB">
        <w:tab/>
        <w:t xml:space="preserve">Views under </w:t>
      </w:r>
      <w:r w:rsidR="006B5065">
        <w:t>article </w:t>
      </w:r>
      <w:r w:rsidRPr="009E31DB">
        <w:t xml:space="preserve">5 </w:t>
      </w:r>
      <w:r w:rsidR="00F576D8">
        <w:t>(</w:t>
      </w:r>
      <w:r w:rsidRPr="009E31DB">
        <w:t>4</w:t>
      </w:r>
      <w:r w:rsidR="00F576D8">
        <w:t>)</w:t>
      </w:r>
      <w:r w:rsidRPr="009E31DB">
        <w:t xml:space="preserve"> of the </w:t>
      </w:r>
      <w:r w:rsidRPr="006E279A">
        <w:t>Optional</w:t>
      </w:r>
      <w:r w:rsidRPr="009E31DB">
        <w:t xml:space="preserve"> Protocol</w:t>
      </w:r>
    </w:p>
    <w:p w:rsidR="00FE2460" w:rsidRPr="00FE2460" w:rsidRDefault="00A9008E" w:rsidP="00C43DA5">
      <w:pPr>
        <w:pStyle w:val="SingleTxtG"/>
        <w:rPr>
          <w:lang w:val="en-US"/>
        </w:rPr>
      </w:pPr>
      <w:r w:rsidRPr="00A9008E">
        <w:rPr>
          <w:lang w:val="en-US"/>
        </w:rPr>
        <w:t>1.</w:t>
      </w:r>
      <w:r w:rsidRPr="00A9008E">
        <w:rPr>
          <w:lang w:val="en-US"/>
        </w:rPr>
        <w:tab/>
      </w:r>
      <w:r w:rsidR="00FE2460" w:rsidRPr="00FE2460">
        <w:rPr>
          <w:lang w:val="en-US"/>
        </w:rPr>
        <w:t xml:space="preserve">The author of the communication is </w:t>
      </w:r>
      <w:r w:rsidR="00F91EEE" w:rsidRPr="00FE2460">
        <w:rPr>
          <w:lang w:val="en-US"/>
        </w:rPr>
        <w:t xml:space="preserve">Mamatkarim </w:t>
      </w:r>
      <w:r w:rsidR="00FE2460" w:rsidRPr="00FE2460">
        <w:rPr>
          <w:lang w:val="en-US"/>
        </w:rPr>
        <w:t xml:space="preserve">Ernazarov, </w:t>
      </w:r>
      <w:r w:rsidR="00CB6D80">
        <w:rPr>
          <w:lang w:val="en-US"/>
        </w:rPr>
        <w:t xml:space="preserve">a </w:t>
      </w:r>
      <w:r w:rsidR="00FE2460" w:rsidRPr="00FE2460">
        <w:rPr>
          <w:lang w:val="en-US"/>
        </w:rPr>
        <w:t>national of Kyrgyz</w:t>
      </w:r>
      <w:r w:rsidR="00FE2460">
        <w:rPr>
          <w:lang w:val="en-US"/>
        </w:rPr>
        <w:t>stan</w:t>
      </w:r>
      <w:r w:rsidR="00FE2460" w:rsidRPr="00FE2460">
        <w:rPr>
          <w:lang w:val="en-US"/>
        </w:rPr>
        <w:t xml:space="preserve">, born on 2 July 1967. The communication is presented on behalf of the author’s brother, </w:t>
      </w:r>
      <w:r w:rsidR="00F91EEE" w:rsidRPr="00FE2460">
        <w:rPr>
          <w:lang w:val="en-US"/>
        </w:rPr>
        <w:t xml:space="preserve">Rakhmonberdi </w:t>
      </w:r>
      <w:r w:rsidR="00FE2460" w:rsidRPr="00FE2460">
        <w:rPr>
          <w:lang w:val="en-US"/>
        </w:rPr>
        <w:t xml:space="preserve">Ernazarov (deceased). The author claims </w:t>
      </w:r>
      <w:r w:rsidR="00FE2460">
        <w:rPr>
          <w:lang w:val="en-US"/>
        </w:rPr>
        <w:t xml:space="preserve">that his brother’s rights under </w:t>
      </w:r>
      <w:r w:rsidR="006B5065">
        <w:rPr>
          <w:lang w:val="en-US"/>
        </w:rPr>
        <w:t>article</w:t>
      </w:r>
      <w:r w:rsidR="00CB6D80">
        <w:rPr>
          <w:lang w:val="en-US"/>
        </w:rPr>
        <w:t>s</w:t>
      </w:r>
      <w:r w:rsidR="006B5065">
        <w:rPr>
          <w:lang w:val="en-US"/>
        </w:rPr>
        <w:t> </w:t>
      </w:r>
      <w:r w:rsidR="00FE2460" w:rsidRPr="00FE2460">
        <w:rPr>
          <w:lang w:val="en-US"/>
        </w:rPr>
        <w:t>6</w:t>
      </w:r>
      <w:r w:rsidR="00CB6D80">
        <w:rPr>
          <w:lang w:val="en-US"/>
        </w:rPr>
        <w:t> (</w:t>
      </w:r>
      <w:r w:rsidR="00FE2460" w:rsidRPr="00FE2460">
        <w:rPr>
          <w:lang w:val="en-US"/>
        </w:rPr>
        <w:t>1</w:t>
      </w:r>
      <w:r w:rsidR="00CB6D80">
        <w:rPr>
          <w:lang w:val="en-US"/>
        </w:rPr>
        <w:t>)</w:t>
      </w:r>
      <w:r w:rsidR="00FE2460" w:rsidRPr="00FE2460">
        <w:rPr>
          <w:lang w:val="en-US"/>
        </w:rPr>
        <w:t xml:space="preserve"> and 7</w:t>
      </w:r>
      <w:r w:rsidR="00CB6D80">
        <w:rPr>
          <w:lang w:val="en-US"/>
        </w:rPr>
        <w:t xml:space="preserve">, </w:t>
      </w:r>
      <w:r w:rsidR="00254D59">
        <w:rPr>
          <w:lang w:val="en-US"/>
        </w:rPr>
        <w:t xml:space="preserve">read </w:t>
      </w:r>
      <w:r w:rsidR="00CB6D80">
        <w:rPr>
          <w:lang w:val="en-US"/>
        </w:rPr>
        <w:t>alone</w:t>
      </w:r>
      <w:r w:rsidR="00FE2460" w:rsidRPr="00FE2460">
        <w:rPr>
          <w:lang w:val="en-US"/>
        </w:rPr>
        <w:t xml:space="preserve"> </w:t>
      </w:r>
      <w:r w:rsidR="0096325D">
        <w:rPr>
          <w:lang w:val="en-US"/>
        </w:rPr>
        <w:t xml:space="preserve">and </w:t>
      </w:r>
      <w:r w:rsidR="00FE2460" w:rsidRPr="00FE2460">
        <w:rPr>
          <w:lang w:val="en-US"/>
        </w:rPr>
        <w:t xml:space="preserve">in conjunction with </w:t>
      </w:r>
      <w:r w:rsidR="006B5065">
        <w:rPr>
          <w:lang w:val="en-US"/>
        </w:rPr>
        <w:t>article </w:t>
      </w:r>
      <w:r w:rsidR="00FE2460" w:rsidRPr="00FE2460">
        <w:rPr>
          <w:lang w:val="en-US"/>
        </w:rPr>
        <w:t>2</w:t>
      </w:r>
      <w:r w:rsidR="00254D59">
        <w:rPr>
          <w:lang w:val="en-US"/>
        </w:rPr>
        <w:t> (</w:t>
      </w:r>
      <w:r w:rsidR="00FE2460" w:rsidRPr="00FE2460">
        <w:rPr>
          <w:lang w:val="en-US"/>
        </w:rPr>
        <w:t>3</w:t>
      </w:r>
      <w:r w:rsidR="00254D59">
        <w:rPr>
          <w:lang w:val="en-US"/>
        </w:rPr>
        <w:t>)</w:t>
      </w:r>
      <w:r w:rsidR="00FE2460" w:rsidRPr="00FE2460">
        <w:rPr>
          <w:lang w:val="en-US"/>
        </w:rPr>
        <w:t xml:space="preserve"> of the Covenant</w:t>
      </w:r>
      <w:r w:rsidR="009E51FD">
        <w:rPr>
          <w:lang w:val="en-US"/>
        </w:rPr>
        <w:t>,</w:t>
      </w:r>
      <w:r w:rsidR="00FE2460">
        <w:rPr>
          <w:lang w:val="en-US"/>
        </w:rPr>
        <w:t xml:space="preserve"> </w:t>
      </w:r>
      <w:r w:rsidR="00C43DA5">
        <w:rPr>
          <w:lang w:val="en-US"/>
        </w:rPr>
        <w:t xml:space="preserve">were </w:t>
      </w:r>
      <w:r w:rsidR="00FE2460">
        <w:rPr>
          <w:lang w:val="en-US"/>
        </w:rPr>
        <w:t>violated</w:t>
      </w:r>
      <w:r w:rsidR="00FE2460" w:rsidRPr="00FE2460">
        <w:rPr>
          <w:lang w:val="en-US"/>
        </w:rPr>
        <w:t>.</w:t>
      </w:r>
      <w:r w:rsidR="00A8797C">
        <w:rPr>
          <w:rStyle w:val="FootnoteReference"/>
          <w:lang w:val="en-US"/>
        </w:rPr>
        <w:footnoteReference w:id="3"/>
      </w:r>
      <w:r w:rsidR="00FE2460" w:rsidRPr="00FE2460">
        <w:rPr>
          <w:lang w:val="en-US"/>
        </w:rPr>
        <w:t xml:space="preserve"> The author is represented by counsel</w:t>
      </w:r>
      <w:r w:rsidR="00A8797C">
        <w:rPr>
          <w:lang w:val="en-US"/>
        </w:rPr>
        <w:t>.</w:t>
      </w:r>
    </w:p>
    <w:p w:rsidR="00FE2460" w:rsidRPr="00FE2460" w:rsidRDefault="006E279A" w:rsidP="006E279A">
      <w:pPr>
        <w:pStyle w:val="H23G"/>
        <w:rPr>
          <w:lang w:val="en-US"/>
        </w:rPr>
      </w:pPr>
      <w:r>
        <w:rPr>
          <w:lang w:val="en-US"/>
        </w:rPr>
        <w:tab/>
      </w:r>
      <w:r>
        <w:rPr>
          <w:lang w:val="en-US"/>
        </w:rPr>
        <w:tab/>
      </w:r>
      <w:r w:rsidR="00FE2460" w:rsidRPr="00FE2460">
        <w:rPr>
          <w:lang w:val="en-US"/>
        </w:rPr>
        <w:t>The facts as presented by the author</w:t>
      </w:r>
    </w:p>
    <w:p w:rsidR="004A7CE7" w:rsidRDefault="006E279A" w:rsidP="009E51FD">
      <w:pPr>
        <w:pStyle w:val="SingleTxtG"/>
        <w:rPr>
          <w:lang w:val="en-US"/>
        </w:rPr>
      </w:pPr>
      <w:r>
        <w:rPr>
          <w:lang w:val="en-US"/>
        </w:rPr>
        <w:t>2.1</w:t>
      </w:r>
      <w:r w:rsidR="00FE2460" w:rsidRPr="00FE2460">
        <w:rPr>
          <w:lang w:val="en-US"/>
        </w:rPr>
        <w:tab/>
      </w:r>
      <w:r w:rsidR="00A8797C">
        <w:rPr>
          <w:lang w:val="en-US"/>
        </w:rPr>
        <w:t>The author’s brother</w:t>
      </w:r>
      <w:r w:rsidR="00A8797C" w:rsidRPr="00FE2460">
        <w:rPr>
          <w:lang w:val="en-US"/>
        </w:rPr>
        <w:t xml:space="preserve"> </w:t>
      </w:r>
      <w:r w:rsidR="00A8797C">
        <w:rPr>
          <w:lang w:val="en-US"/>
        </w:rPr>
        <w:t>was arrested on</w:t>
      </w:r>
      <w:r w:rsidR="00A8797C" w:rsidRPr="00FE2460">
        <w:rPr>
          <w:lang w:val="en-US"/>
        </w:rPr>
        <w:t xml:space="preserve"> 4 November 2005</w:t>
      </w:r>
      <w:r w:rsidR="00AB0E5D">
        <w:rPr>
          <w:lang w:val="en-US"/>
        </w:rPr>
        <w:t>,</w:t>
      </w:r>
      <w:r w:rsidR="00A8797C" w:rsidRPr="00FE2460">
        <w:rPr>
          <w:lang w:val="en-US"/>
        </w:rPr>
        <w:t xml:space="preserve"> </w:t>
      </w:r>
      <w:r w:rsidR="004A7CE7">
        <w:rPr>
          <w:lang w:val="en-US"/>
        </w:rPr>
        <w:t xml:space="preserve">as a result of a complaint that he had </w:t>
      </w:r>
      <w:r w:rsidR="001A1BF9">
        <w:rPr>
          <w:lang w:val="en-US"/>
        </w:rPr>
        <w:t xml:space="preserve">committed forced sodomy against </w:t>
      </w:r>
      <w:r w:rsidR="00A8797C" w:rsidRPr="00FE2460">
        <w:rPr>
          <w:lang w:val="en-US"/>
        </w:rPr>
        <w:t xml:space="preserve">the father of his </w:t>
      </w:r>
      <w:r w:rsidR="00F57604">
        <w:rPr>
          <w:lang w:val="en-US"/>
        </w:rPr>
        <w:t xml:space="preserve">former </w:t>
      </w:r>
      <w:r w:rsidR="00A8797C" w:rsidRPr="00FE2460">
        <w:rPr>
          <w:lang w:val="en-US"/>
        </w:rPr>
        <w:t xml:space="preserve">girlfriend. </w:t>
      </w:r>
      <w:r w:rsidR="00F57604">
        <w:rPr>
          <w:lang w:val="en-US"/>
        </w:rPr>
        <w:t xml:space="preserve">He was </w:t>
      </w:r>
      <w:r w:rsidR="00F57604">
        <w:rPr>
          <w:lang w:val="en-US"/>
        </w:rPr>
        <w:lastRenderedPageBreak/>
        <w:t>detained in the Osh C</w:t>
      </w:r>
      <w:r w:rsidR="001A1BF9">
        <w:rPr>
          <w:lang w:val="en-US"/>
        </w:rPr>
        <w:t>i</w:t>
      </w:r>
      <w:r w:rsidR="00F57604">
        <w:rPr>
          <w:lang w:val="en-US"/>
        </w:rPr>
        <w:t xml:space="preserve">ty police station. </w:t>
      </w:r>
      <w:r w:rsidR="00A8797C" w:rsidRPr="00FE2460">
        <w:rPr>
          <w:lang w:val="en-US"/>
        </w:rPr>
        <w:t xml:space="preserve">At the time of his detention, </w:t>
      </w:r>
      <w:r w:rsidR="00A8797C">
        <w:rPr>
          <w:lang w:val="en-US"/>
        </w:rPr>
        <w:t>the author’s brother</w:t>
      </w:r>
      <w:r w:rsidR="00A8797C" w:rsidRPr="00FE2460">
        <w:rPr>
          <w:lang w:val="en-US"/>
        </w:rPr>
        <w:t xml:space="preserve"> was in sound physical and mental health. </w:t>
      </w:r>
      <w:r w:rsidR="004A7CE7">
        <w:rPr>
          <w:lang w:val="en-US"/>
        </w:rPr>
        <w:t xml:space="preserve">On 7 November 2005, the author’s brother was formally charged with violating </w:t>
      </w:r>
      <w:r w:rsidR="006B5065">
        <w:rPr>
          <w:lang w:val="en-US"/>
        </w:rPr>
        <w:t>article </w:t>
      </w:r>
      <w:r w:rsidR="004A7CE7">
        <w:rPr>
          <w:lang w:val="en-US"/>
        </w:rPr>
        <w:t xml:space="preserve">130 of the Criminal Code of Kyrgyzstan, which prohibits forced sodomy. </w:t>
      </w:r>
      <w:r w:rsidR="004A7CE7" w:rsidRPr="00FE2460">
        <w:rPr>
          <w:lang w:val="en-US"/>
        </w:rPr>
        <w:t xml:space="preserve">On </w:t>
      </w:r>
      <w:r w:rsidR="004A7CE7">
        <w:rPr>
          <w:lang w:val="en-US"/>
        </w:rPr>
        <w:t>the same day</w:t>
      </w:r>
      <w:r w:rsidR="004A7CE7" w:rsidRPr="00FE2460">
        <w:rPr>
          <w:lang w:val="en-US"/>
        </w:rPr>
        <w:t xml:space="preserve">, the local prosecutor ordered that </w:t>
      </w:r>
      <w:r w:rsidR="004A7CE7">
        <w:rPr>
          <w:lang w:val="en-US"/>
        </w:rPr>
        <w:t>the author’s brother</w:t>
      </w:r>
      <w:r w:rsidR="004A7CE7" w:rsidRPr="00FE2460">
        <w:rPr>
          <w:lang w:val="en-US"/>
        </w:rPr>
        <w:t xml:space="preserve"> be transferred to </w:t>
      </w:r>
      <w:r w:rsidR="004A7CE7">
        <w:rPr>
          <w:lang w:val="en-US"/>
        </w:rPr>
        <w:t>a</w:t>
      </w:r>
      <w:r w:rsidR="004A7CE7" w:rsidRPr="00FE2460">
        <w:rPr>
          <w:lang w:val="en-US"/>
        </w:rPr>
        <w:t xml:space="preserve"> pretrial detention centre operated by the Ministry of Justice</w:t>
      </w:r>
      <w:r w:rsidR="004A7CE7">
        <w:rPr>
          <w:lang w:val="en-US"/>
        </w:rPr>
        <w:t>.</w:t>
      </w:r>
      <w:r w:rsidR="004A7CE7" w:rsidRPr="00FE2460">
        <w:rPr>
          <w:lang w:val="en-US"/>
        </w:rPr>
        <w:t xml:space="preserve"> Despite the prosecutor’s transfer order, and for reasons that were not investigated or explained by the authorities, </w:t>
      </w:r>
      <w:r w:rsidR="004A7CE7">
        <w:rPr>
          <w:lang w:val="en-US"/>
        </w:rPr>
        <w:t>the author’s brother</w:t>
      </w:r>
      <w:r w:rsidR="004A7CE7" w:rsidRPr="00FE2460">
        <w:rPr>
          <w:lang w:val="en-US"/>
        </w:rPr>
        <w:t xml:space="preserve"> continued to be held at the </w:t>
      </w:r>
      <w:r w:rsidR="004A7CE7">
        <w:rPr>
          <w:lang w:val="en-US"/>
        </w:rPr>
        <w:t>p</w:t>
      </w:r>
      <w:r w:rsidR="004A7CE7" w:rsidRPr="00FE2460">
        <w:rPr>
          <w:lang w:val="en-US"/>
        </w:rPr>
        <w:t xml:space="preserve">olice </w:t>
      </w:r>
      <w:r w:rsidR="004A7CE7">
        <w:rPr>
          <w:lang w:val="en-US"/>
        </w:rPr>
        <w:t>s</w:t>
      </w:r>
      <w:r w:rsidR="004A7CE7" w:rsidRPr="00FE2460">
        <w:rPr>
          <w:lang w:val="en-US"/>
        </w:rPr>
        <w:t>tation</w:t>
      </w:r>
      <w:r w:rsidR="004A7CE7">
        <w:rPr>
          <w:lang w:val="en-US"/>
        </w:rPr>
        <w:t xml:space="preserve"> for </w:t>
      </w:r>
      <w:r w:rsidR="009E51FD">
        <w:rPr>
          <w:lang w:val="en-US"/>
        </w:rPr>
        <w:t xml:space="preserve">a </w:t>
      </w:r>
      <w:r w:rsidR="004A7CE7">
        <w:rPr>
          <w:lang w:val="en-US"/>
        </w:rPr>
        <w:t>further 13</w:t>
      </w:r>
      <w:r w:rsidR="006B5065">
        <w:rPr>
          <w:lang w:val="en-US"/>
        </w:rPr>
        <w:t> </w:t>
      </w:r>
      <w:r w:rsidR="004A7CE7">
        <w:rPr>
          <w:lang w:val="en-US"/>
        </w:rPr>
        <w:t>days</w:t>
      </w:r>
      <w:r w:rsidR="004A7CE7" w:rsidRPr="00FE2460">
        <w:rPr>
          <w:lang w:val="en-US"/>
        </w:rPr>
        <w:t xml:space="preserve">. </w:t>
      </w:r>
    </w:p>
    <w:p w:rsidR="00FE2460" w:rsidRPr="00FE2460" w:rsidRDefault="004A7CE7" w:rsidP="00C43DA5">
      <w:pPr>
        <w:pStyle w:val="SingleTxtG"/>
        <w:rPr>
          <w:lang w:val="en-US"/>
        </w:rPr>
      </w:pPr>
      <w:r>
        <w:rPr>
          <w:lang w:val="en-US"/>
        </w:rPr>
        <w:t>2.2</w:t>
      </w:r>
      <w:r>
        <w:rPr>
          <w:lang w:val="en-US"/>
        </w:rPr>
        <w:tab/>
      </w:r>
      <w:r w:rsidR="00FE2460" w:rsidRPr="00FE2460">
        <w:rPr>
          <w:lang w:val="en-US"/>
        </w:rPr>
        <w:t xml:space="preserve">On 20 November 2005, </w:t>
      </w:r>
      <w:r>
        <w:rPr>
          <w:lang w:val="en-US"/>
        </w:rPr>
        <w:t xml:space="preserve">shortly after 6:30 </w:t>
      </w:r>
      <w:r w:rsidR="009E51FD">
        <w:rPr>
          <w:lang w:val="en-US"/>
        </w:rPr>
        <w:t>a.m.</w:t>
      </w:r>
      <w:r>
        <w:rPr>
          <w:lang w:val="en-US"/>
        </w:rPr>
        <w:t xml:space="preserve">, </w:t>
      </w:r>
      <w:r w:rsidR="00A8797C">
        <w:rPr>
          <w:lang w:val="en-US"/>
        </w:rPr>
        <w:t>the author’s brother</w:t>
      </w:r>
      <w:r w:rsidR="00FE2460" w:rsidRPr="00FE2460">
        <w:rPr>
          <w:lang w:val="en-US"/>
        </w:rPr>
        <w:t xml:space="preserve"> was found unconscious and bleeding profusely from numerous cut</w:t>
      </w:r>
      <w:r w:rsidR="009E51FD">
        <w:rPr>
          <w:lang w:val="en-US"/>
        </w:rPr>
        <w:t>s</w:t>
      </w:r>
      <w:r w:rsidR="001D4B4B">
        <w:rPr>
          <w:lang w:val="en-US"/>
        </w:rPr>
        <w:t xml:space="preserve"> </w:t>
      </w:r>
      <w:r w:rsidR="00A8797C" w:rsidRPr="00FE2460">
        <w:rPr>
          <w:lang w:val="en-US"/>
        </w:rPr>
        <w:t xml:space="preserve">in </w:t>
      </w:r>
      <w:r w:rsidR="00A8797C">
        <w:rPr>
          <w:lang w:val="en-US"/>
        </w:rPr>
        <w:t xml:space="preserve">his detention cell, which was </w:t>
      </w:r>
      <w:r w:rsidR="009E51FD">
        <w:rPr>
          <w:lang w:val="en-US"/>
        </w:rPr>
        <w:t>a</w:t>
      </w:r>
      <w:r w:rsidR="00A8797C">
        <w:rPr>
          <w:lang w:val="en-US"/>
        </w:rPr>
        <w:t xml:space="preserve"> holding cell</w:t>
      </w:r>
      <w:r w:rsidR="009E51FD">
        <w:rPr>
          <w:lang w:val="en-US"/>
        </w:rPr>
        <w:t>, measuring 3 metres by 3 metres,</w:t>
      </w:r>
      <w:r w:rsidR="00A8797C">
        <w:rPr>
          <w:lang w:val="en-US"/>
        </w:rPr>
        <w:t xml:space="preserve"> </w:t>
      </w:r>
      <w:r w:rsidR="009E51FD">
        <w:rPr>
          <w:lang w:val="en-US"/>
        </w:rPr>
        <w:t>that</w:t>
      </w:r>
      <w:r w:rsidR="00A8797C">
        <w:rPr>
          <w:lang w:val="en-US"/>
        </w:rPr>
        <w:t xml:space="preserve"> he shared</w:t>
      </w:r>
      <w:r w:rsidR="00A8797C" w:rsidRPr="00FE2460">
        <w:rPr>
          <w:lang w:val="en-US"/>
        </w:rPr>
        <w:t xml:space="preserve"> with six other men</w:t>
      </w:r>
      <w:r w:rsidR="00FE2460" w:rsidRPr="00FE2460">
        <w:rPr>
          <w:lang w:val="en-US"/>
        </w:rPr>
        <w:t xml:space="preserve">. </w:t>
      </w:r>
      <w:r>
        <w:rPr>
          <w:lang w:val="en-US"/>
        </w:rPr>
        <w:t xml:space="preserve">He had cuts on his </w:t>
      </w:r>
      <w:r w:rsidR="002B00D4">
        <w:rPr>
          <w:lang w:val="en-US"/>
        </w:rPr>
        <w:t>throat</w:t>
      </w:r>
      <w:r>
        <w:rPr>
          <w:lang w:val="en-US"/>
        </w:rPr>
        <w:t>, the inner side of his left wrist</w:t>
      </w:r>
      <w:r w:rsidR="009E51FD">
        <w:rPr>
          <w:lang w:val="en-US"/>
        </w:rPr>
        <w:t xml:space="preserve"> and</w:t>
      </w:r>
      <w:r>
        <w:rPr>
          <w:lang w:val="en-US"/>
        </w:rPr>
        <w:t xml:space="preserve"> the inner side of his left ankle</w:t>
      </w:r>
      <w:r w:rsidR="0075399C">
        <w:rPr>
          <w:lang w:val="en-US"/>
        </w:rPr>
        <w:t xml:space="preserve"> and</w:t>
      </w:r>
      <w:r>
        <w:rPr>
          <w:lang w:val="en-US"/>
        </w:rPr>
        <w:t xml:space="preserve"> abrasions </w:t>
      </w:r>
      <w:r w:rsidR="009E51FD">
        <w:rPr>
          <w:lang w:val="en-US"/>
        </w:rPr>
        <w:t>on</w:t>
      </w:r>
      <w:r>
        <w:rPr>
          <w:lang w:val="en-US"/>
        </w:rPr>
        <w:t xml:space="preserve"> his left forearm, the inner side of his right ankle and his abdomen</w:t>
      </w:r>
      <w:r w:rsidR="0075399C">
        <w:rPr>
          <w:lang w:val="en-US"/>
        </w:rPr>
        <w:t>,</w:t>
      </w:r>
      <w:r>
        <w:rPr>
          <w:lang w:val="en-US"/>
        </w:rPr>
        <w:t xml:space="preserve"> and several of his teeth were missing. </w:t>
      </w:r>
      <w:r w:rsidR="00FE2460" w:rsidRPr="00FE2460">
        <w:rPr>
          <w:lang w:val="en-US"/>
        </w:rPr>
        <w:t xml:space="preserve">After being found by the guards, </w:t>
      </w:r>
      <w:r w:rsidR="00A8797C">
        <w:rPr>
          <w:lang w:val="en-US"/>
        </w:rPr>
        <w:t>the author’s brother</w:t>
      </w:r>
      <w:r w:rsidR="00A8797C" w:rsidRPr="00FE2460">
        <w:rPr>
          <w:lang w:val="en-US"/>
        </w:rPr>
        <w:t xml:space="preserve"> </w:t>
      </w:r>
      <w:r w:rsidR="00FE2460" w:rsidRPr="00FE2460">
        <w:rPr>
          <w:lang w:val="en-US"/>
        </w:rPr>
        <w:t xml:space="preserve">was taken by ambulance to the Osh central </w:t>
      </w:r>
      <w:r w:rsidR="001D4B4B">
        <w:rPr>
          <w:lang w:val="en-US"/>
        </w:rPr>
        <w:t>h</w:t>
      </w:r>
      <w:r w:rsidR="00FE2460" w:rsidRPr="00FE2460">
        <w:rPr>
          <w:lang w:val="en-US"/>
        </w:rPr>
        <w:t>ospital</w:t>
      </w:r>
      <w:r w:rsidR="0075399C">
        <w:rPr>
          <w:lang w:val="en-US"/>
        </w:rPr>
        <w:t>,</w:t>
      </w:r>
      <w:r w:rsidR="00FE2460" w:rsidRPr="00FE2460">
        <w:rPr>
          <w:lang w:val="en-US"/>
        </w:rPr>
        <w:t xml:space="preserve"> </w:t>
      </w:r>
      <w:r w:rsidR="00A8797C">
        <w:rPr>
          <w:lang w:val="en-US"/>
        </w:rPr>
        <w:t>where he</w:t>
      </w:r>
      <w:r w:rsidR="00FE2460" w:rsidRPr="00FE2460">
        <w:rPr>
          <w:lang w:val="en-US"/>
        </w:rPr>
        <w:t xml:space="preserve"> died shortly after his arrival. </w:t>
      </w:r>
      <w:r>
        <w:rPr>
          <w:lang w:val="en-US"/>
        </w:rPr>
        <w:t>An autopsy was conducted the same day</w:t>
      </w:r>
      <w:r w:rsidR="00C43DA5">
        <w:rPr>
          <w:lang w:val="en-US"/>
        </w:rPr>
        <w:t>.</w:t>
      </w:r>
      <w:r>
        <w:rPr>
          <w:lang w:val="en-US"/>
        </w:rPr>
        <w:t xml:space="preserve"> </w:t>
      </w:r>
      <w:r w:rsidR="00C43DA5">
        <w:rPr>
          <w:lang w:val="en-US"/>
        </w:rPr>
        <w:t>I</w:t>
      </w:r>
      <w:r>
        <w:rPr>
          <w:lang w:val="en-US"/>
        </w:rPr>
        <w:t xml:space="preserve">n the portion </w:t>
      </w:r>
      <w:r w:rsidR="00C43DA5">
        <w:rPr>
          <w:lang w:val="en-US"/>
        </w:rPr>
        <w:t xml:space="preserve">of the autopsy report </w:t>
      </w:r>
      <w:r>
        <w:rPr>
          <w:lang w:val="en-US"/>
        </w:rPr>
        <w:t>entitled “circumstances of the case”</w:t>
      </w:r>
      <w:r w:rsidR="0075399C">
        <w:rPr>
          <w:lang w:val="en-US"/>
        </w:rPr>
        <w:t>,</w:t>
      </w:r>
      <w:r>
        <w:rPr>
          <w:lang w:val="en-US"/>
        </w:rPr>
        <w:t xml:space="preserve"> </w:t>
      </w:r>
      <w:r w:rsidR="00C43DA5">
        <w:rPr>
          <w:lang w:val="en-US"/>
        </w:rPr>
        <w:t xml:space="preserve">it was </w:t>
      </w:r>
      <w:r>
        <w:rPr>
          <w:lang w:val="en-US"/>
        </w:rPr>
        <w:t>stated that the</w:t>
      </w:r>
      <w:r w:rsidR="004C6663">
        <w:rPr>
          <w:lang w:val="en-US"/>
        </w:rPr>
        <w:t xml:space="preserve"> “prisoner Rakhmonberdi Er</w:t>
      </w:r>
      <w:r w:rsidR="00505F5B">
        <w:rPr>
          <w:lang w:val="en-US"/>
        </w:rPr>
        <w:t>nazarov, 1961, cut his throat for the purpose of committing suicide”</w:t>
      </w:r>
      <w:r w:rsidR="0075399C">
        <w:rPr>
          <w:lang w:val="en-US"/>
        </w:rPr>
        <w:t>.</w:t>
      </w:r>
    </w:p>
    <w:p w:rsidR="00FE2460" w:rsidRPr="00FE2460" w:rsidRDefault="006E279A" w:rsidP="00891CB9">
      <w:pPr>
        <w:pStyle w:val="SingleTxtG"/>
        <w:rPr>
          <w:lang w:val="en-US"/>
        </w:rPr>
      </w:pPr>
      <w:r>
        <w:rPr>
          <w:lang w:val="en-US"/>
        </w:rPr>
        <w:t>2.3</w:t>
      </w:r>
      <w:r w:rsidR="00FE2460" w:rsidRPr="00FE2460">
        <w:rPr>
          <w:lang w:val="en-US"/>
        </w:rPr>
        <w:tab/>
        <w:t>Th</w:t>
      </w:r>
      <w:r w:rsidR="00505F5B">
        <w:rPr>
          <w:lang w:val="en-US"/>
        </w:rPr>
        <w:t>e author maintains that t</w:t>
      </w:r>
      <w:r w:rsidR="00505F5B" w:rsidRPr="00FE2460">
        <w:rPr>
          <w:lang w:val="en-US"/>
        </w:rPr>
        <w:t>hroughout</w:t>
      </w:r>
      <w:r w:rsidR="00FE2460" w:rsidRPr="00FE2460">
        <w:rPr>
          <w:lang w:val="en-US"/>
        </w:rPr>
        <w:t xml:space="preserve"> the course of his confinement </w:t>
      </w:r>
      <w:r w:rsidR="00505F5B">
        <w:rPr>
          <w:lang w:val="en-US"/>
        </w:rPr>
        <w:t>his</w:t>
      </w:r>
      <w:r w:rsidR="00A8797C">
        <w:rPr>
          <w:lang w:val="en-US"/>
        </w:rPr>
        <w:t xml:space="preserve"> brother</w:t>
      </w:r>
      <w:r w:rsidR="00A8797C" w:rsidRPr="00FE2460">
        <w:rPr>
          <w:lang w:val="en-US"/>
        </w:rPr>
        <w:t xml:space="preserve"> </w:t>
      </w:r>
      <w:r w:rsidR="00FE2460" w:rsidRPr="00FE2460">
        <w:rPr>
          <w:lang w:val="en-US"/>
        </w:rPr>
        <w:t xml:space="preserve">had been subjected to psychological and physical </w:t>
      </w:r>
      <w:r w:rsidR="00891CB9">
        <w:rPr>
          <w:lang w:val="en-US"/>
        </w:rPr>
        <w:t>abuse</w:t>
      </w:r>
      <w:r w:rsidR="00891CB9" w:rsidRPr="00FE2460">
        <w:rPr>
          <w:lang w:val="en-US"/>
        </w:rPr>
        <w:t xml:space="preserve"> </w:t>
      </w:r>
      <w:r w:rsidR="00FE2460" w:rsidRPr="00FE2460">
        <w:rPr>
          <w:lang w:val="en-US"/>
        </w:rPr>
        <w:t xml:space="preserve">by other men in his cell because of the allegations against him. The authorities were aware of the abuse and also of the risk it posed to his life, but did nothing to prevent, halt or punish it. He was particularly vulnerable because he was charged with a sexual offence against another man. A guard at the police station where he was held told the family lawyer that </w:t>
      </w:r>
      <w:r w:rsidR="00A8797C">
        <w:rPr>
          <w:lang w:val="en-US"/>
        </w:rPr>
        <w:t>the author’s brother</w:t>
      </w:r>
      <w:r w:rsidR="00A8797C" w:rsidRPr="00FE2460">
        <w:rPr>
          <w:lang w:val="en-US"/>
        </w:rPr>
        <w:t xml:space="preserve"> </w:t>
      </w:r>
      <w:r w:rsidR="00891CB9">
        <w:rPr>
          <w:lang w:val="en-US"/>
        </w:rPr>
        <w:t>had been</w:t>
      </w:r>
      <w:r w:rsidR="00FE2460" w:rsidRPr="00FE2460">
        <w:rPr>
          <w:lang w:val="en-US"/>
        </w:rPr>
        <w:t xml:space="preserve"> subjected to constant insults,</w:t>
      </w:r>
      <w:r w:rsidR="00891CB9">
        <w:rPr>
          <w:lang w:val="en-US"/>
        </w:rPr>
        <w:t xml:space="preserve"> that he had been</w:t>
      </w:r>
      <w:r w:rsidR="00FE2460" w:rsidRPr="00FE2460">
        <w:rPr>
          <w:lang w:val="en-US"/>
        </w:rPr>
        <w:t xml:space="preserve"> forced to eat and sleep near the toilet, that his dish and spoon </w:t>
      </w:r>
      <w:r w:rsidR="00891CB9">
        <w:rPr>
          <w:lang w:val="en-US"/>
        </w:rPr>
        <w:t>had been</w:t>
      </w:r>
      <w:r w:rsidR="00FE2460" w:rsidRPr="00FE2460">
        <w:rPr>
          <w:lang w:val="en-US"/>
        </w:rPr>
        <w:t xml:space="preserve"> damaged by </w:t>
      </w:r>
      <w:r w:rsidR="002B00D4">
        <w:rPr>
          <w:lang w:val="en-US"/>
        </w:rPr>
        <w:t>his cellmates</w:t>
      </w:r>
      <w:r w:rsidR="00FE2460" w:rsidRPr="00FE2460">
        <w:rPr>
          <w:lang w:val="en-US"/>
        </w:rPr>
        <w:t xml:space="preserve"> to make it difficult for him to eat and </w:t>
      </w:r>
      <w:r w:rsidR="00891CB9">
        <w:rPr>
          <w:lang w:val="en-US"/>
        </w:rPr>
        <w:t xml:space="preserve">that </w:t>
      </w:r>
      <w:r w:rsidR="00FE2460" w:rsidRPr="00FE2460">
        <w:rPr>
          <w:lang w:val="en-US"/>
        </w:rPr>
        <w:t xml:space="preserve">he </w:t>
      </w:r>
      <w:r w:rsidR="00891CB9">
        <w:rPr>
          <w:lang w:val="en-US"/>
        </w:rPr>
        <w:t>had been</w:t>
      </w:r>
      <w:r w:rsidR="00FE2460" w:rsidRPr="00FE2460">
        <w:rPr>
          <w:lang w:val="en-US"/>
        </w:rPr>
        <w:t xml:space="preserve"> forced to inflict injuries upon himself with metal cutlery. </w:t>
      </w:r>
    </w:p>
    <w:p w:rsidR="00FE2460" w:rsidRPr="00FE2460" w:rsidRDefault="006E279A" w:rsidP="00FE2460">
      <w:pPr>
        <w:pStyle w:val="SingleTxtG"/>
        <w:rPr>
          <w:lang w:val="en-US"/>
        </w:rPr>
      </w:pPr>
      <w:r>
        <w:rPr>
          <w:lang w:val="en-US"/>
        </w:rPr>
        <w:t>2.4</w:t>
      </w:r>
      <w:r w:rsidR="00FE2460" w:rsidRPr="00FE2460">
        <w:rPr>
          <w:lang w:val="en-US"/>
        </w:rPr>
        <w:tab/>
        <w:t xml:space="preserve">Throughout his detention, </w:t>
      </w:r>
      <w:r w:rsidR="00A8797C">
        <w:rPr>
          <w:lang w:val="en-US"/>
        </w:rPr>
        <w:t>the author’s brother</w:t>
      </w:r>
      <w:r w:rsidR="00A8797C" w:rsidRPr="00FE2460">
        <w:rPr>
          <w:lang w:val="en-US"/>
        </w:rPr>
        <w:t xml:space="preserve"> </w:t>
      </w:r>
      <w:r w:rsidR="00FE2460" w:rsidRPr="00FE2460">
        <w:rPr>
          <w:lang w:val="en-US"/>
        </w:rPr>
        <w:t xml:space="preserve">could not be visited </w:t>
      </w:r>
      <w:r w:rsidR="001D4B4B">
        <w:rPr>
          <w:lang w:val="en-US"/>
        </w:rPr>
        <w:t>by</w:t>
      </w:r>
      <w:r w:rsidR="00FE2460" w:rsidRPr="00FE2460">
        <w:rPr>
          <w:lang w:val="en-US"/>
        </w:rPr>
        <w:t xml:space="preserve"> his family and saw his lawyer only on one occasion. </w:t>
      </w:r>
      <w:r w:rsidR="00A8797C">
        <w:rPr>
          <w:lang w:val="en-US"/>
        </w:rPr>
        <w:t>The author</w:t>
      </w:r>
      <w:r w:rsidR="00FE2460" w:rsidRPr="00FE2460">
        <w:rPr>
          <w:lang w:val="en-US"/>
        </w:rPr>
        <w:t xml:space="preserve"> and</w:t>
      </w:r>
      <w:r w:rsidR="00A8797C">
        <w:rPr>
          <w:lang w:val="en-US"/>
        </w:rPr>
        <w:t xml:space="preserve"> his</w:t>
      </w:r>
      <w:r w:rsidR="00FE2460" w:rsidRPr="00FE2460">
        <w:rPr>
          <w:lang w:val="en-US"/>
        </w:rPr>
        <w:t xml:space="preserve"> sisters made repea</w:t>
      </w:r>
      <w:r w:rsidR="001D4B4B">
        <w:rPr>
          <w:lang w:val="en-US"/>
        </w:rPr>
        <w:t>ted attempts to visit him. The p</w:t>
      </w:r>
      <w:r w:rsidR="00FE2460" w:rsidRPr="00FE2460">
        <w:rPr>
          <w:lang w:val="en-US"/>
        </w:rPr>
        <w:t xml:space="preserve">olice </w:t>
      </w:r>
      <w:r w:rsidR="001D4B4B">
        <w:rPr>
          <w:lang w:val="en-US"/>
        </w:rPr>
        <w:t>s</w:t>
      </w:r>
      <w:r w:rsidR="00FE2460" w:rsidRPr="00FE2460">
        <w:rPr>
          <w:lang w:val="en-US"/>
        </w:rPr>
        <w:t>tation did not have facilities</w:t>
      </w:r>
      <w:r w:rsidR="002B00D4">
        <w:rPr>
          <w:lang w:val="en-US"/>
        </w:rPr>
        <w:t xml:space="preserve"> where</w:t>
      </w:r>
      <w:r w:rsidR="00FE2460" w:rsidRPr="00FE2460">
        <w:rPr>
          <w:lang w:val="en-US"/>
        </w:rPr>
        <w:t xml:space="preserve"> visits by relatives</w:t>
      </w:r>
      <w:r w:rsidR="002B00D4">
        <w:rPr>
          <w:lang w:val="en-US"/>
        </w:rPr>
        <w:t xml:space="preserve"> could take place</w:t>
      </w:r>
      <w:r w:rsidR="00FE2460" w:rsidRPr="00FE2460">
        <w:rPr>
          <w:lang w:val="en-US"/>
        </w:rPr>
        <w:t xml:space="preserve">. </w:t>
      </w:r>
      <w:r w:rsidR="00A8797C">
        <w:rPr>
          <w:lang w:val="en-US"/>
        </w:rPr>
        <w:t xml:space="preserve">The </w:t>
      </w:r>
      <w:r w:rsidR="00FE2460" w:rsidRPr="00FE2460">
        <w:rPr>
          <w:lang w:val="en-US"/>
        </w:rPr>
        <w:t>family w</w:t>
      </w:r>
      <w:r w:rsidR="00A8797C">
        <w:rPr>
          <w:lang w:val="en-US"/>
        </w:rPr>
        <w:t>as</w:t>
      </w:r>
      <w:r w:rsidR="00FE2460" w:rsidRPr="00FE2460">
        <w:rPr>
          <w:lang w:val="en-US"/>
        </w:rPr>
        <w:t xml:space="preserve"> told that they were not permitted to communicate with him and that they could not send him any mail or give him any food. On one occasion when </w:t>
      </w:r>
      <w:r w:rsidR="00A8797C">
        <w:rPr>
          <w:lang w:val="en-US"/>
        </w:rPr>
        <w:t>his</w:t>
      </w:r>
      <w:r w:rsidR="00FE2460" w:rsidRPr="00FE2460">
        <w:rPr>
          <w:lang w:val="en-US"/>
        </w:rPr>
        <w:t xml:space="preserve"> sisters attempted to visit him they were told by the investigating officer in charge of his case that he was “better off dead”.</w:t>
      </w:r>
    </w:p>
    <w:p w:rsidR="00FE2460" w:rsidRPr="00FE2460" w:rsidRDefault="006E279A" w:rsidP="00BD7BE0">
      <w:pPr>
        <w:pStyle w:val="SingleTxtG"/>
        <w:rPr>
          <w:lang w:val="en-US"/>
        </w:rPr>
      </w:pPr>
      <w:r>
        <w:rPr>
          <w:lang w:val="en-US"/>
        </w:rPr>
        <w:t>2.5</w:t>
      </w:r>
      <w:r w:rsidR="00FE2460" w:rsidRPr="00FE2460">
        <w:rPr>
          <w:lang w:val="en-US"/>
        </w:rPr>
        <w:tab/>
      </w:r>
      <w:r w:rsidR="00757837">
        <w:rPr>
          <w:lang w:val="en-US"/>
        </w:rPr>
        <w:t>On 21 November 2005</w:t>
      </w:r>
      <w:r w:rsidR="001C2AF1">
        <w:rPr>
          <w:lang w:val="en-US"/>
        </w:rPr>
        <w:t>,</w:t>
      </w:r>
      <w:r w:rsidR="00757837">
        <w:rPr>
          <w:lang w:val="en-US"/>
        </w:rPr>
        <w:t xml:space="preserve"> an investigator from the Ministry of </w:t>
      </w:r>
      <w:r w:rsidR="00D334EC">
        <w:rPr>
          <w:lang w:val="en-US"/>
        </w:rPr>
        <w:t>Internal Affairs</w:t>
      </w:r>
      <w:r w:rsidR="00757837">
        <w:rPr>
          <w:lang w:val="en-US"/>
        </w:rPr>
        <w:t xml:space="preserve"> ordered an investigation into the death of </w:t>
      </w:r>
      <w:r w:rsidR="0002220F">
        <w:rPr>
          <w:lang w:val="en-US"/>
        </w:rPr>
        <w:t>Mr.</w:t>
      </w:r>
      <w:r w:rsidR="00891CB9">
        <w:rPr>
          <w:lang w:val="en-US"/>
        </w:rPr>
        <w:t xml:space="preserve"> </w:t>
      </w:r>
      <w:r w:rsidR="0002220F">
        <w:rPr>
          <w:lang w:val="en-US"/>
        </w:rPr>
        <w:t>Ernazarov</w:t>
      </w:r>
      <w:r w:rsidR="00757837">
        <w:rPr>
          <w:lang w:val="en-US"/>
        </w:rPr>
        <w:t xml:space="preserve">, which was to be led by a prosecutor from the Osh Prosecutor’s </w:t>
      </w:r>
      <w:r w:rsidR="00891CB9">
        <w:rPr>
          <w:lang w:val="en-US"/>
        </w:rPr>
        <w:t>O</w:t>
      </w:r>
      <w:r w:rsidR="00757837">
        <w:rPr>
          <w:lang w:val="en-US"/>
        </w:rPr>
        <w:t>ffice. On or around the same date</w:t>
      </w:r>
      <w:r w:rsidR="00891CB9">
        <w:rPr>
          <w:lang w:val="en-US"/>
        </w:rPr>
        <w:t>,</w:t>
      </w:r>
      <w:r w:rsidR="00757837">
        <w:rPr>
          <w:lang w:val="en-US"/>
        </w:rPr>
        <w:t xml:space="preserve"> the Department of Internal Security of the Ministry of Internal Affairs ordered an internal investigation of </w:t>
      </w:r>
      <w:r w:rsidR="00891CB9" w:rsidRPr="00891CB9">
        <w:rPr>
          <w:lang w:val="en-US"/>
        </w:rPr>
        <w:t>Mr. Ernazarov</w:t>
      </w:r>
      <w:r w:rsidR="00891CB9">
        <w:rPr>
          <w:lang w:val="en-US"/>
        </w:rPr>
        <w:t>’s</w:t>
      </w:r>
      <w:r w:rsidR="00757837">
        <w:rPr>
          <w:lang w:val="en-US"/>
        </w:rPr>
        <w:t xml:space="preserve"> death in custody.</w:t>
      </w:r>
      <w:r w:rsidR="000633F4">
        <w:rPr>
          <w:lang w:val="en-US"/>
        </w:rPr>
        <w:t xml:space="preserve"> </w:t>
      </w:r>
      <w:r w:rsidR="00FE2460" w:rsidRPr="00FE2460">
        <w:rPr>
          <w:lang w:val="en-US"/>
        </w:rPr>
        <w:t xml:space="preserve">The </w:t>
      </w:r>
      <w:r w:rsidR="004A7CE7">
        <w:rPr>
          <w:lang w:val="en-US"/>
        </w:rPr>
        <w:t>author maintains that</w:t>
      </w:r>
      <w:r w:rsidR="00757837">
        <w:rPr>
          <w:lang w:val="en-US"/>
        </w:rPr>
        <w:t xml:space="preserve"> both investigations were</w:t>
      </w:r>
      <w:r w:rsidR="00FE2460" w:rsidRPr="00FE2460">
        <w:rPr>
          <w:lang w:val="en-US"/>
        </w:rPr>
        <w:t xml:space="preserve"> perfunctory and </w:t>
      </w:r>
      <w:r w:rsidR="006750DB">
        <w:rPr>
          <w:lang w:val="en-US"/>
        </w:rPr>
        <w:t xml:space="preserve">that both </w:t>
      </w:r>
      <w:r w:rsidR="00FE2460" w:rsidRPr="00FE2460">
        <w:rPr>
          <w:lang w:val="en-US"/>
        </w:rPr>
        <w:t xml:space="preserve">concluded that </w:t>
      </w:r>
      <w:r w:rsidR="00757837">
        <w:rPr>
          <w:lang w:val="en-US"/>
        </w:rPr>
        <w:t>his brother ha</w:t>
      </w:r>
      <w:r w:rsidR="00BD7BE0">
        <w:rPr>
          <w:lang w:val="en-US"/>
        </w:rPr>
        <w:t>d</w:t>
      </w:r>
      <w:r w:rsidR="00757837">
        <w:rPr>
          <w:lang w:val="en-US"/>
        </w:rPr>
        <w:t xml:space="preserve"> committed</w:t>
      </w:r>
      <w:r w:rsidR="00FE2460" w:rsidRPr="00FE2460">
        <w:rPr>
          <w:lang w:val="en-US"/>
        </w:rPr>
        <w:t xml:space="preserve"> suicide. </w:t>
      </w:r>
      <w:r w:rsidR="00757837" w:rsidRPr="00FE2460">
        <w:rPr>
          <w:lang w:val="en-US"/>
        </w:rPr>
        <w:t xml:space="preserve">The police failed to seize important evidence, question key witnesses, undertake a proper autopsy </w:t>
      </w:r>
      <w:r w:rsidR="00AC2B3E">
        <w:rPr>
          <w:lang w:val="en-US"/>
        </w:rPr>
        <w:t>and</w:t>
      </w:r>
      <w:r w:rsidR="00757837" w:rsidRPr="00FE2460">
        <w:rPr>
          <w:lang w:val="en-US"/>
        </w:rPr>
        <w:t xml:space="preserve"> investigate </w:t>
      </w:r>
      <w:r w:rsidR="00AC2B3E">
        <w:rPr>
          <w:lang w:val="en-US"/>
        </w:rPr>
        <w:t>why</w:t>
      </w:r>
      <w:r w:rsidR="00757837" w:rsidRPr="00FE2460">
        <w:rPr>
          <w:lang w:val="en-US"/>
        </w:rPr>
        <w:t xml:space="preserve"> a vulnerable prisoner </w:t>
      </w:r>
      <w:r w:rsidR="00AC2B3E">
        <w:rPr>
          <w:lang w:val="en-US"/>
        </w:rPr>
        <w:t>had been</w:t>
      </w:r>
      <w:r w:rsidR="00757837" w:rsidRPr="00FE2460">
        <w:rPr>
          <w:lang w:val="en-US"/>
        </w:rPr>
        <w:t xml:space="preserve"> detained in such a way. </w:t>
      </w:r>
      <w:r w:rsidR="00FB0FFB">
        <w:rPr>
          <w:lang w:val="en-US"/>
        </w:rPr>
        <w:t xml:space="preserve">While </w:t>
      </w:r>
      <w:r w:rsidR="00FB0FFB" w:rsidRPr="006E279A">
        <w:t>the</w:t>
      </w:r>
      <w:r w:rsidR="00FB0FFB">
        <w:rPr>
          <w:lang w:val="en-US"/>
        </w:rPr>
        <w:t xml:space="preserve"> investigations concluded that the author’s brother had cut his own throat, no cutting instrument was ever recovered from the cell. </w:t>
      </w:r>
      <w:r w:rsidR="00542A82">
        <w:rPr>
          <w:lang w:val="en-US"/>
        </w:rPr>
        <w:t>In a</w:t>
      </w:r>
      <w:r w:rsidR="00FE2460" w:rsidRPr="00FE2460">
        <w:rPr>
          <w:lang w:val="en-US"/>
        </w:rPr>
        <w:t xml:space="preserve">n independent evaluation </w:t>
      </w:r>
      <w:r w:rsidR="00BD7BE0">
        <w:rPr>
          <w:lang w:val="en-US"/>
        </w:rPr>
        <w:t xml:space="preserve">of the </w:t>
      </w:r>
      <w:r w:rsidR="00BD7BE0" w:rsidRPr="00BD7BE0">
        <w:rPr>
          <w:lang w:val="en-US"/>
        </w:rPr>
        <w:t>autopsy report</w:t>
      </w:r>
      <w:r w:rsidR="00BD7BE0">
        <w:rPr>
          <w:lang w:val="en-US"/>
        </w:rPr>
        <w:t xml:space="preserve"> </w:t>
      </w:r>
      <w:r w:rsidR="00FE2460" w:rsidRPr="00FE2460">
        <w:rPr>
          <w:lang w:val="en-US"/>
        </w:rPr>
        <w:t xml:space="preserve">of </w:t>
      </w:r>
      <w:r w:rsidR="00A8797C">
        <w:rPr>
          <w:lang w:val="en-US"/>
        </w:rPr>
        <w:t>the author’s brother</w:t>
      </w:r>
      <w:r w:rsidR="00542A82">
        <w:rPr>
          <w:lang w:val="en-US"/>
        </w:rPr>
        <w:t>,</w:t>
      </w:r>
      <w:r w:rsidR="00FE2460" w:rsidRPr="00FE2460">
        <w:rPr>
          <w:lang w:val="en-US"/>
        </w:rPr>
        <w:t xml:space="preserve"> Physicians for Human Rights indicated that it would be impossible to conclude</w:t>
      </w:r>
      <w:r w:rsidR="00542A82">
        <w:rPr>
          <w:lang w:val="en-US"/>
        </w:rPr>
        <w:t xml:space="preserve"> </w:t>
      </w:r>
      <w:r w:rsidR="00542A82" w:rsidRPr="00542A82">
        <w:rPr>
          <w:lang w:val="en-US"/>
        </w:rPr>
        <w:t>from the autopsy report</w:t>
      </w:r>
      <w:r w:rsidR="00FE2460" w:rsidRPr="00FE2460">
        <w:rPr>
          <w:lang w:val="en-US"/>
        </w:rPr>
        <w:t xml:space="preserve"> that </w:t>
      </w:r>
      <w:r w:rsidR="00542A82" w:rsidRPr="00542A82">
        <w:rPr>
          <w:lang w:val="en-US"/>
        </w:rPr>
        <w:t>Mr. Ernazarov</w:t>
      </w:r>
      <w:r w:rsidR="00542A82">
        <w:rPr>
          <w:lang w:val="en-US"/>
        </w:rPr>
        <w:t>’s</w:t>
      </w:r>
      <w:r w:rsidR="00FE2460" w:rsidRPr="00FE2460">
        <w:rPr>
          <w:lang w:val="en-US"/>
        </w:rPr>
        <w:t xml:space="preserve"> death was</w:t>
      </w:r>
      <w:r w:rsidR="00542A82">
        <w:rPr>
          <w:lang w:val="en-US"/>
        </w:rPr>
        <w:t xml:space="preserve"> a</w:t>
      </w:r>
      <w:r w:rsidR="00FE2460" w:rsidRPr="00FE2460">
        <w:rPr>
          <w:lang w:val="en-US"/>
        </w:rPr>
        <w:t xml:space="preserve"> suicide</w:t>
      </w:r>
      <w:r w:rsidR="00A8797C">
        <w:rPr>
          <w:lang w:val="en-US"/>
        </w:rPr>
        <w:t>,</w:t>
      </w:r>
      <w:r w:rsidR="00FE2460" w:rsidRPr="00FE2460">
        <w:rPr>
          <w:lang w:val="en-US"/>
        </w:rPr>
        <w:t xml:space="preserve"> </w:t>
      </w:r>
      <w:r w:rsidR="00542A82">
        <w:rPr>
          <w:lang w:val="en-US"/>
        </w:rPr>
        <w:t xml:space="preserve">and </w:t>
      </w:r>
      <w:r w:rsidR="00FE2460" w:rsidRPr="00FE2460">
        <w:rPr>
          <w:lang w:val="en-US"/>
        </w:rPr>
        <w:t>that several i</w:t>
      </w:r>
      <w:r w:rsidR="00A8797C">
        <w:rPr>
          <w:lang w:val="en-US"/>
        </w:rPr>
        <w:t>njuries detailed in the report we</w:t>
      </w:r>
      <w:r w:rsidR="00FE2460" w:rsidRPr="00FE2460">
        <w:rPr>
          <w:lang w:val="en-US"/>
        </w:rPr>
        <w:t xml:space="preserve">re very unusual for a suicide and could indicate that </w:t>
      </w:r>
      <w:r w:rsidR="00A8797C">
        <w:rPr>
          <w:lang w:val="en-US"/>
        </w:rPr>
        <w:t>the author’s brother</w:t>
      </w:r>
      <w:r w:rsidR="00A8797C" w:rsidRPr="00FE2460">
        <w:rPr>
          <w:lang w:val="en-US"/>
        </w:rPr>
        <w:t xml:space="preserve"> </w:t>
      </w:r>
      <w:r w:rsidR="002B00D4">
        <w:rPr>
          <w:lang w:val="en-US"/>
        </w:rPr>
        <w:t>had been</w:t>
      </w:r>
      <w:r w:rsidR="00FE2460" w:rsidRPr="00FE2460">
        <w:rPr>
          <w:lang w:val="en-US"/>
        </w:rPr>
        <w:t xml:space="preserve"> trying to defend himself. </w:t>
      </w:r>
      <w:r w:rsidR="00757837">
        <w:rPr>
          <w:lang w:val="en-US"/>
        </w:rPr>
        <w:t xml:space="preserve">The report did not provide any timing for the non-lethal injuries and contained contradictory descriptions of the lethal wounds on the </w:t>
      </w:r>
      <w:r w:rsidR="002B00D4">
        <w:rPr>
          <w:lang w:val="en-US"/>
        </w:rPr>
        <w:t>throat</w:t>
      </w:r>
      <w:r w:rsidR="00757837">
        <w:rPr>
          <w:lang w:val="en-US"/>
        </w:rPr>
        <w:t>.</w:t>
      </w:r>
      <w:r w:rsidR="000633F4">
        <w:rPr>
          <w:lang w:val="en-US"/>
        </w:rPr>
        <w:t xml:space="preserve"> </w:t>
      </w:r>
    </w:p>
    <w:p w:rsidR="00E7627C" w:rsidRPr="00F035EA" w:rsidRDefault="006E279A" w:rsidP="001B4A8B">
      <w:pPr>
        <w:pStyle w:val="SingleTxtG"/>
        <w:rPr>
          <w:lang w:val="en-US"/>
        </w:rPr>
      </w:pPr>
      <w:r>
        <w:rPr>
          <w:lang w:val="en-US"/>
        </w:rPr>
        <w:lastRenderedPageBreak/>
        <w:t>2.6</w:t>
      </w:r>
      <w:r w:rsidR="00FE2460" w:rsidRPr="001C2AF1">
        <w:rPr>
          <w:lang w:val="en-US"/>
        </w:rPr>
        <w:tab/>
      </w:r>
      <w:r w:rsidR="001C2AF1" w:rsidRPr="001C2AF1">
        <w:t>The author also submits that an alleged suicide note, written on a cigarette pack</w:t>
      </w:r>
      <w:r w:rsidR="00F715CE">
        <w:rPr>
          <w:lang w:val="en-US"/>
        </w:rPr>
        <w:t>,</w:t>
      </w:r>
      <w:r w:rsidR="001C2AF1" w:rsidRPr="001C2AF1">
        <w:t xml:space="preserve"> was recovered from the detention cell</w:t>
      </w:r>
      <w:r w:rsidR="001C2AF1" w:rsidRPr="001C2AF1">
        <w:rPr>
          <w:lang w:val="en-US"/>
        </w:rPr>
        <w:t xml:space="preserve"> of his brother</w:t>
      </w:r>
      <w:r w:rsidR="001C2AF1" w:rsidRPr="001C2AF1">
        <w:t>.</w:t>
      </w:r>
      <w:r w:rsidR="001C2AF1">
        <w:rPr>
          <w:rStyle w:val="FootnoteReference"/>
          <w:lang w:val="en-GB"/>
        </w:rPr>
        <w:footnoteReference w:id="4"/>
      </w:r>
      <w:r w:rsidR="001C2AF1" w:rsidRPr="001C2AF1">
        <w:t xml:space="preserve"> However, no writing implements were recovered from the cell. The investigation ordered a</w:t>
      </w:r>
      <w:r w:rsidR="00D334EC" w:rsidRPr="003A3109">
        <w:rPr>
          <w:lang w:val="en-GB"/>
        </w:rPr>
        <w:t xml:space="preserve"> </w:t>
      </w:r>
      <w:r w:rsidR="00D334EC" w:rsidRPr="003A3109">
        <w:rPr>
          <w:lang w:val="en-US"/>
        </w:rPr>
        <w:t>forensic</w:t>
      </w:r>
      <w:r w:rsidR="00D334EC" w:rsidRPr="003A3109">
        <w:rPr>
          <w:lang w:val="en-GB"/>
        </w:rPr>
        <w:t xml:space="preserve"> </w:t>
      </w:r>
      <w:r w:rsidR="00AF2531">
        <w:rPr>
          <w:lang w:val="en-GB"/>
        </w:rPr>
        <w:t>assessment</w:t>
      </w:r>
      <w:r w:rsidR="00D334EC" w:rsidRPr="003A3109">
        <w:rPr>
          <w:lang w:val="en-GB"/>
        </w:rPr>
        <w:t xml:space="preserve"> of the </w:t>
      </w:r>
      <w:r w:rsidR="001C2AF1" w:rsidRPr="001C2AF1">
        <w:t xml:space="preserve">handwriting, </w:t>
      </w:r>
      <w:r w:rsidR="003D7581">
        <w:rPr>
          <w:lang w:val="en-US"/>
        </w:rPr>
        <w:t xml:space="preserve">in </w:t>
      </w:r>
      <w:r w:rsidR="001C2AF1" w:rsidRPr="001C2AF1">
        <w:t xml:space="preserve">which </w:t>
      </w:r>
      <w:r w:rsidR="003D7581">
        <w:rPr>
          <w:lang w:val="en-US"/>
        </w:rPr>
        <w:t xml:space="preserve">the note was </w:t>
      </w:r>
      <w:r w:rsidR="001C2AF1" w:rsidRPr="001C2AF1">
        <w:t>compared with writing samples provided by the police</w:t>
      </w:r>
      <w:r w:rsidR="00F715CE">
        <w:rPr>
          <w:lang w:val="en-US"/>
        </w:rPr>
        <w:t>,</w:t>
      </w:r>
      <w:r w:rsidR="001C2AF1" w:rsidRPr="001C2AF1">
        <w:t xml:space="preserve"> and </w:t>
      </w:r>
      <w:r w:rsidR="00D334EC" w:rsidRPr="003A3109">
        <w:rPr>
          <w:lang w:val="en-GB"/>
        </w:rPr>
        <w:t xml:space="preserve">which </w:t>
      </w:r>
      <w:r w:rsidR="001C2AF1" w:rsidRPr="001C2AF1">
        <w:t xml:space="preserve">concluded that </w:t>
      </w:r>
      <w:r w:rsidR="00F715CE">
        <w:rPr>
          <w:lang w:val="en-US"/>
        </w:rPr>
        <w:t>the note</w:t>
      </w:r>
      <w:r w:rsidR="001C2AF1" w:rsidRPr="001C2AF1">
        <w:t xml:space="preserve"> </w:t>
      </w:r>
      <w:r w:rsidR="00F715CE">
        <w:rPr>
          <w:lang w:val="en-US"/>
        </w:rPr>
        <w:t>had been</w:t>
      </w:r>
      <w:r w:rsidR="00F715CE" w:rsidRPr="001C2AF1">
        <w:t xml:space="preserve"> </w:t>
      </w:r>
      <w:r w:rsidR="001C2AF1" w:rsidRPr="001C2AF1">
        <w:t xml:space="preserve">written by </w:t>
      </w:r>
      <w:r w:rsidR="006B5065">
        <w:t>Mr. </w:t>
      </w:r>
      <w:r w:rsidR="0002220F">
        <w:t>Ernazarov.</w:t>
      </w:r>
      <w:r w:rsidR="001C2AF1" w:rsidRPr="00E7627C">
        <w:t xml:space="preserve"> However, family members familiar with the handwriting of the victim maintain that it was not written by him.</w:t>
      </w:r>
    </w:p>
    <w:p w:rsidR="00E7627C" w:rsidRPr="00F035EA" w:rsidRDefault="001C2AF1" w:rsidP="00C54100">
      <w:pPr>
        <w:pStyle w:val="SingleTxtG"/>
        <w:rPr>
          <w:lang w:val="en-US"/>
        </w:rPr>
      </w:pPr>
      <w:r w:rsidRPr="00E7627C">
        <w:t>2.7</w:t>
      </w:r>
      <w:r w:rsidRPr="00E7627C">
        <w:tab/>
      </w:r>
      <w:r w:rsidR="00FE2460" w:rsidRPr="00E7627C">
        <w:t xml:space="preserve">The author submits that </w:t>
      </w:r>
      <w:r w:rsidR="00A8797C" w:rsidRPr="00E7627C">
        <w:t xml:space="preserve">all </w:t>
      </w:r>
      <w:r w:rsidR="00FE2460" w:rsidRPr="00E7627C">
        <w:t xml:space="preserve">available domestic remedies </w:t>
      </w:r>
      <w:r w:rsidR="00A8797C" w:rsidRPr="00E7627C">
        <w:t>ha</w:t>
      </w:r>
      <w:r w:rsidR="001A1BF9">
        <w:t>ve</w:t>
      </w:r>
      <w:r w:rsidR="00A8797C" w:rsidRPr="00E7627C">
        <w:t xml:space="preserve"> been</w:t>
      </w:r>
      <w:r w:rsidR="00FE2460" w:rsidRPr="00E7627C">
        <w:t xml:space="preserve"> exhausted. Between 29 November 2005 and 2 June 2006, the family lodged seven requests with the Public Prosecutor and two complaints with the Ministry of Internal Affairs relating to the investigation </w:t>
      </w:r>
      <w:r w:rsidR="00A8797C" w:rsidRPr="00E7627C">
        <w:t xml:space="preserve">into </w:t>
      </w:r>
      <w:r w:rsidR="00C54100">
        <w:rPr>
          <w:lang w:val="en-US"/>
        </w:rPr>
        <w:t>the death of the author’s</w:t>
      </w:r>
      <w:r w:rsidR="00C54100" w:rsidRPr="00E7627C">
        <w:t xml:space="preserve"> </w:t>
      </w:r>
      <w:r w:rsidR="00A8797C" w:rsidRPr="00E7627C">
        <w:t>brother.</w:t>
      </w:r>
      <w:r w:rsidR="00FE2460" w:rsidRPr="00E7627C">
        <w:t xml:space="preserve"> </w:t>
      </w:r>
      <w:r w:rsidR="00A8797C" w:rsidRPr="00E7627C">
        <w:t>T</w:t>
      </w:r>
      <w:r w:rsidR="00FE2460" w:rsidRPr="00E7627C">
        <w:t xml:space="preserve">he family requested information concerning the investigation, identified facts and circumstances that required further investigation and evidence that needed to be gathered, and protested against their exclusion from the investigation. </w:t>
      </w:r>
    </w:p>
    <w:p w:rsidR="00FE2460" w:rsidRPr="00FE2460" w:rsidRDefault="001C2AF1" w:rsidP="00C54100">
      <w:pPr>
        <w:pStyle w:val="SingleTxtG"/>
        <w:rPr>
          <w:lang w:val="en-US"/>
        </w:rPr>
      </w:pPr>
      <w:r w:rsidRPr="00E7627C">
        <w:rPr>
          <w:lang w:val="en-US"/>
        </w:rPr>
        <w:t>2.8</w:t>
      </w:r>
      <w:r w:rsidR="00FE2460" w:rsidRPr="00E7627C">
        <w:rPr>
          <w:lang w:val="en-US"/>
        </w:rPr>
        <w:tab/>
      </w:r>
      <w:r w:rsidR="00A8797C" w:rsidRPr="00E7627C">
        <w:rPr>
          <w:lang w:val="en-US"/>
        </w:rPr>
        <w:t>B</w:t>
      </w:r>
      <w:r w:rsidR="00FE2460" w:rsidRPr="00E7627C">
        <w:rPr>
          <w:lang w:val="en-US"/>
        </w:rPr>
        <w:t xml:space="preserve">etween 16 August 2006 and 10 February 2007, the family filed four applications before the Osh </w:t>
      </w:r>
      <w:r w:rsidR="00FE2460" w:rsidRPr="006E279A">
        <w:t>City</w:t>
      </w:r>
      <w:r w:rsidR="00FE2460" w:rsidRPr="00E7627C">
        <w:rPr>
          <w:lang w:val="en-US"/>
        </w:rPr>
        <w:t xml:space="preserve"> Court and</w:t>
      </w:r>
      <w:r w:rsidR="00FE2460" w:rsidRPr="00FE2460">
        <w:rPr>
          <w:lang w:val="en-US"/>
        </w:rPr>
        <w:t xml:space="preserve"> two appeals to the Regional Court, challenging</w:t>
      </w:r>
      <w:r w:rsidR="00C54100">
        <w:rPr>
          <w:lang w:val="en-US"/>
        </w:rPr>
        <w:t xml:space="preserve">, </w:t>
      </w:r>
      <w:r w:rsidR="00C54100" w:rsidRPr="00C54100">
        <w:rPr>
          <w:lang w:val="en-US"/>
        </w:rPr>
        <w:t>without success</w:t>
      </w:r>
      <w:r w:rsidR="00C54100">
        <w:rPr>
          <w:lang w:val="en-US"/>
        </w:rPr>
        <w:t>,</w:t>
      </w:r>
      <w:r w:rsidR="00FE2460" w:rsidRPr="00FE2460">
        <w:rPr>
          <w:lang w:val="en-US"/>
        </w:rPr>
        <w:t xml:space="preserve"> the failure to investigate. </w:t>
      </w:r>
      <w:r w:rsidR="00A8797C">
        <w:rPr>
          <w:lang w:val="en-US"/>
        </w:rPr>
        <w:t>On an unspecified date</w:t>
      </w:r>
      <w:r w:rsidR="00FE2460" w:rsidRPr="00FE2460">
        <w:rPr>
          <w:lang w:val="en-US"/>
        </w:rPr>
        <w:t>, the family</w:t>
      </w:r>
      <w:r w:rsidR="00A8797C">
        <w:rPr>
          <w:lang w:val="en-US"/>
        </w:rPr>
        <w:t xml:space="preserve"> filed a complaint before</w:t>
      </w:r>
      <w:r w:rsidR="00FE2460" w:rsidRPr="00FE2460">
        <w:rPr>
          <w:lang w:val="en-US"/>
        </w:rPr>
        <w:t xml:space="preserve"> the Supreme Court. The Supreme Court returned the case to the City Court </w:t>
      </w:r>
      <w:r w:rsidR="008B71A8">
        <w:rPr>
          <w:lang w:val="en-US"/>
        </w:rPr>
        <w:t xml:space="preserve">for </w:t>
      </w:r>
      <w:r w:rsidR="00FE2460" w:rsidRPr="00FE2460">
        <w:rPr>
          <w:lang w:val="en-US"/>
        </w:rPr>
        <w:t>decision. On 13 March 2008</w:t>
      </w:r>
      <w:r w:rsidR="008B71A8">
        <w:rPr>
          <w:lang w:val="en-US"/>
        </w:rPr>
        <w:t>,</w:t>
      </w:r>
      <w:r w:rsidR="00FE2460" w:rsidRPr="00FE2460">
        <w:rPr>
          <w:lang w:val="en-US"/>
        </w:rPr>
        <w:t xml:space="preserve"> the City Court again refused to consider the substance of the claim. </w:t>
      </w:r>
    </w:p>
    <w:p w:rsidR="00FE2460" w:rsidRPr="008B71A8" w:rsidRDefault="006E279A" w:rsidP="006E279A">
      <w:pPr>
        <w:pStyle w:val="H23G"/>
        <w:rPr>
          <w:lang w:val="en-US"/>
        </w:rPr>
      </w:pPr>
      <w:r>
        <w:rPr>
          <w:lang w:val="en-US"/>
        </w:rPr>
        <w:tab/>
      </w:r>
      <w:r>
        <w:rPr>
          <w:lang w:val="en-US"/>
        </w:rPr>
        <w:tab/>
      </w:r>
      <w:r w:rsidR="00FE2460" w:rsidRPr="008B71A8">
        <w:rPr>
          <w:lang w:val="en-US"/>
        </w:rPr>
        <w:t>The complaint</w:t>
      </w:r>
    </w:p>
    <w:p w:rsidR="00457839" w:rsidRPr="00EE178F" w:rsidRDefault="009040CE" w:rsidP="008A519C">
      <w:pPr>
        <w:pStyle w:val="SingleTxtG"/>
        <w:rPr>
          <w:lang w:val="en-GB"/>
        </w:rPr>
      </w:pPr>
      <w:r>
        <w:rPr>
          <w:lang w:val="en-US"/>
        </w:rPr>
        <w:t>3.</w:t>
      </w:r>
      <w:r w:rsidR="001D4B4B">
        <w:rPr>
          <w:lang w:val="en-US"/>
        </w:rPr>
        <w:t>1</w:t>
      </w:r>
      <w:r w:rsidR="00FE2460" w:rsidRPr="00FE2460">
        <w:rPr>
          <w:lang w:val="en-US"/>
        </w:rPr>
        <w:tab/>
        <w:t xml:space="preserve">The author alleges </w:t>
      </w:r>
      <w:r w:rsidR="008B71A8">
        <w:rPr>
          <w:lang w:val="en-US"/>
        </w:rPr>
        <w:t>that his brother’s right under</w:t>
      </w:r>
      <w:r w:rsidR="00FE2460" w:rsidRPr="00FE2460">
        <w:rPr>
          <w:lang w:val="en-US"/>
        </w:rPr>
        <w:t xml:space="preserve"> </w:t>
      </w:r>
      <w:r w:rsidR="006B5065">
        <w:rPr>
          <w:lang w:val="en-US"/>
        </w:rPr>
        <w:t>article </w:t>
      </w:r>
      <w:r w:rsidR="00FE2460" w:rsidRPr="00FE2460">
        <w:rPr>
          <w:lang w:val="en-US"/>
        </w:rPr>
        <w:t>6</w:t>
      </w:r>
      <w:r w:rsidR="006B5065">
        <w:rPr>
          <w:lang w:val="en-US"/>
        </w:rPr>
        <w:t> </w:t>
      </w:r>
      <w:r w:rsidR="00C54100">
        <w:rPr>
          <w:lang w:val="en-US"/>
        </w:rPr>
        <w:t>(</w:t>
      </w:r>
      <w:r w:rsidR="00FE2460" w:rsidRPr="00FE2460">
        <w:rPr>
          <w:lang w:val="en-US"/>
        </w:rPr>
        <w:t>1</w:t>
      </w:r>
      <w:r w:rsidR="00C54100">
        <w:rPr>
          <w:lang w:val="en-US"/>
        </w:rPr>
        <w:t>)</w:t>
      </w:r>
      <w:r w:rsidR="00FE2460" w:rsidRPr="00FE2460">
        <w:rPr>
          <w:lang w:val="en-US"/>
        </w:rPr>
        <w:t xml:space="preserve"> </w:t>
      </w:r>
      <w:r w:rsidR="001D4B4B">
        <w:rPr>
          <w:lang w:val="en-US"/>
        </w:rPr>
        <w:t>w</w:t>
      </w:r>
      <w:r w:rsidR="001A1BF9">
        <w:rPr>
          <w:lang w:val="en-US"/>
        </w:rPr>
        <w:t>as</w:t>
      </w:r>
      <w:r w:rsidR="001D4B4B">
        <w:rPr>
          <w:lang w:val="en-US"/>
        </w:rPr>
        <w:t xml:space="preserve"> violated because the State party failed in its positive obligation </w:t>
      </w:r>
      <w:r w:rsidR="005A3928">
        <w:rPr>
          <w:lang w:val="en-US"/>
        </w:rPr>
        <w:t xml:space="preserve">to </w:t>
      </w:r>
      <w:r w:rsidR="0096325D">
        <w:rPr>
          <w:lang w:val="en-US"/>
        </w:rPr>
        <w:t xml:space="preserve">protect the right to life of a vulnerable prisoner. </w:t>
      </w:r>
      <w:r w:rsidR="00457839">
        <w:rPr>
          <w:lang w:val="en-US"/>
        </w:rPr>
        <w:t xml:space="preserve">The author refers to the Committee’s </w:t>
      </w:r>
      <w:r w:rsidR="0002220F" w:rsidRPr="00E171AC">
        <w:rPr>
          <w:lang w:val="en-US"/>
        </w:rPr>
        <w:t>jurisprudence</w:t>
      </w:r>
      <w:r w:rsidR="0002220F">
        <w:rPr>
          <w:lang w:val="en-US"/>
        </w:rPr>
        <w:t xml:space="preserve"> </w:t>
      </w:r>
      <w:r w:rsidR="00457839">
        <w:rPr>
          <w:lang w:val="en-US"/>
        </w:rPr>
        <w:t>defining the right to life as the “supreme right”</w:t>
      </w:r>
      <w:r w:rsidR="0084321E">
        <w:rPr>
          <w:lang w:val="en-US"/>
        </w:rPr>
        <w:t>,</w:t>
      </w:r>
      <w:r w:rsidR="002B5269">
        <w:rPr>
          <w:rStyle w:val="FootnoteReference"/>
          <w:lang w:val="en-US"/>
        </w:rPr>
        <w:footnoteReference w:id="5"/>
      </w:r>
      <w:r w:rsidR="004021AF">
        <w:rPr>
          <w:lang w:val="en-US"/>
        </w:rPr>
        <w:t xml:space="preserve"> which cannot be understood in a restrictive manner, and the protection of which “requires that </w:t>
      </w:r>
      <w:r w:rsidR="001A1BF9">
        <w:rPr>
          <w:lang w:val="en-US"/>
        </w:rPr>
        <w:t>S</w:t>
      </w:r>
      <w:r w:rsidR="004021AF">
        <w:rPr>
          <w:lang w:val="en-US"/>
        </w:rPr>
        <w:t>tates should adopt positive measures”.</w:t>
      </w:r>
      <w:r w:rsidR="004021AF">
        <w:rPr>
          <w:rStyle w:val="FootnoteReference"/>
          <w:lang w:val="en-US"/>
        </w:rPr>
        <w:footnoteReference w:id="6"/>
      </w:r>
      <w:r w:rsidR="00A5690B">
        <w:rPr>
          <w:lang w:val="en-US"/>
        </w:rPr>
        <w:t xml:space="preserve"> The author stresses that the positive obligation to protect life applies in particular to detainees</w:t>
      </w:r>
      <w:r w:rsidR="0084321E">
        <w:rPr>
          <w:lang w:val="en-US"/>
        </w:rPr>
        <w:t>,</w:t>
      </w:r>
      <w:r w:rsidR="00A5690B">
        <w:rPr>
          <w:rStyle w:val="FootnoteReference"/>
          <w:lang w:val="en-US"/>
        </w:rPr>
        <w:footnoteReference w:id="7"/>
      </w:r>
      <w:r w:rsidR="00A5690B">
        <w:rPr>
          <w:lang w:val="en-US"/>
        </w:rPr>
        <w:t xml:space="preserve"> who are particularly vulnerable</w:t>
      </w:r>
      <w:r w:rsidR="00EF6703">
        <w:rPr>
          <w:lang w:val="en-US"/>
        </w:rPr>
        <w:t>,</w:t>
      </w:r>
      <w:r w:rsidR="00A5690B">
        <w:rPr>
          <w:rStyle w:val="FootnoteReference"/>
          <w:lang w:val="en-US"/>
        </w:rPr>
        <w:footnoteReference w:id="8"/>
      </w:r>
      <w:r w:rsidR="00A5690B">
        <w:rPr>
          <w:lang w:val="en-US"/>
        </w:rPr>
        <w:t xml:space="preserve"> and that the State party has a special responsibility to take adequate measures to protect them.</w:t>
      </w:r>
      <w:r w:rsidR="00A5690B">
        <w:rPr>
          <w:rStyle w:val="FootnoteReference"/>
          <w:lang w:val="en-US"/>
        </w:rPr>
        <w:footnoteReference w:id="9"/>
      </w:r>
      <w:r w:rsidR="00A5690B">
        <w:rPr>
          <w:lang w:val="en-US"/>
        </w:rPr>
        <w:t xml:space="preserve"> Where a </w:t>
      </w:r>
      <w:r w:rsidR="001A1BF9">
        <w:rPr>
          <w:lang w:val="en-US"/>
        </w:rPr>
        <w:t>S</w:t>
      </w:r>
      <w:r w:rsidR="00A5690B">
        <w:rPr>
          <w:lang w:val="en-US"/>
        </w:rPr>
        <w:t xml:space="preserve">tate fails to take adequate measures to protect prisoners, it may be responsible for a violation of </w:t>
      </w:r>
      <w:r w:rsidR="006B5065">
        <w:rPr>
          <w:lang w:val="en-US"/>
        </w:rPr>
        <w:t>article </w:t>
      </w:r>
      <w:r w:rsidR="00A5690B">
        <w:rPr>
          <w:lang w:val="en-US"/>
        </w:rPr>
        <w:t>6</w:t>
      </w:r>
      <w:r w:rsidR="006B5065">
        <w:rPr>
          <w:lang w:val="en-US"/>
        </w:rPr>
        <w:t> </w:t>
      </w:r>
      <w:r w:rsidR="00C423C6">
        <w:rPr>
          <w:lang w:val="en-US"/>
        </w:rPr>
        <w:t>(</w:t>
      </w:r>
      <w:r w:rsidR="00A5690B">
        <w:rPr>
          <w:lang w:val="en-US"/>
        </w:rPr>
        <w:t>1</w:t>
      </w:r>
      <w:r w:rsidR="00C423C6">
        <w:rPr>
          <w:lang w:val="en-US"/>
        </w:rPr>
        <w:t>)</w:t>
      </w:r>
      <w:r w:rsidR="00A5690B">
        <w:rPr>
          <w:lang w:val="en-US"/>
        </w:rPr>
        <w:t xml:space="preserve"> of the Covenant.</w:t>
      </w:r>
      <w:r w:rsidR="00A5690B">
        <w:rPr>
          <w:rStyle w:val="FootnoteReference"/>
          <w:lang w:val="en-US"/>
        </w:rPr>
        <w:footnoteReference w:id="10"/>
      </w:r>
      <w:r w:rsidR="00350BB3">
        <w:rPr>
          <w:lang w:val="en-US"/>
        </w:rPr>
        <w:t xml:space="preserve"> </w:t>
      </w:r>
      <w:r w:rsidR="00B31825">
        <w:rPr>
          <w:lang w:val="en-US"/>
        </w:rPr>
        <w:t>The author</w:t>
      </w:r>
      <w:r w:rsidR="00350BB3">
        <w:rPr>
          <w:lang w:val="en-US"/>
        </w:rPr>
        <w:t xml:space="preserve"> refers to the standards of the European Committee for the Prevention of Torture and Inhuman </w:t>
      </w:r>
      <w:r w:rsidR="00950A34">
        <w:rPr>
          <w:lang w:val="en-US"/>
        </w:rPr>
        <w:t xml:space="preserve">or Degrading </w:t>
      </w:r>
      <w:r w:rsidR="00350BB3">
        <w:rPr>
          <w:lang w:val="en-US"/>
        </w:rPr>
        <w:t>Treatment</w:t>
      </w:r>
      <w:r w:rsidR="00950A34">
        <w:rPr>
          <w:lang w:val="en-US"/>
        </w:rPr>
        <w:t xml:space="preserve"> or Punishment, which state that “p</w:t>
      </w:r>
      <w:r w:rsidR="00950A34" w:rsidRPr="00AD4DC0">
        <w:rPr>
          <w:spacing w:val="-2"/>
        </w:rPr>
        <w:t>risoners suspected or convicted of sexual offences are at a particularly high risk of being assaulted by other prisoners</w:t>
      </w:r>
      <w:r w:rsidR="00950A34">
        <w:rPr>
          <w:spacing w:val="-2"/>
          <w:lang w:val="en-GB"/>
        </w:rPr>
        <w:t>”</w:t>
      </w:r>
      <w:r w:rsidR="007A4752">
        <w:rPr>
          <w:lang w:val="en-US"/>
        </w:rPr>
        <w:t>,</w:t>
      </w:r>
      <w:r w:rsidR="00950A34">
        <w:rPr>
          <w:rStyle w:val="FootnoteReference"/>
          <w:lang w:val="en-US"/>
        </w:rPr>
        <w:footnoteReference w:id="11"/>
      </w:r>
      <w:r w:rsidR="00950A34">
        <w:rPr>
          <w:lang w:val="en-US"/>
        </w:rPr>
        <w:t xml:space="preserve"> and that </w:t>
      </w:r>
      <w:r w:rsidR="008A519C">
        <w:rPr>
          <w:lang w:val="en-US"/>
        </w:rPr>
        <w:t xml:space="preserve">responsibility </w:t>
      </w:r>
      <w:r w:rsidR="00950A34">
        <w:rPr>
          <w:lang w:val="en-US"/>
        </w:rPr>
        <w:t xml:space="preserve">to protect requires that the </w:t>
      </w:r>
      <w:r w:rsidR="001A1BF9">
        <w:rPr>
          <w:lang w:val="en-US"/>
        </w:rPr>
        <w:t>S</w:t>
      </w:r>
      <w:r w:rsidR="00950A34">
        <w:rPr>
          <w:lang w:val="en-US"/>
        </w:rPr>
        <w:t>tate</w:t>
      </w:r>
      <w:r w:rsidR="001A1BF9">
        <w:rPr>
          <w:lang w:val="en-US"/>
        </w:rPr>
        <w:t>s</w:t>
      </w:r>
      <w:r w:rsidR="00950A34">
        <w:rPr>
          <w:lang w:val="en-US"/>
        </w:rPr>
        <w:t xml:space="preserve"> take positive measures to protect prisoners from that risk. </w:t>
      </w:r>
      <w:r w:rsidR="00EE178F">
        <w:rPr>
          <w:lang w:val="en-US"/>
        </w:rPr>
        <w:t xml:space="preserve">The author </w:t>
      </w:r>
      <w:r w:rsidR="007E142C">
        <w:rPr>
          <w:lang w:val="en-US"/>
        </w:rPr>
        <w:t xml:space="preserve">also </w:t>
      </w:r>
      <w:r w:rsidR="00EE178F">
        <w:rPr>
          <w:lang w:val="en-US"/>
        </w:rPr>
        <w:t xml:space="preserve">refers to the Committee’s holding </w:t>
      </w:r>
      <w:r w:rsidR="00677030">
        <w:rPr>
          <w:lang w:val="en-US"/>
        </w:rPr>
        <w:t xml:space="preserve">in one case </w:t>
      </w:r>
      <w:r w:rsidR="00EE178F">
        <w:rPr>
          <w:lang w:val="en-US"/>
        </w:rPr>
        <w:t>that “</w:t>
      </w:r>
      <w:r w:rsidR="00EE178F">
        <w:rPr>
          <w:color w:val="000000"/>
        </w:rPr>
        <w:t xml:space="preserve">whether </w:t>
      </w:r>
      <w:r w:rsidR="00EE178F">
        <w:rPr>
          <w:color w:val="000000"/>
          <w:lang w:val="en-GB"/>
        </w:rPr>
        <w:t>[the individual]</w:t>
      </w:r>
      <w:r w:rsidR="00EE178F">
        <w:rPr>
          <w:color w:val="000000"/>
        </w:rPr>
        <w:t xml:space="preserve"> committed suicide, was driven to suicide or was killed by others while in </w:t>
      </w:r>
      <w:r w:rsidR="00EE178F">
        <w:rPr>
          <w:color w:val="000000"/>
        </w:rPr>
        <w:lastRenderedPageBreak/>
        <w:t xml:space="preserve">custody, the inescapable conclusion is that in all the circumstances, the </w:t>
      </w:r>
      <w:r w:rsidR="00EE178F">
        <w:rPr>
          <w:color w:val="000000"/>
          <w:lang w:val="en-GB"/>
        </w:rPr>
        <w:t>[State party’s]</w:t>
      </w:r>
      <w:r w:rsidR="00EE178F">
        <w:rPr>
          <w:color w:val="000000"/>
        </w:rPr>
        <w:t xml:space="preserve"> authorities either by act or by omission were responsible for not taking adequate measures to protect his life, as required by </w:t>
      </w:r>
      <w:r w:rsidR="006B5065">
        <w:rPr>
          <w:color w:val="000000"/>
        </w:rPr>
        <w:t>article </w:t>
      </w:r>
      <w:r w:rsidR="00EE178F">
        <w:rPr>
          <w:color w:val="000000"/>
        </w:rPr>
        <w:t>6 (1) of the Covenant</w:t>
      </w:r>
      <w:r w:rsidR="00EE178F">
        <w:rPr>
          <w:color w:val="000000"/>
          <w:lang w:val="en-GB"/>
        </w:rPr>
        <w:t>”</w:t>
      </w:r>
      <w:r w:rsidR="007E142C">
        <w:rPr>
          <w:color w:val="000000"/>
          <w:lang w:val="en-GB"/>
        </w:rPr>
        <w:t>.</w:t>
      </w:r>
      <w:r w:rsidR="00EE178F">
        <w:rPr>
          <w:rStyle w:val="FootnoteReference"/>
          <w:color w:val="000000"/>
          <w:lang w:val="en-GB"/>
        </w:rPr>
        <w:footnoteReference w:id="12"/>
      </w:r>
      <w:r w:rsidR="00EE178F">
        <w:rPr>
          <w:color w:val="000000"/>
          <w:lang w:val="en-GB"/>
        </w:rPr>
        <w:t xml:space="preserve"> He </w:t>
      </w:r>
      <w:r w:rsidR="00E7627C">
        <w:rPr>
          <w:color w:val="000000"/>
          <w:lang w:val="en-GB"/>
        </w:rPr>
        <w:t>further</w:t>
      </w:r>
      <w:r w:rsidR="00EE178F">
        <w:rPr>
          <w:color w:val="000000"/>
          <w:lang w:val="en-GB"/>
        </w:rPr>
        <w:t xml:space="preserve"> </w:t>
      </w:r>
      <w:r w:rsidR="00E7627C">
        <w:rPr>
          <w:color w:val="000000"/>
          <w:lang w:val="en-GB"/>
        </w:rPr>
        <w:t>refers</w:t>
      </w:r>
      <w:r w:rsidR="00EE178F">
        <w:rPr>
          <w:color w:val="000000"/>
          <w:lang w:val="en-GB"/>
        </w:rPr>
        <w:t xml:space="preserve"> to reports indicating that in Kyrgyzstan prisoners charged with certain sexual offences or who are perceived to be homosexual are subjected to persecution and physical violence.</w:t>
      </w:r>
      <w:r w:rsidR="00EE178F">
        <w:rPr>
          <w:rStyle w:val="FootnoteReference"/>
          <w:color w:val="000000"/>
          <w:lang w:val="en-GB"/>
        </w:rPr>
        <w:footnoteReference w:id="13"/>
      </w:r>
      <w:r w:rsidR="004E56B6" w:rsidRPr="004E56B6">
        <w:rPr>
          <w:lang w:val="en-US"/>
        </w:rPr>
        <w:t xml:space="preserve"> </w:t>
      </w:r>
      <w:r w:rsidR="004E56B6">
        <w:rPr>
          <w:lang w:val="en-US"/>
        </w:rPr>
        <w:t xml:space="preserve">The author maintains that because his brother was a prisoner charged with a sexual offence, the State party knew that he was at risk and that he was </w:t>
      </w:r>
      <w:r w:rsidR="0066456D">
        <w:rPr>
          <w:lang w:val="en-US"/>
        </w:rPr>
        <w:t xml:space="preserve">being </w:t>
      </w:r>
      <w:r w:rsidR="004E56B6">
        <w:rPr>
          <w:lang w:val="en-US"/>
        </w:rPr>
        <w:t xml:space="preserve">abused and should not have placed him in a cell with six other men and kept him there in violation of an order of the prosecutor. </w:t>
      </w:r>
    </w:p>
    <w:p w:rsidR="00EB2F62" w:rsidRPr="00376D99" w:rsidRDefault="00457839" w:rsidP="00621F44">
      <w:pPr>
        <w:pStyle w:val="SingleTxtG"/>
        <w:rPr>
          <w:lang w:val="en-GB"/>
        </w:rPr>
      </w:pPr>
      <w:r>
        <w:rPr>
          <w:lang w:val="en-US"/>
        </w:rPr>
        <w:t>3.2</w:t>
      </w:r>
      <w:r>
        <w:rPr>
          <w:lang w:val="en-US"/>
        </w:rPr>
        <w:tab/>
      </w:r>
      <w:r w:rsidR="0096325D">
        <w:rPr>
          <w:lang w:val="en-US"/>
        </w:rPr>
        <w:t>A</w:t>
      </w:r>
      <w:r w:rsidR="0096325D" w:rsidRPr="00FE2460">
        <w:rPr>
          <w:lang w:val="en-US"/>
        </w:rPr>
        <w:t xml:space="preserve">ccording to the author, as the State </w:t>
      </w:r>
      <w:r w:rsidR="0096325D">
        <w:rPr>
          <w:lang w:val="en-US"/>
        </w:rPr>
        <w:t>party’s authorities</w:t>
      </w:r>
      <w:r w:rsidR="0066456D">
        <w:rPr>
          <w:lang w:val="en-US"/>
        </w:rPr>
        <w:t xml:space="preserve"> have</w:t>
      </w:r>
      <w:r w:rsidR="0096325D" w:rsidRPr="00FE2460">
        <w:rPr>
          <w:lang w:val="en-US"/>
        </w:rPr>
        <w:t xml:space="preserve"> failed to provide</w:t>
      </w:r>
      <w:r w:rsidR="0066456D">
        <w:rPr>
          <w:lang w:val="en-US"/>
        </w:rPr>
        <w:t xml:space="preserve">, </w:t>
      </w:r>
      <w:r w:rsidR="0066456D" w:rsidRPr="0066456D">
        <w:rPr>
          <w:lang w:val="en-US"/>
        </w:rPr>
        <w:t>through an independent investigation</w:t>
      </w:r>
      <w:r w:rsidR="0066456D">
        <w:rPr>
          <w:lang w:val="en-US"/>
        </w:rPr>
        <w:t>,</w:t>
      </w:r>
      <w:r w:rsidR="0096325D" w:rsidRPr="00FE2460">
        <w:rPr>
          <w:lang w:val="en-US"/>
        </w:rPr>
        <w:t xml:space="preserve"> a plausible explanation for </w:t>
      </w:r>
      <w:r w:rsidR="0096325D">
        <w:rPr>
          <w:lang w:val="en-US"/>
        </w:rPr>
        <w:t>the</w:t>
      </w:r>
      <w:r w:rsidR="0096325D" w:rsidRPr="00FE2460">
        <w:rPr>
          <w:lang w:val="en-US"/>
        </w:rPr>
        <w:t xml:space="preserve"> death in custody </w:t>
      </w:r>
      <w:r w:rsidR="0096325D">
        <w:rPr>
          <w:lang w:val="en-US"/>
        </w:rPr>
        <w:t xml:space="preserve">of the author’s brother, there </w:t>
      </w:r>
      <w:r w:rsidR="001A1BF9">
        <w:rPr>
          <w:lang w:val="en-US"/>
        </w:rPr>
        <w:t>i</w:t>
      </w:r>
      <w:r w:rsidR="0096325D">
        <w:rPr>
          <w:lang w:val="en-US"/>
        </w:rPr>
        <w:t>s a presumption</w:t>
      </w:r>
      <w:r w:rsidR="009A014A">
        <w:rPr>
          <w:lang w:val="en-US"/>
        </w:rPr>
        <w:t xml:space="preserve"> that he was killed</w:t>
      </w:r>
      <w:r w:rsidR="00621F44">
        <w:rPr>
          <w:lang w:val="en-US"/>
        </w:rPr>
        <w:t xml:space="preserve"> </w:t>
      </w:r>
      <w:r w:rsidR="00621F44" w:rsidRPr="00621F44">
        <w:rPr>
          <w:lang w:val="en-US"/>
        </w:rPr>
        <w:t>arbitrarily</w:t>
      </w:r>
      <w:r w:rsidR="009A014A">
        <w:rPr>
          <w:lang w:val="en-US"/>
        </w:rPr>
        <w:t>,</w:t>
      </w:r>
      <w:r w:rsidR="004E56B6">
        <w:rPr>
          <w:rStyle w:val="FootnoteReference"/>
          <w:lang w:val="en-US"/>
        </w:rPr>
        <w:footnoteReference w:id="14"/>
      </w:r>
      <w:r w:rsidR="009A014A">
        <w:rPr>
          <w:lang w:val="en-US"/>
        </w:rPr>
        <w:t xml:space="preserve"> </w:t>
      </w:r>
      <w:r w:rsidR="00621F44">
        <w:rPr>
          <w:lang w:val="en-US"/>
        </w:rPr>
        <w:t>which can be</w:t>
      </w:r>
      <w:r w:rsidR="009A014A" w:rsidRPr="00621F44">
        <w:rPr>
          <w:lang w:val="en-US"/>
        </w:rPr>
        <w:t xml:space="preserve"> rebutted </w:t>
      </w:r>
      <w:r w:rsidR="00621F44">
        <w:rPr>
          <w:lang w:val="en-US"/>
        </w:rPr>
        <w:t xml:space="preserve">only </w:t>
      </w:r>
      <w:r w:rsidR="009A014A" w:rsidRPr="00621F44">
        <w:rPr>
          <w:lang w:val="en-US"/>
        </w:rPr>
        <w:t>through a thorough, prompt and impartial investigation</w:t>
      </w:r>
      <w:r w:rsidR="009A014A">
        <w:rPr>
          <w:lang w:val="en-US"/>
        </w:rPr>
        <w:t xml:space="preserve">. </w:t>
      </w:r>
      <w:r w:rsidR="00EB2F62">
        <w:rPr>
          <w:lang w:val="en-US"/>
        </w:rPr>
        <w:t>The author refers to the Committee’s jurisprudence</w:t>
      </w:r>
      <w:r w:rsidR="007E142C">
        <w:rPr>
          <w:lang w:val="en-US"/>
        </w:rPr>
        <w:t>, in which the Committee has held</w:t>
      </w:r>
      <w:r w:rsidR="00EB2F62">
        <w:rPr>
          <w:lang w:val="en-US"/>
        </w:rPr>
        <w:t xml:space="preserve"> that in cases of death in custody </w:t>
      </w:r>
      <w:r w:rsidR="00EB2F62">
        <w:t>the burden of proof cannot rest alone with the author of a communication, especially considering that the author and the State party do not always have equal access to the evidence and that frequently the State party alone has access to the relevant information</w:t>
      </w:r>
      <w:r w:rsidR="00EB2F62" w:rsidRPr="00EB2F62">
        <w:rPr>
          <w:lang w:val="en-GB"/>
        </w:rPr>
        <w:t>.</w:t>
      </w:r>
      <w:r w:rsidR="00EB2F62">
        <w:rPr>
          <w:rStyle w:val="FootnoteReference"/>
          <w:lang w:val="en-GB"/>
        </w:rPr>
        <w:footnoteReference w:id="15"/>
      </w:r>
      <w:r w:rsidR="00EB2F62">
        <w:t xml:space="preserve"> </w:t>
      </w:r>
      <w:r w:rsidR="00376D99" w:rsidRPr="00376D99">
        <w:rPr>
          <w:lang w:val="en-GB"/>
        </w:rPr>
        <w:t xml:space="preserve">He maintains that a </w:t>
      </w:r>
      <w:r w:rsidR="00376D99">
        <w:rPr>
          <w:lang w:val="en-US"/>
        </w:rPr>
        <w:t>thorough, prompt and impartial investigation did not take place</w:t>
      </w:r>
      <w:r w:rsidR="00B7702F">
        <w:rPr>
          <w:lang w:val="en-US"/>
        </w:rPr>
        <w:t>,</w:t>
      </w:r>
      <w:r w:rsidR="00376D99">
        <w:rPr>
          <w:lang w:val="en-US"/>
        </w:rPr>
        <w:t xml:space="preserve"> that the authorities failed to explain the numerous traces of abuse on his brother’s body</w:t>
      </w:r>
      <w:r w:rsidR="00B7702F">
        <w:rPr>
          <w:lang w:val="en-US"/>
        </w:rPr>
        <w:t>,</w:t>
      </w:r>
      <w:r w:rsidR="00376D99">
        <w:rPr>
          <w:lang w:val="en-US"/>
        </w:rPr>
        <w:t xml:space="preserve"> that they failed to explain why he was not transferred from police custody</w:t>
      </w:r>
      <w:r w:rsidR="00B7702F">
        <w:rPr>
          <w:lang w:val="en-US"/>
        </w:rPr>
        <w:t>,</w:t>
      </w:r>
      <w:r w:rsidR="00376D99">
        <w:rPr>
          <w:lang w:val="en-US"/>
        </w:rPr>
        <w:t xml:space="preserve"> that they failed to locate an</w:t>
      </w:r>
      <w:r w:rsidR="001A1BF9">
        <w:rPr>
          <w:lang w:val="en-US"/>
        </w:rPr>
        <w:t>d</w:t>
      </w:r>
      <w:r w:rsidR="00376D99">
        <w:rPr>
          <w:lang w:val="en-US"/>
        </w:rPr>
        <w:t xml:space="preserve"> investigate the weapon used to kill his brother</w:t>
      </w:r>
      <w:r w:rsidR="00B7702F">
        <w:rPr>
          <w:lang w:val="en-US"/>
        </w:rPr>
        <w:t>,</w:t>
      </w:r>
      <w:r w:rsidR="00376D99">
        <w:rPr>
          <w:lang w:val="en-US"/>
        </w:rPr>
        <w:t xml:space="preserve"> that the autopsy report was inadequate and that an inadequate evaluation of the alleged suicide note was made.</w:t>
      </w:r>
      <w:r w:rsidR="0061038C">
        <w:rPr>
          <w:lang w:val="en-US"/>
        </w:rPr>
        <w:t xml:space="preserve"> He further notes that his brother was a physically and mentally strong person who had not suffered from any psychiatric disorder</w:t>
      </w:r>
      <w:r w:rsidR="00B7702F">
        <w:rPr>
          <w:lang w:val="en-US"/>
        </w:rPr>
        <w:t>,</w:t>
      </w:r>
      <w:r w:rsidR="0061038C">
        <w:rPr>
          <w:lang w:val="en-US"/>
        </w:rPr>
        <w:t xml:space="preserve"> and </w:t>
      </w:r>
      <w:r w:rsidR="00B7702F">
        <w:rPr>
          <w:lang w:val="en-US"/>
        </w:rPr>
        <w:t xml:space="preserve">that </w:t>
      </w:r>
      <w:r w:rsidR="0061038C">
        <w:rPr>
          <w:lang w:val="en-US"/>
        </w:rPr>
        <w:t>the only information</w:t>
      </w:r>
      <w:r w:rsidR="00B7702F">
        <w:rPr>
          <w:lang w:val="en-US"/>
        </w:rPr>
        <w:t xml:space="preserve"> indicating</w:t>
      </w:r>
      <w:r w:rsidR="0061038C">
        <w:rPr>
          <w:lang w:val="en-US"/>
        </w:rPr>
        <w:t xml:space="preserve"> that he </w:t>
      </w:r>
      <w:r w:rsidR="00B7702F">
        <w:rPr>
          <w:lang w:val="en-US"/>
        </w:rPr>
        <w:t xml:space="preserve">had </w:t>
      </w:r>
      <w:r w:rsidR="0061038C">
        <w:rPr>
          <w:lang w:val="en-US"/>
        </w:rPr>
        <w:t>contemplated suicide came from his cellmates, who were suspected of killing him.</w:t>
      </w:r>
    </w:p>
    <w:p w:rsidR="0096325D" w:rsidRDefault="00457839" w:rsidP="00B7702F">
      <w:pPr>
        <w:pStyle w:val="SingleTxtG"/>
        <w:rPr>
          <w:lang w:val="en-US"/>
        </w:rPr>
      </w:pPr>
      <w:r>
        <w:rPr>
          <w:lang w:val="en-US"/>
        </w:rPr>
        <w:t>3.3</w:t>
      </w:r>
      <w:r w:rsidR="0096325D">
        <w:rPr>
          <w:lang w:val="en-US"/>
        </w:rPr>
        <w:tab/>
        <w:t xml:space="preserve">The author </w:t>
      </w:r>
      <w:r w:rsidR="00F57604">
        <w:rPr>
          <w:lang w:val="en-US"/>
        </w:rPr>
        <w:t xml:space="preserve">submits </w:t>
      </w:r>
      <w:r w:rsidR="0096325D">
        <w:rPr>
          <w:lang w:val="en-US"/>
        </w:rPr>
        <w:t xml:space="preserve">that his brother </w:t>
      </w:r>
      <w:r w:rsidR="00B7702F">
        <w:rPr>
          <w:lang w:val="en-US"/>
        </w:rPr>
        <w:t>was</w:t>
      </w:r>
      <w:r w:rsidR="0096325D">
        <w:rPr>
          <w:lang w:val="en-US"/>
        </w:rPr>
        <w:t xml:space="preserve"> subjected to p</w:t>
      </w:r>
      <w:r w:rsidR="00DD55E6">
        <w:rPr>
          <w:lang w:val="en-US"/>
        </w:rPr>
        <w:t>h</w:t>
      </w:r>
      <w:r w:rsidR="0096325D">
        <w:rPr>
          <w:lang w:val="en-US"/>
        </w:rPr>
        <w:t xml:space="preserve">ysical and psychological abuse while in the custody of the Kyrgyz authorities, </w:t>
      </w:r>
      <w:r w:rsidR="00F57604">
        <w:rPr>
          <w:lang w:val="en-US"/>
        </w:rPr>
        <w:t>with the knowledge and complicity of its officials. He maintains that the above amounted to torture</w:t>
      </w:r>
      <w:r w:rsidR="00B7702F">
        <w:rPr>
          <w:lang w:val="en-US"/>
        </w:rPr>
        <w:t>,</w:t>
      </w:r>
      <w:r w:rsidR="00F57604">
        <w:rPr>
          <w:lang w:val="en-US"/>
        </w:rPr>
        <w:t xml:space="preserve"> in violation of </w:t>
      </w:r>
      <w:r w:rsidR="006B5065">
        <w:rPr>
          <w:lang w:val="en-US"/>
        </w:rPr>
        <w:t>article </w:t>
      </w:r>
      <w:r w:rsidR="00F57604">
        <w:rPr>
          <w:lang w:val="en-US"/>
        </w:rPr>
        <w:t>7 of the Covenant.</w:t>
      </w:r>
    </w:p>
    <w:p w:rsidR="005316CE" w:rsidRDefault="00F57604" w:rsidP="00915DCE">
      <w:pPr>
        <w:pStyle w:val="SingleTxtG"/>
        <w:rPr>
          <w:lang w:val="en-GB"/>
        </w:rPr>
      </w:pPr>
      <w:r>
        <w:rPr>
          <w:lang w:val="en-US"/>
        </w:rPr>
        <w:t>3.</w:t>
      </w:r>
      <w:r w:rsidR="00457839">
        <w:rPr>
          <w:lang w:val="en-US"/>
        </w:rPr>
        <w:t>4</w:t>
      </w:r>
      <w:r>
        <w:rPr>
          <w:lang w:val="en-US"/>
        </w:rPr>
        <w:tab/>
        <w:t>The author also submits that the State party failed to conduct a prompt, impartial, thorough and effective investigation</w:t>
      </w:r>
      <w:r w:rsidR="005627B9">
        <w:rPr>
          <w:lang w:val="en-US"/>
        </w:rPr>
        <w:t>,</w:t>
      </w:r>
      <w:r>
        <w:rPr>
          <w:lang w:val="en-US"/>
        </w:rPr>
        <w:t xml:space="preserve"> in violation of its obligations under </w:t>
      </w:r>
      <w:r w:rsidR="006B5065">
        <w:rPr>
          <w:lang w:val="en-US"/>
        </w:rPr>
        <w:t>article</w:t>
      </w:r>
      <w:r w:rsidR="005627B9">
        <w:rPr>
          <w:lang w:val="en-US"/>
        </w:rPr>
        <w:t>s</w:t>
      </w:r>
      <w:r w:rsidR="006B5065">
        <w:rPr>
          <w:lang w:val="en-US"/>
        </w:rPr>
        <w:t> </w:t>
      </w:r>
      <w:r>
        <w:rPr>
          <w:lang w:val="en-US"/>
        </w:rPr>
        <w:t>6</w:t>
      </w:r>
      <w:r w:rsidR="005627B9">
        <w:rPr>
          <w:lang w:val="en-US"/>
        </w:rPr>
        <w:t> (</w:t>
      </w:r>
      <w:r>
        <w:rPr>
          <w:lang w:val="en-US"/>
        </w:rPr>
        <w:t>1</w:t>
      </w:r>
      <w:r w:rsidR="005627B9">
        <w:rPr>
          <w:lang w:val="en-US"/>
        </w:rPr>
        <w:t>)</w:t>
      </w:r>
      <w:r>
        <w:rPr>
          <w:lang w:val="en-US"/>
        </w:rPr>
        <w:t xml:space="preserve"> and 7 of the Covenant</w:t>
      </w:r>
      <w:r w:rsidR="005627B9">
        <w:rPr>
          <w:lang w:val="en-US"/>
        </w:rPr>
        <w:t>,</w:t>
      </w:r>
      <w:r>
        <w:rPr>
          <w:lang w:val="en-US"/>
        </w:rPr>
        <w:t xml:space="preserve"> read in conjunction with </w:t>
      </w:r>
      <w:r w:rsidR="006B5065">
        <w:rPr>
          <w:lang w:val="en-US"/>
        </w:rPr>
        <w:t>article </w:t>
      </w:r>
      <w:r>
        <w:rPr>
          <w:lang w:val="en-US"/>
        </w:rPr>
        <w:t>2</w:t>
      </w:r>
      <w:r w:rsidR="006B5065">
        <w:rPr>
          <w:lang w:val="en-US"/>
        </w:rPr>
        <w:t> </w:t>
      </w:r>
      <w:r w:rsidR="005627B9">
        <w:rPr>
          <w:lang w:val="en-US"/>
        </w:rPr>
        <w:t>(</w:t>
      </w:r>
      <w:r>
        <w:rPr>
          <w:lang w:val="en-US"/>
        </w:rPr>
        <w:t>3</w:t>
      </w:r>
      <w:r w:rsidR="005627B9">
        <w:rPr>
          <w:lang w:val="en-US"/>
        </w:rPr>
        <w:t>)</w:t>
      </w:r>
      <w:r>
        <w:rPr>
          <w:lang w:val="en-US"/>
        </w:rPr>
        <w:t xml:space="preserve">. </w:t>
      </w:r>
      <w:r w:rsidR="00AB5030">
        <w:rPr>
          <w:lang w:val="en-US"/>
        </w:rPr>
        <w:t xml:space="preserve">The author maintains that the </w:t>
      </w:r>
      <w:r w:rsidR="000E3A23">
        <w:rPr>
          <w:lang w:val="en-US"/>
        </w:rPr>
        <w:t xml:space="preserve">investigation was not impartial because </w:t>
      </w:r>
      <w:r w:rsidR="00A6006A">
        <w:rPr>
          <w:lang w:val="en-US"/>
        </w:rPr>
        <w:t>both the internal investigation and the bulk of the criminal investigation were</w:t>
      </w:r>
      <w:r w:rsidR="000E3A23">
        <w:rPr>
          <w:lang w:val="en-US"/>
        </w:rPr>
        <w:t xml:space="preserve"> conducted by the Ministry of Internal Affairs, which is the institution </w:t>
      </w:r>
      <w:r w:rsidR="005627B9">
        <w:rPr>
          <w:lang w:val="en-US"/>
        </w:rPr>
        <w:t>that was holding</w:t>
      </w:r>
      <w:r w:rsidR="000E3A23">
        <w:rPr>
          <w:lang w:val="en-US"/>
        </w:rPr>
        <w:t xml:space="preserve"> </w:t>
      </w:r>
      <w:r w:rsidR="005627B9" w:rsidRPr="005627B9">
        <w:rPr>
          <w:lang w:val="en-US"/>
        </w:rPr>
        <w:t>his brother</w:t>
      </w:r>
      <w:r w:rsidR="005627B9">
        <w:rPr>
          <w:lang w:val="en-US"/>
        </w:rPr>
        <w:t xml:space="preserve"> in </w:t>
      </w:r>
      <w:r w:rsidR="000E3A23">
        <w:rPr>
          <w:lang w:val="en-US"/>
        </w:rPr>
        <w:t xml:space="preserve">custody </w:t>
      </w:r>
      <w:r w:rsidR="005627B9">
        <w:rPr>
          <w:lang w:val="en-US"/>
        </w:rPr>
        <w:t>when he</w:t>
      </w:r>
      <w:r w:rsidR="000E3A23">
        <w:rPr>
          <w:lang w:val="en-US"/>
        </w:rPr>
        <w:t xml:space="preserve"> was tortured and killed with the knowledge and acquiescence of police officers, who were part of that same institution.</w:t>
      </w:r>
      <w:r w:rsidR="000E3A23">
        <w:rPr>
          <w:rStyle w:val="FootnoteReference"/>
          <w:lang w:val="en-US"/>
        </w:rPr>
        <w:footnoteReference w:id="16"/>
      </w:r>
      <w:r w:rsidR="000E3A23">
        <w:rPr>
          <w:lang w:val="en-US"/>
        </w:rPr>
        <w:t xml:space="preserve"> </w:t>
      </w:r>
      <w:r w:rsidR="004F523E">
        <w:rPr>
          <w:lang w:val="en-US"/>
        </w:rPr>
        <w:lastRenderedPageBreak/>
        <w:t>The fact that the criminal investigation was overseen by a prosecutor was not sufficient to guarantee its independence</w:t>
      </w:r>
      <w:r w:rsidR="00915DCE">
        <w:rPr>
          <w:lang w:val="en-US"/>
        </w:rPr>
        <w:t>,</w:t>
      </w:r>
      <w:r w:rsidR="004F523E">
        <w:rPr>
          <w:lang w:val="en-US"/>
        </w:rPr>
        <w:t xml:space="preserve"> because the prosecutor relied on the evidence gathered by the police. The author refers to the findings of the Special Rapporteur on the independence of judges and </w:t>
      </w:r>
      <w:r w:rsidR="00DD0395">
        <w:rPr>
          <w:lang w:val="en-US"/>
        </w:rPr>
        <w:t>lawyers</w:t>
      </w:r>
      <w:r w:rsidR="00915DCE">
        <w:rPr>
          <w:lang w:val="en-US"/>
        </w:rPr>
        <w:t>,</w:t>
      </w:r>
      <w:r w:rsidR="00DD0395">
        <w:rPr>
          <w:lang w:val="en-US"/>
        </w:rPr>
        <w:t xml:space="preserve"> </w:t>
      </w:r>
      <w:r w:rsidR="004F523E">
        <w:rPr>
          <w:lang w:val="en-US"/>
        </w:rPr>
        <w:t>who reported after his visit to Kyrgyzstan</w:t>
      </w:r>
      <w:r w:rsidR="00DD0395">
        <w:rPr>
          <w:lang w:val="en-US"/>
        </w:rPr>
        <w:t xml:space="preserve"> </w:t>
      </w:r>
      <w:r w:rsidR="004F523E">
        <w:rPr>
          <w:lang w:val="en-US"/>
        </w:rPr>
        <w:t xml:space="preserve">that </w:t>
      </w:r>
      <w:r w:rsidR="005316CE">
        <w:rPr>
          <w:lang w:val="en-US"/>
        </w:rPr>
        <w:t>“</w:t>
      </w:r>
      <w:r w:rsidR="005316CE" w:rsidRPr="005316CE">
        <w:rPr>
          <w:lang w:val="en-GB"/>
        </w:rPr>
        <w:t xml:space="preserve">prosecutors often appear unwilling to initiate criminal prosecutions in this regard, and the Special Rapporteur was not able to obtain information on any criminal prosecutions that have been brought </w:t>
      </w:r>
      <w:r w:rsidR="005316CE">
        <w:rPr>
          <w:lang w:val="en-GB"/>
        </w:rPr>
        <w:t>for torture or ill-treatment”</w:t>
      </w:r>
      <w:r w:rsidR="00DD0395">
        <w:rPr>
          <w:lang w:val="en-GB"/>
        </w:rPr>
        <w:t xml:space="preserve"> (see </w:t>
      </w:r>
      <w:r w:rsidR="00DD0395" w:rsidRPr="00DD0395">
        <w:rPr>
          <w:lang w:val="en-GB"/>
        </w:rPr>
        <w:fldChar w:fldCharType="begin"/>
      </w:r>
      <w:r w:rsidR="00DD0395" w:rsidRPr="00DD0395">
        <w:rPr>
          <w:lang w:val="en-GB"/>
        </w:rPr>
        <w:instrText xml:space="preserve"> FILLIN "Symbol" \* MERGEFORMAT </w:instrText>
      </w:r>
      <w:r w:rsidR="00DD0395" w:rsidRPr="00DD0395">
        <w:rPr>
          <w:lang w:val="en-GB"/>
        </w:rPr>
        <w:fldChar w:fldCharType="separate"/>
      </w:r>
      <w:r w:rsidR="00DD0395" w:rsidRPr="00DD0395">
        <w:rPr>
          <w:lang w:val="en-GB"/>
        </w:rPr>
        <w:t>E/CN.4/2006/52/Add.3</w:t>
      </w:r>
      <w:r w:rsidR="00DD0395" w:rsidRPr="00DD0395">
        <w:rPr>
          <w:lang w:val="en-GB"/>
        </w:rPr>
        <w:fldChar w:fldCharType="end"/>
      </w:r>
      <w:r w:rsidR="00DD0395" w:rsidRPr="00DD0395">
        <w:rPr>
          <w:lang w:val="en-GB"/>
        </w:rPr>
        <w:t>, para. 29</w:t>
      </w:r>
      <w:r w:rsidR="00DD0395">
        <w:rPr>
          <w:lang w:val="en-GB"/>
        </w:rPr>
        <w:t>)</w:t>
      </w:r>
      <w:r w:rsidR="005316CE">
        <w:rPr>
          <w:lang w:val="en-GB"/>
        </w:rPr>
        <w:t>.</w:t>
      </w:r>
      <w:r w:rsidR="001A1BF9">
        <w:rPr>
          <w:lang w:val="en-US"/>
        </w:rPr>
        <w:t xml:space="preserve"> </w:t>
      </w:r>
      <w:r w:rsidR="00657C98">
        <w:rPr>
          <w:lang w:val="en-US"/>
        </w:rPr>
        <w:t>The author points out that</w:t>
      </w:r>
      <w:r w:rsidR="00DD0395">
        <w:rPr>
          <w:lang w:val="en-US"/>
        </w:rPr>
        <w:t xml:space="preserve">, </w:t>
      </w:r>
      <w:r w:rsidR="00DD0395" w:rsidRPr="00DD0395">
        <w:rPr>
          <w:lang w:val="en-US"/>
        </w:rPr>
        <w:t>as a result of the inadequate investigation</w:t>
      </w:r>
      <w:r w:rsidR="00DD0395">
        <w:rPr>
          <w:lang w:val="en-US"/>
        </w:rPr>
        <w:t>,</w:t>
      </w:r>
      <w:r w:rsidR="00657C98">
        <w:rPr>
          <w:lang w:val="en-US"/>
        </w:rPr>
        <w:t xml:space="preserve"> no one has been held criminally responsible for the torture and death of his brother. The internal investigation led only to mild disciplinary sanctions against police officers: one oral warning, one order to strengthen control over staff and a sanction for unsatisfactory organization of work</w:t>
      </w:r>
      <w:r w:rsidR="00DD0395">
        <w:rPr>
          <w:lang w:val="en-US"/>
        </w:rPr>
        <w:t>;</w:t>
      </w:r>
      <w:r w:rsidR="00657C98">
        <w:rPr>
          <w:lang w:val="en-US"/>
        </w:rPr>
        <w:t xml:space="preserve"> the latter </w:t>
      </w:r>
      <w:r w:rsidR="00DD0395">
        <w:rPr>
          <w:lang w:val="en-US"/>
        </w:rPr>
        <w:t xml:space="preserve">was </w:t>
      </w:r>
      <w:r w:rsidR="00657C98">
        <w:rPr>
          <w:lang w:val="en-US"/>
        </w:rPr>
        <w:t xml:space="preserve">not imposed because the police officer was already under a </w:t>
      </w:r>
      <w:r w:rsidR="00657C98" w:rsidRPr="00C1281E">
        <w:rPr>
          <w:lang w:val="en-US"/>
        </w:rPr>
        <w:t>strict warning for an earlier offence</w:t>
      </w:r>
      <w:r w:rsidR="00657C98">
        <w:rPr>
          <w:lang w:val="en-US"/>
        </w:rPr>
        <w:t>.</w:t>
      </w:r>
      <w:r w:rsidR="00131772">
        <w:rPr>
          <w:lang w:val="en-US"/>
        </w:rPr>
        <w:t xml:space="preserve"> The author maintains that the investigation was not impartial, because it never considered any possible cause of death other than suicide.</w:t>
      </w:r>
      <w:r w:rsidR="00FB7390">
        <w:rPr>
          <w:lang w:val="en-US"/>
        </w:rPr>
        <w:t xml:space="preserve"> The author also maintains that the investigation was not efficient because it excluded the family of the victim</w:t>
      </w:r>
      <w:r w:rsidR="00DD0395">
        <w:rPr>
          <w:lang w:val="en-US"/>
        </w:rPr>
        <w:t>:</w:t>
      </w:r>
      <w:r w:rsidR="00FB7390">
        <w:rPr>
          <w:lang w:val="en-US"/>
        </w:rPr>
        <w:t xml:space="preserve"> they were not informed of its progress</w:t>
      </w:r>
      <w:r w:rsidR="00DD0395">
        <w:rPr>
          <w:lang w:val="en-US"/>
        </w:rPr>
        <w:t>,</w:t>
      </w:r>
      <w:r w:rsidR="00FB7390">
        <w:rPr>
          <w:lang w:val="en-US"/>
        </w:rPr>
        <w:t xml:space="preserve"> their requests that the torture be investigated were ignored, they were denied the right t</w:t>
      </w:r>
      <w:r w:rsidR="00E7627C">
        <w:rPr>
          <w:lang w:val="en-US"/>
        </w:rPr>
        <w:t>o question the forensic medical</w:t>
      </w:r>
      <w:r w:rsidR="00FB7390">
        <w:rPr>
          <w:lang w:val="en-US"/>
        </w:rPr>
        <w:t xml:space="preserve"> experts or to have an independent expert present</w:t>
      </w:r>
      <w:r w:rsidR="00DD0395">
        <w:rPr>
          <w:lang w:val="en-US"/>
        </w:rPr>
        <w:t>, and</w:t>
      </w:r>
      <w:r w:rsidR="00FB7390">
        <w:rPr>
          <w:lang w:val="en-US"/>
        </w:rPr>
        <w:t xml:space="preserve"> no final report of the investigation was published or made available to the family.</w:t>
      </w:r>
    </w:p>
    <w:p w:rsidR="00F57604" w:rsidRDefault="00457839" w:rsidP="00226C47">
      <w:pPr>
        <w:pStyle w:val="SingleTxtG"/>
        <w:rPr>
          <w:lang w:val="en-US"/>
        </w:rPr>
      </w:pPr>
      <w:r>
        <w:rPr>
          <w:lang w:val="en-GB"/>
        </w:rPr>
        <w:t>3.5</w:t>
      </w:r>
      <w:r w:rsidR="005316CE">
        <w:rPr>
          <w:lang w:val="en-GB"/>
        </w:rPr>
        <w:tab/>
      </w:r>
      <w:r w:rsidR="00F57604">
        <w:rPr>
          <w:lang w:val="en-US"/>
        </w:rPr>
        <w:t>The author lastly submits that the State party failed to provide access to effective remedies</w:t>
      </w:r>
      <w:r w:rsidR="00ED64DF">
        <w:rPr>
          <w:lang w:val="en-US"/>
        </w:rPr>
        <w:t>,</w:t>
      </w:r>
      <w:r w:rsidR="00F57604">
        <w:rPr>
          <w:lang w:val="en-US"/>
        </w:rPr>
        <w:t xml:space="preserve"> including compensation and adequate reparation</w:t>
      </w:r>
      <w:r w:rsidR="00ED64DF">
        <w:rPr>
          <w:lang w:val="en-US"/>
        </w:rPr>
        <w:t>,</w:t>
      </w:r>
      <w:r w:rsidR="00F57604">
        <w:rPr>
          <w:lang w:val="en-US"/>
        </w:rPr>
        <w:t xml:space="preserve"> in further violation of </w:t>
      </w:r>
      <w:r w:rsidR="006B5065">
        <w:rPr>
          <w:lang w:val="en-US"/>
        </w:rPr>
        <w:t>articles </w:t>
      </w:r>
      <w:r w:rsidR="00F57604">
        <w:rPr>
          <w:lang w:val="en-US"/>
        </w:rPr>
        <w:t>6</w:t>
      </w:r>
      <w:r w:rsidR="006B5065">
        <w:rPr>
          <w:lang w:val="en-US"/>
        </w:rPr>
        <w:t> </w:t>
      </w:r>
      <w:r w:rsidR="00ED64DF">
        <w:rPr>
          <w:lang w:val="en-US"/>
        </w:rPr>
        <w:t>(</w:t>
      </w:r>
      <w:r w:rsidR="00F57604">
        <w:rPr>
          <w:lang w:val="en-US"/>
        </w:rPr>
        <w:t>1</w:t>
      </w:r>
      <w:r w:rsidR="00ED64DF">
        <w:rPr>
          <w:lang w:val="en-US"/>
        </w:rPr>
        <w:t>)</w:t>
      </w:r>
      <w:r w:rsidR="00F57604">
        <w:rPr>
          <w:lang w:val="en-US"/>
        </w:rPr>
        <w:t xml:space="preserve"> and 7</w:t>
      </w:r>
      <w:r w:rsidR="00ED64DF">
        <w:rPr>
          <w:lang w:val="en-US"/>
        </w:rPr>
        <w:t>,</w:t>
      </w:r>
      <w:r w:rsidR="00F57604">
        <w:rPr>
          <w:lang w:val="en-US"/>
        </w:rPr>
        <w:t xml:space="preserve"> read</w:t>
      </w:r>
      <w:r w:rsidR="00ED64DF">
        <w:rPr>
          <w:lang w:val="en-US"/>
        </w:rPr>
        <w:t xml:space="preserve"> alone and</w:t>
      </w:r>
      <w:r w:rsidR="00F57604">
        <w:rPr>
          <w:lang w:val="en-US"/>
        </w:rPr>
        <w:t xml:space="preserve"> in conjunction with </w:t>
      </w:r>
      <w:r w:rsidR="006B5065">
        <w:rPr>
          <w:lang w:val="en-US"/>
        </w:rPr>
        <w:t>article </w:t>
      </w:r>
      <w:r w:rsidR="00F57604">
        <w:rPr>
          <w:lang w:val="en-US"/>
        </w:rPr>
        <w:t>2</w:t>
      </w:r>
      <w:r w:rsidR="006B5065">
        <w:rPr>
          <w:lang w:val="en-US"/>
        </w:rPr>
        <w:t> </w:t>
      </w:r>
      <w:r w:rsidR="00ED64DF">
        <w:rPr>
          <w:lang w:val="en-US"/>
        </w:rPr>
        <w:t>(</w:t>
      </w:r>
      <w:r w:rsidR="00F57604">
        <w:rPr>
          <w:lang w:val="en-US"/>
        </w:rPr>
        <w:t>3</w:t>
      </w:r>
      <w:r w:rsidR="00ED64DF">
        <w:rPr>
          <w:lang w:val="en-US"/>
        </w:rPr>
        <w:t>)</w:t>
      </w:r>
      <w:r w:rsidR="00F57604">
        <w:rPr>
          <w:lang w:val="en-US"/>
        </w:rPr>
        <w:t xml:space="preserve"> of the Covenant.</w:t>
      </w:r>
      <w:r w:rsidR="00657C98">
        <w:rPr>
          <w:lang w:val="en-US"/>
        </w:rPr>
        <w:t xml:space="preserve"> The author submits that the domestic law prevents the family fr</w:t>
      </w:r>
      <w:r w:rsidR="001A1BF9">
        <w:rPr>
          <w:lang w:val="en-US"/>
        </w:rPr>
        <w:t>o</w:t>
      </w:r>
      <w:r w:rsidR="00657C98">
        <w:rPr>
          <w:lang w:val="en-US"/>
        </w:rPr>
        <w:t xml:space="preserve">m submitting a civil claim for compensation for the death of the author’s brother, since it requires </w:t>
      </w:r>
      <w:r w:rsidR="00F64D60">
        <w:rPr>
          <w:lang w:val="en-US"/>
        </w:rPr>
        <w:t xml:space="preserve">a </w:t>
      </w:r>
      <w:r w:rsidR="00657C98">
        <w:rPr>
          <w:lang w:val="en-US"/>
        </w:rPr>
        <w:t>criminal conviction to have been issued</w:t>
      </w:r>
      <w:r w:rsidR="00253060">
        <w:rPr>
          <w:lang w:val="en-US"/>
        </w:rPr>
        <w:t xml:space="preserve"> against an agent of the </w:t>
      </w:r>
      <w:r w:rsidR="00ED64DF">
        <w:rPr>
          <w:lang w:val="en-US"/>
        </w:rPr>
        <w:t>S</w:t>
      </w:r>
      <w:r w:rsidR="00253060">
        <w:rPr>
          <w:lang w:val="en-US"/>
        </w:rPr>
        <w:t>tate.</w:t>
      </w:r>
      <w:r w:rsidR="00657C98">
        <w:rPr>
          <w:rStyle w:val="FootnoteReference"/>
          <w:lang w:val="en-US"/>
        </w:rPr>
        <w:footnoteReference w:id="17"/>
      </w:r>
      <w:r w:rsidR="00D36F37">
        <w:rPr>
          <w:lang w:val="en-US"/>
        </w:rPr>
        <w:t xml:space="preserve"> Even if a claim for negligence might have been possible in </w:t>
      </w:r>
      <w:r w:rsidR="00226C47">
        <w:rPr>
          <w:lang w:val="en-US"/>
        </w:rPr>
        <w:t xml:space="preserve">the </w:t>
      </w:r>
      <w:r w:rsidR="00D36F37">
        <w:rPr>
          <w:lang w:val="en-US"/>
        </w:rPr>
        <w:t xml:space="preserve">light of the disciplinary penalties imposed as a result of the internal police investigation, </w:t>
      </w:r>
      <w:r w:rsidR="00226C47">
        <w:rPr>
          <w:lang w:val="en-US"/>
        </w:rPr>
        <w:t xml:space="preserve">such a claim </w:t>
      </w:r>
      <w:r w:rsidR="00D36F37">
        <w:rPr>
          <w:lang w:val="en-US"/>
        </w:rPr>
        <w:t>would have been inadequate to compensate the victim’s family for his abuse and death</w:t>
      </w:r>
      <w:r w:rsidR="00226C47">
        <w:rPr>
          <w:lang w:val="en-US"/>
        </w:rPr>
        <w:t>.</w:t>
      </w:r>
      <w:r w:rsidR="00D36F37">
        <w:rPr>
          <w:lang w:val="en-US"/>
        </w:rPr>
        <w:t xml:space="preserve"> </w:t>
      </w:r>
      <w:r w:rsidR="00226C47">
        <w:rPr>
          <w:lang w:val="en-US"/>
        </w:rPr>
        <w:t>I</w:t>
      </w:r>
      <w:r w:rsidR="00D36F37">
        <w:rPr>
          <w:lang w:val="en-US"/>
        </w:rPr>
        <w:t>n practice</w:t>
      </w:r>
      <w:r w:rsidR="00226C47">
        <w:rPr>
          <w:lang w:val="en-US"/>
        </w:rPr>
        <w:t>,</w:t>
      </w:r>
      <w:r w:rsidR="00D36F37">
        <w:rPr>
          <w:lang w:val="en-US"/>
        </w:rPr>
        <w:t xml:space="preserve"> even that inadequate avenue was precluded, because the authorities refused to provide the family with an official copy of the results of th</w:t>
      </w:r>
      <w:r w:rsidR="00226C47">
        <w:rPr>
          <w:lang w:val="en-US"/>
        </w:rPr>
        <w:t>e</w:t>
      </w:r>
      <w:r w:rsidR="00D36F37">
        <w:rPr>
          <w:lang w:val="en-US"/>
        </w:rPr>
        <w:t xml:space="preserve"> investigation.</w:t>
      </w:r>
    </w:p>
    <w:p w:rsidR="003134AC" w:rsidRDefault="007B3302" w:rsidP="00AD6DE3">
      <w:pPr>
        <w:pStyle w:val="H23G"/>
      </w:pPr>
      <w:r>
        <w:tab/>
      </w:r>
      <w:r>
        <w:tab/>
      </w:r>
      <w:r w:rsidR="003134AC" w:rsidRPr="00574BC4">
        <w:t xml:space="preserve">State </w:t>
      </w:r>
      <w:r w:rsidR="006B5065" w:rsidRPr="00574BC4">
        <w:t>party</w:t>
      </w:r>
      <w:r w:rsidR="006B5065">
        <w:t>’</w:t>
      </w:r>
      <w:r w:rsidR="006B5065" w:rsidRPr="00574BC4">
        <w:t xml:space="preserve">s </w:t>
      </w:r>
      <w:r w:rsidR="003134AC" w:rsidRPr="00574BC4">
        <w:t>observations on admissibility</w:t>
      </w:r>
      <w:r w:rsidR="00EF3514">
        <w:t xml:space="preserve"> and merits</w:t>
      </w:r>
    </w:p>
    <w:p w:rsidR="00DC465A" w:rsidRDefault="00776E5E" w:rsidP="00FD44EB">
      <w:pPr>
        <w:pStyle w:val="SingleTxtG"/>
        <w:rPr>
          <w:lang w:val="en-US"/>
        </w:rPr>
      </w:pPr>
      <w:r>
        <w:t>4.1</w:t>
      </w:r>
      <w:r>
        <w:tab/>
      </w:r>
      <w:r w:rsidR="00EF1B91" w:rsidRPr="00EF1B91">
        <w:rPr>
          <w:lang w:val="en-GB"/>
        </w:rPr>
        <w:t>On 1</w:t>
      </w:r>
      <w:r w:rsidR="00BE2716">
        <w:rPr>
          <w:lang w:val="en-GB"/>
        </w:rPr>
        <w:t>3 July and 1</w:t>
      </w:r>
      <w:r w:rsidR="00F87ECB">
        <w:rPr>
          <w:lang w:val="en-GB"/>
        </w:rPr>
        <w:t>6 November</w:t>
      </w:r>
      <w:r w:rsidR="00EF1B91" w:rsidRPr="00EF1B91">
        <w:rPr>
          <w:lang w:val="en-GB"/>
        </w:rPr>
        <w:t xml:space="preserve"> 2011</w:t>
      </w:r>
      <w:r w:rsidR="00BE2716">
        <w:rPr>
          <w:lang w:val="en-GB"/>
        </w:rPr>
        <w:t xml:space="preserve"> and on 14 March 2012</w:t>
      </w:r>
      <w:r w:rsidR="006E279A">
        <w:rPr>
          <w:lang w:val="en-GB"/>
        </w:rPr>
        <w:t>,</w:t>
      </w:r>
      <w:r w:rsidR="00EF1B91" w:rsidRPr="00EF1B91">
        <w:rPr>
          <w:lang w:val="en-GB"/>
        </w:rPr>
        <w:t xml:space="preserve"> the State party submit</w:t>
      </w:r>
      <w:r w:rsidR="00226C47">
        <w:rPr>
          <w:lang w:val="en-GB"/>
        </w:rPr>
        <w:t>ted</w:t>
      </w:r>
      <w:r w:rsidR="00EF1B91" w:rsidRPr="00EF1B91">
        <w:rPr>
          <w:lang w:val="en-GB"/>
        </w:rPr>
        <w:t xml:space="preserve"> that </w:t>
      </w:r>
      <w:r w:rsidR="00F87ECB">
        <w:rPr>
          <w:lang w:val="en-GB"/>
        </w:rPr>
        <w:t xml:space="preserve">a criminal investigation </w:t>
      </w:r>
      <w:r w:rsidR="00C21A7F">
        <w:rPr>
          <w:lang w:val="en-GB"/>
        </w:rPr>
        <w:t xml:space="preserve">for forced sodomy </w:t>
      </w:r>
      <w:r w:rsidR="00226C47">
        <w:rPr>
          <w:lang w:val="en-GB"/>
        </w:rPr>
        <w:t xml:space="preserve">had been </w:t>
      </w:r>
      <w:r w:rsidR="00F87ECB">
        <w:rPr>
          <w:lang w:val="en-GB"/>
        </w:rPr>
        <w:t>initiated against</w:t>
      </w:r>
      <w:r w:rsidR="00226C47">
        <w:rPr>
          <w:lang w:val="en-GB"/>
        </w:rPr>
        <w:t xml:space="preserve"> </w:t>
      </w:r>
      <w:r w:rsidR="00F87ECB" w:rsidRPr="00FE2460">
        <w:rPr>
          <w:lang w:val="en-US"/>
        </w:rPr>
        <w:t>Rakhmonberdi Ernazarov</w:t>
      </w:r>
      <w:r w:rsidR="00C21A7F">
        <w:rPr>
          <w:lang w:val="en-US"/>
        </w:rPr>
        <w:t xml:space="preserve"> on 4 November 2005, based on a complaint filed by </w:t>
      </w:r>
      <w:r w:rsidR="002B00D4">
        <w:rPr>
          <w:lang w:val="en-US"/>
        </w:rPr>
        <w:t>the father of his former girlfriend</w:t>
      </w:r>
      <w:r w:rsidR="00226C47">
        <w:rPr>
          <w:lang w:val="en-US"/>
        </w:rPr>
        <w:t>; he was arrested</w:t>
      </w:r>
      <w:r w:rsidR="00C21A7F">
        <w:rPr>
          <w:lang w:val="en-US"/>
        </w:rPr>
        <w:t xml:space="preserve"> th</w:t>
      </w:r>
      <w:r w:rsidR="00226C47">
        <w:rPr>
          <w:lang w:val="en-US"/>
        </w:rPr>
        <w:t>at</w:t>
      </w:r>
      <w:r w:rsidR="00C21A7F">
        <w:rPr>
          <w:lang w:val="en-US"/>
        </w:rPr>
        <w:t xml:space="preserve"> same da</w:t>
      </w:r>
      <w:r w:rsidR="00226C47">
        <w:rPr>
          <w:lang w:val="en-US"/>
        </w:rPr>
        <w:t>y</w:t>
      </w:r>
      <w:r w:rsidR="00C21A7F">
        <w:rPr>
          <w:lang w:val="en-US"/>
        </w:rPr>
        <w:t xml:space="preserve">. On 7 November 2005, he was charged under </w:t>
      </w:r>
      <w:r w:rsidR="006B5065">
        <w:rPr>
          <w:lang w:val="en-US"/>
        </w:rPr>
        <w:t>article </w:t>
      </w:r>
      <w:r w:rsidR="00C21A7F">
        <w:rPr>
          <w:lang w:val="en-US"/>
        </w:rPr>
        <w:t>130</w:t>
      </w:r>
      <w:r w:rsidR="006B5065">
        <w:rPr>
          <w:lang w:val="en-US"/>
        </w:rPr>
        <w:t> </w:t>
      </w:r>
      <w:r w:rsidR="00226C47">
        <w:rPr>
          <w:lang w:val="en-US"/>
        </w:rPr>
        <w:t>(</w:t>
      </w:r>
      <w:r w:rsidR="00C21A7F">
        <w:rPr>
          <w:lang w:val="en-US"/>
        </w:rPr>
        <w:t>2</w:t>
      </w:r>
      <w:r w:rsidR="00226C47">
        <w:rPr>
          <w:lang w:val="en-US"/>
        </w:rPr>
        <w:t>)</w:t>
      </w:r>
      <w:r w:rsidR="00C21A7F">
        <w:rPr>
          <w:lang w:val="en-US"/>
        </w:rPr>
        <w:t xml:space="preserve"> of the Criminal Code. </w:t>
      </w:r>
      <w:r w:rsidR="006F3231">
        <w:rPr>
          <w:lang w:val="en-US"/>
        </w:rPr>
        <w:t xml:space="preserve">On </w:t>
      </w:r>
      <w:r w:rsidR="00BE2716">
        <w:rPr>
          <w:lang w:val="en-US"/>
        </w:rPr>
        <w:t>20</w:t>
      </w:r>
      <w:r w:rsidR="006F3231">
        <w:rPr>
          <w:lang w:val="en-US"/>
        </w:rPr>
        <w:t xml:space="preserve"> November 2005,</w:t>
      </w:r>
      <w:r w:rsidR="00BE2716">
        <w:rPr>
          <w:lang w:val="en-US"/>
        </w:rPr>
        <w:t xml:space="preserve"> </w:t>
      </w:r>
      <w:r w:rsidR="00226C47">
        <w:rPr>
          <w:lang w:val="en-US"/>
        </w:rPr>
        <w:t xml:space="preserve">at </w:t>
      </w:r>
      <w:r w:rsidR="00BE2716">
        <w:rPr>
          <w:lang w:val="en-US"/>
        </w:rPr>
        <w:t>around</w:t>
      </w:r>
      <w:r w:rsidR="006F3231">
        <w:rPr>
          <w:lang w:val="en-US"/>
        </w:rPr>
        <w:t xml:space="preserve"> </w:t>
      </w:r>
      <w:r w:rsidR="008C0088">
        <w:rPr>
          <w:lang w:val="en-US"/>
        </w:rPr>
        <w:t xml:space="preserve">6:30 </w:t>
      </w:r>
      <w:r w:rsidR="00226C47">
        <w:rPr>
          <w:lang w:val="en-US"/>
        </w:rPr>
        <w:t>a.m.</w:t>
      </w:r>
      <w:r w:rsidR="008C0088">
        <w:rPr>
          <w:lang w:val="en-US"/>
        </w:rPr>
        <w:t xml:space="preserve">, </w:t>
      </w:r>
      <w:r w:rsidR="006F3231">
        <w:rPr>
          <w:lang w:val="en-US"/>
        </w:rPr>
        <w:t>the</w:t>
      </w:r>
      <w:r w:rsidR="00BE2716">
        <w:rPr>
          <w:lang w:val="en-US"/>
        </w:rPr>
        <w:t xml:space="preserve"> author</w:t>
      </w:r>
      <w:r w:rsidR="00BE2716" w:rsidRPr="008C0088">
        <w:rPr>
          <w:lang w:val="en-GB"/>
        </w:rPr>
        <w:t>’</w:t>
      </w:r>
      <w:r w:rsidR="00BE2716">
        <w:rPr>
          <w:lang w:val="en-US"/>
        </w:rPr>
        <w:t xml:space="preserve">s brother was delivered to the </w:t>
      </w:r>
      <w:r w:rsidR="008C0088">
        <w:rPr>
          <w:lang w:val="en-US"/>
        </w:rPr>
        <w:t xml:space="preserve">Osh hospital with injuries and he died shortly thereafter. On 21 November 2005, an investigator opened a criminal investigation under </w:t>
      </w:r>
      <w:r w:rsidR="006B5065">
        <w:rPr>
          <w:lang w:val="en-US"/>
        </w:rPr>
        <w:t>article </w:t>
      </w:r>
      <w:r w:rsidR="008C0088">
        <w:rPr>
          <w:lang w:val="en-US"/>
        </w:rPr>
        <w:t>104</w:t>
      </w:r>
      <w:r w:rsidR="006B5065">
        <w:rPr>
          <w:lang w:val="en-US"/>
        </w:rPr>
        <w:t> </w:t>
      </w:r>
      <w:r w:rsidR="004526DA">
        <w:rPr>
          <w:lang w:val="en-US"/>
        </w:rPr>
        <w:t>(</w:t>
      </w:r>
      <w:r w:rsidR="008C0088">
        <w:rPr>
          <w:lang w:val="en-US"/>
        </w:rPr>
        <w:t>4</w:t>
      </w:r>
      <w:r w:rsidR="004526DA">
        <w:rPr>
          <w:lang w:val="en-US"/>
        </w:rPr>
        <w:t>)</w:t>
      </w:r>
      <w:r w:rsidR="008C0088">
        <w:rPr>
          <w:lang w:val="en-US"/>
        </w:rPr>
        <w:t xml:space="preserve"> of the Criminal Code (deliberate infliction of heavy bodily injuries, resulting in death). On 24 November 2005, the investigation was discontinued in accordance with </w:t>
      </w:r>
      <w:r w:rsidR="006B5065">
        <w:rPr>
          <w:lang w:val="en-US"/>
        </w:rPr>
        <w:t>article </w:t>
      </w:r>
      <w:r w:rsidR="008C0088">
        <w:rPr>
          <w:lang w:val="en-US"/>
        </w:rPr>
        <w:t>28</w:t>
      </w:r>
      <w:r w:rsidR="006B5065">
        <w:rPr>
          <w:lang w:val="en-US"/>
        </w:rPr>
        <w:t> </w:t>
      </w:r>
      <w:r w:rsidR="004526DA">
        <w:rPr>
          <w:lang w:val="en-US"/>
        </w:rPr>
        <w:t>(</w:t>
      </w:r>
      <w:r w:rsidR="008C0088">
        <w:rPr>
          <w:lang w:val="en-US"/>
        </w:rPr>
        <w:t>1.7</w:t>
      </w:r>
      <w:r w:rsidR="004526DA">
        <w:rPr>
          <w:lang w:val="en-US"/>
        </w:rPr>
        <w:t>)</w:t>
      </w:r>
      <w:r w:rsidR="008C0088">
        <w:rPr>
          <w:lang w:val="en-US"/>
        </w:rPr>
        <w:t xml:space="preserve"> (circumstances excluding criminal responsibility).</w:t>
      </w:r>
      <w:r w:rsidR="008C0088">
        <w:rPr>
          <w:rStyle w:val="FootnoteReference"/>
          <w:lang w:val="en-US"/>
        </w:rPr>
        <w:footnoteReference w:id="18"/>
      </w:r>
      <w:r w:rsidR="008C0088">
        <w:rPr>
          <w:lang w:val="en-US"/>
        </w:rPr>
        <w:t xml:space="preserve"> </w:t>
      </w:r>
      <w:r w:rsidR="00750A71">
        <w:rPr>
          <w:lang w:val="en-US"/>
        </w:rPr>
        <w:t xml:space="preserve">According to information from the Supreme Court, on 28 December 2006, the Osh City </w:t>
      </w:r>
      <w:r w:rsidR="0002220F">
        <w:rPr>
          <w:lang w:val="en-US"/>
        </w:rPr>
        <w:t>C</w:t>
      </w:r>
      <w:r w:rsidR="00750A71">
        <w:rPr>
          <w:lang w:val="en-US"/>
        </w:rPr>
        <w:t xml:space="preserve">ourt </w:t>
      </w:r>
      <w:r w:rsidR="00F244AC">
        <w:rPr>
          <w:lang w:val="en-US"/>
        </w:rPr>
        <w:t>rejected the complaint of the author against the decision of the Prosecutor’s Office.</w:t>
      </w:r>
      <w:r w:rsidR="00F244AC">
        <w:rPr>
          <w:rStyle w:val="FootnoteReference"/>
          <w:lang w:val="en-US"/>
        </w:rPr>
        <w:footnoteReference w:id="19"/>
      </w:r>
      <w:r w:rsidR="00107391">
        <w:rPr>
          <w:lang w:val="en-US"/>
        </w:rPr>
        <w:t xml:space="preserve"> The appeal </w:t>
      </w:r>
      <w:r w:rsidR="00107391">
        <w:rPr>
          <w:lang w:val="en-US"/>
        </w:rPr>
        <w:lastRenderedPageBreak/>
        <w:t xml:space="preserve">against the </w:t>
      </w:r>
      <w:r w:rsidR="002A7DCE">
        <w:rPr>
          <w:lang w:val="en-US"/>
        </w:rPr>
        <w:t>City C</w:t>
      </w:r>
      <w:r w:rsidR="00107391">
        <w:rPr>
          <w:lang w:val="en-US"/>
        </w:rPr>
        <w:t xml:space="preserve">ourt decision was rejected by the Osh Regional Court on 15 March 2007. The </w:t>
      </w:r>
      <w:r w:rsidR="00D9259F">
        <w:rPr>
          <w:lang w:val="en-US"/>
        </w:rPr>
        <w:t xml:space="preserve">Judicial </w:t>
      </w:r>
      <w:r w:rsidR="003F4820">
        <w:rPr>
          <w:lang w:val="en-US"/>
        </w:rPr>
        <w:t xml:space="preserve">Collegium of </w:t>
      </w:r>
      <w:r w:rsidR="00D9259F">
        <w:rPr>
          <w:lang w:val="en-US"/>
        </w:rPr>
        <w:t xml:space="preserve">the Supreme Court </w:t>
      </w:r>
      <w:r w:rsidR="00107391">
        <w:rPr>
          <w:lang w:val="en-US"/>
        </w:rPr>
        <w:t>on Criminal Cases and Administrative Offences</w:t>
      </w:r>
      <w:r w:rsidR="00B94959">
        <w:rPr>
          <w:lang w:val="en-US"/>
        </w:rPr>
        <w:t>,</w:t>
      </w:r>
      <w:r w:rsidR="00107391">
        <w:rPr>
          <w:lang w:val="en-US"/>
        </w:rPr>
        <w:t xml:space="preserve"> upon further appeal, on 26 September 2007, revoked the Osh Regional Court decision and returned the case for a new examination to the Osh City Court.</w:t>
      </w:r>
      <w:r w:rsidR="002B7373">
        <w:rPr>
          <w:lang w:val="en-US"/>
        </w:rPr>
        <w:t xml:space="preserve"> On 15 June 2007, the Osh City Court issued a ruling rejecting as unfounded the author’s appeal against the action of the Prosecutor’s Office and the </w:t>
      </w:r>
      <w:r w:rsidR="00376A05">
        <w:rPr>
          <w:lang w:val="en-US"/>
        </w:rPr>
        <w:t xml:space="preserve">decision of </w:t>
      </w:r>
      <w:r w:rsidR="002B7373">
        <w:rPr>
          <w:lang w:val="en-US"/>
        </w:rPr>
        <w:t xml:space="preserve">6 February 2006 to terminate the investigation </w:t>
      </w:r>
      <w:r w:rsidR="00FD44EB">
        <w:rPr>
          <w:lang w:val="en-US"/>
        </w:rPr>
        <w:t xml:space="preserve">into the </w:t>
      </w:r>
      <w:r w:rsidR="002B7373">
        <w:rPr>
          <w:lang w:val="en-US"/>
        </w:rPr>
        <w:t xml:space="preserve">police officers. The author’s subsequent appeal of that ruling was rejected on 2 August 2007 by the </w:t>
      </w:r>
      <w:r w:rsidR="00D9259F">
        <w:rPr>
          <w:lang w:val="en-US"/>
        </w:rPr>
        <w:t xml:space="preserve">Judicial </w:t>
      </w:r>
      <w:r w:rsidR="002B7373">
        <w:rPr>
          <w:lang w:val="en-US"/>
        </w:rPr>
        <w:t xml:space="preserve">Collegium </w:t>
      </w:r>
      <w:r w:rsidR="00D9259F" w:rsidRPr="00D9259F">
        <w:rPr>
          <w:lang w:val="en-US"/>
        </w:rPr>
        <w:t>of the Osh Regional Court</w:t>
      </w:r>
      <w:r w:rsidR="00D9259F">
        <w:rPr>
          <w:lang w:val="en-US"/>
        </w:rPr>
        <w:t xml:space="preserve"> </w:t>
      </w:r>
      <w:r w:rsidR="002B7373">
        <w:rPr>
          <w:lang w:val="en-US"/>
        </w:rPr>
        <w:t xml:space="preserve">on </w:t>
      </w:r>
      <w:r w:rsidR="003F4820">
        <w:rPr>
          <w:lang w:val="en-US"/>
        </w:rPr>
        <w:t>C</w:t>
      </w:r>
      <w:r w:rsidR="002B7373">
        <w:rPr>
          <w:lang w:val="en-US"/>
        </w:rPr>
        <w:t xml:space="preserve">riminal </w:t>
      </w:r>
      <w:r w:rsidR="003F4820">
        <w:rPr>
          <w:lang w:val="en-US"/>
        </w:rPr>
        <w:t>C</w:t>
      </w:r>
      <w:r w:rsidR="002B7373">
        <w:rPr>
          <w:lang w:val="en-US"/>
        </w:rPr>
        <w:t xml:space="preserve">ases and </w:t>
      </w:r>
      <w:r w:rsidR="003F4820">
        <w:rPr>
          <w:lang w:val="en-US"/>
        </w:rPr>
        <w:t>A</w:t>
      </w:r>
      <w:r w:rsidR="002B7373">
        <w:rPr>
          <w:lang w:val="en-US"/>
        </w:rPr>
        <w:t xml:space="preserve">dministrative </w:t>
      </w:r>
      <w:r w:rsidR="003F4820">
        <w:rPr>
          <w:lang w:val="en-US"/>
        </w:rPr>
        <w:t>O</w:t>
      </w:r>
      <w:r w:rsidR="002B7373">
        <w:rPr>
          <w:lang w:val="en-US"/>
        </w:rPr>
        <w:t>ffences.</w:t>
      </w:r>
      <w:r w:rsidR="003F4820">
        <w:rPr>
          <w:lang w:val="en-US"/>
        </w:rPr>
        <w:t xml:space="preserve"> The </w:t>
      </w:r>
      <w:r w:rsidR="00D9259F">
        <w:rPr>
          <w:lang w:val="en-US"/>
        </w:rPr>
        <w:t xml:space="preserve">Judicial </w:t>
      </w:r>
      <w:r w:rsidR="003F4820">
        <w:rPr>
          <w:lang w:val="en-US"/>
        </w:rPr>
        <w:t xml:space="preserve">Collegium </w:t>
      </w:r>
      <w:r w:rsidR="00D9259F" w:rsidRPr="00D9259F">
        <w:rPr>
          <w:lang w:val="en-US"/>
        </w:rPr>
        <w:t xml:space="preserve">of the Supreme Court </w:t>
      </w:r>
      <w:r w:rsidR="003F4820">
        <w:rPr>
          <w:lang w:val="en-US"/>
        </w:rPr>
        <w:t xml:space="preserve">on Criminal Cases and Administrative Offences confirmed the </w:t>
      </w:r>
      <w:r w:rsidR="00FD44EB">
        <w:rPr>
          <w:lang w:val="en-US"/>
        </w:rPr>
        <w:t xml:space="preserve">latter </w:t>
      </w:r>
      <w:r w:rsidR="00F823BD">
        <w:rPr>
          <w:lang w:val="en-US"/>
        </w:rPr>
        <w:t>decision on 31</w:t>
      </w:r>
      <w:r w:rsidR="00D9259F">
        <w:rPr>
          <w:lang w:val="en-US"/>
        </w:rPr>
        <w:t> </w:t>
      </w:r>
      <w:r w:rsidR="00F823BD">
        <w:rPr>
          <w:lang w:val="en-US"/>
        </w:rPr>
        <w:t>October 2007. No further appeal is possible</w:t>
      </w:r>
      <w:r w:rsidR="00D9259F">
        <w:rPr>
          <w:lang w:val="en-US"/>
        </w:rPr>
        <w:t>, in accordance with</w:t>
      </w:r>
      <w:r w:rsidR="00F823BD">
        <w:rPr>
          <w:lang w:val="en-US"/>
        </w:rPr>
        <w:t xml:space="preserve"> </w:t>
      </w:r>
      <w:r w:rsidR="006B5065">
        <w:rPr>
          <w:lang w:val="en-US"/>
        </w:rPr>
        <w:t>article </w:t>
      </w:r>
      <w:r w:rsidR="00F823BD">
        <w:rPr>
          <w:lang w:val="en-US"/>
        </w:rPr>
        <w:t>96 of the Constitution.</w:t>
      </w:r>
    </w:p>
    <w:p w:rsidR="00F823BD" w:rsidRDefault="00F823BD" w:rsidP="00137393">
      <w:pPr>
        <w:pStyle w:val="SingleTxtG"/>
        <w:rPr>
          <w:lang w:val="en-US"/>
        </w:rPr>
      </w:pPr>
      <w:r>
        <w:rPr>
          <w:lang w:val="en-US"/>
        </w:rPr>
        <w:t>4.2</w:t>
      </w:r>
      <w:r>
        <w:rPr>
          <w:lang w:val="en-US"/>
        </w:rPr>
        <w:tab/>
      </w:r>
      <w:r w:rsidR="000E4AC6">
        <w:rPr>
          <w:lang w:val="en-US"/>
        </w:rPr>
        <w:t>The State party submits that, o</w:t>
      </w:r>
      <w:r>
        <w:rPr>
          <w:lang w:val="en-US"/>
        </w:rPr>
        <w:t>n 26 November 2005</w:t>
      </w:r>
      <w:r w:rsidR="000E4AC6">
        <w:rPr>
          <w:lang w:val="en-US"/>
        </w:rPr>
        <w:t>,</w:t>
      </w:r>
      <w:r>
        <w:rPr>
          <w:lang w:val="en-US"/>
        </w:rPr>
        <w:t xml:space="preserve"> the investigation was assigned to the Prosecutor’s Office of Osh City.</w:t>
      </w:r>
      <w:r w:rsidR="00AD63AD">
        <w:rPr>
          <w:lang w:val="en-US"/>
        </w:rPr>
        <w:t xml:space="preserve"> </w:t>
      </w:r>
      <w:r w:rsidR="00D6529E">
        <w:rPr>
          <w:lang w:val="en-US"/>
        </w:rPr>
        <w:t>It also</w:t>
      </w:r>
      <w:r w:rsidR="00C278B1">
        <w:rPr>
          <w:lang w:val="en-US"/>
        </w:rPr>
        <w:t xml:space="preserve"> submits that i</w:t>
      </w:r>
      <w:r w:rsidR="00AD63AD">
        <w:rPr>
          <w:lang w:val="en-US"/>
        </w:rPr>
        <w:t xml:space="preserve">n the course of the investigation the six </w:t>
      </w:r>
      <w:r w:rsidR="001A1BF9">
        <w:rPr>
          <w:lang w:val="en-US"/>
        </w:rPr>
        <w:t>cell</w:t>
      </w:r>
      <w:r w:rsidR="00AD63AD">
        <w:rPr>
          <w:lang w:val="en-US"/>
        </w:rPr>
        <w:t>mates of the deceased</w:t>
      </w:r>
      <w:r w:rsidR="001A1BF9" w:rsidRPr="001A1BF9">
        <w:rPr>
          <w:lang w:val="en-US"/>
        </w:rPr>
        <w:t xml:space="preserve"> </w:t>
      </w:r>
      <w:r w:rsidR="00137393">
        <w:rPr>
          <w:lang w:val="en-US"/>
        </w:rPr>
        <w:t xml:space="preserve">had been </w:t>
      </w:r>
      <w:r w:rsidR="001A1BF9">
        <w:rPr>
          <w:lang w:val="en-US"/>
        </w:rPr>
        <w:t xml:space="preserve">questioned and </w:t>
      </w:r>
      <w:r w:rsidR="00137393">
        <w:rPr>
          <w:lang w:val="en-US"/>
        </w:rPr>
        <w:t xml:space="preserve">that </w:t>
      </w:r>
      <w:r w:rsidR="001A1BF9">
        <w:rPr>
          <w:lang w:val="en-US"/>
        </w:rPr>
        <w:t>they</w:t>
      </w:r>
      <w:r w:rsidR="00AD63AD">
        <w:rPr>
          <w:lang w:val="en-US"/>
        </w:rPr>
        <w:t xml:space="preserve"> </w:t>
      </w:r>
      <w:r w:rsidR="00137393">
        <w:rPr>
          <w:lang w:val="en-US"/>
        </w:rPr>
        <w:t xml:space="preserve">had </w:t>
      </w:r>
      <w:r w:rsidR="00AD63AD">
        <w:rPr>
          <w:lang w:val="en-US"/>
        </w:rPr>
        <w:t xml:space="preserve">testified that no violence </w:t>
      </w:r>
      <w:r w:rsidR="00137393">
        <w:rPr>
          <w:lang w:val="en-US"/>
        </w:rPr>
        <w:t>had been</w:t>
      </w:r>
      <w:r w:rsidR="00AD63AD">
        <w:rPr>
          <w:lang w:val="en-US"/>
        </w:rPr>
        <w:t xml:space="preserve"> </w:t>
      </w:r>
      <w:r w:rsidR="00D6529E">
        <w:rPr>
          <w:lang w:val="en-US"/>
        </w:rPr>
        <w:t>perpetuated against</w:t>
      </w:r>
      <w:r w:rsidR="00AD63AD">
        <w:rPr>
          <w:lang w:val="en-US"/>
        </w:rPr>
        <w:t xml:space="preserve"> him by the police officers or by the </w:t>
      </w:r>
      <w:r w:rsidR="002B00D4">
        <w:rPr>
          <w:lang w:val="en-US"/>
        </w:rPr>
        <w:t>cell</w:t>
      </w:r>
      <w:r w:rsidR="00AD63AD">
        <w:rPr>
          <w:lang w:val="en-US"/>
        </w:rPr>
        <w:t>mates themselves and that he had stated that he want</w:t>
      </w:r>
      <w:r w:rsidR="00D6529E">
        <w:rPr>
          <w:lang w:val="en-US"/>
        </w:rPr>
        <w:t>ed</w:t>
      </w:r>
      <w:r w:rsidR="00AD63AD">
        <w:rPr>
          <w:lang w:val="en-US"/>
        </w:rPr>
        <w:t xml:space="preserve"> to commit suicide.</w:t>
      </w:r>
      <w:r w:rsidR="00B721F8">
        <w:rPr>
          <w:lang w:val="en-US"/>
        </w:rPr>
        <w:t xml:space="preserve"> They also stated that when they woke up </w:t>
      </w:r>
      <w:r w:rsidR="00D6529E">
        <w:rPr>
          <w:lang w:val="en-US"/>
        </w:rPr>
        <w:t xml:space="preserve">at </w:t>
      </w:r>
      <w:r w:rsidR="00B721F8">
        <w:rPr>
          <w:lang w:val="en-US"/>
        </w:rPr>
        <w:t>around 6 a</w:t>
      </w:r>
      <w:r w:rsidR="00D6529E">
        <w:rPr>
          <w:lang w:val="en-US"/>
        </w:rPr>
        <w:t>.</w:t>
      </w:r>
      <w:r w:rsidR="00B721F8">
        <w:rPr>
          <w:lang w:val="en-US"/>
        </w:rPr>
        <w:t>m</w:t>
      </w:r>
      <w:r w:rsidR="00D6529E">
        <w:rPr>
          <w:lang w:val="en-US"/>
        </w:rPr>
        <w:t>.</w:t>
      </w:r>
      <w:r w:rsidR="00B721F8">
        <w:rPr>
          <w:lang w:val="en-US"/>
        </w:rPr>
        <w:t xml:space="preserve"> on 20 November 2005, they saw the author’s brother sitting on the toilet cutting his own throat. They called the guards, who opened the door of the cell and carried him out. </w:t>
      </w:r>
      <w:r w:rsidR="00D6529E">
        <w:rPr>
          <w:lang w:val="en-US"/>
        </w:rPr>
        <w:t>A</w:t>
      </w:r>
      <w:r w:rsidR="00C278B1">
        <w:rPr>
          <w:lang w:val="en-US"/>
        </w:rPr>
        <w:t xml:space="preserve">n ambulance </w:t>
      </w:r>
      <w:r w:rsidR="00B721F8">
        <w:rPr>
          <w:lang w:val="en-US"/>
        </w:rPr>
        <w:t>arrived and took him to the hospital.</w:t>
      </w:r>
      <w:r w:rsidR="00C278B1">
        <w:rPr>
          <w:lang w:val="en-US"/>
        </w:rPr>
        <w:t xml:space="preserve"> In the course of the investigation the ambulance workers</w:t>
      </w:r>
      <w:r w:rsidR="002B00D4" w:rsidRPr="002B00D4">
        <w:rPr>
          <w:lang w:val="en-US"/>
        </w:rPr>
        <w:t xml:space="preserve"> </w:t>
      </w:r>
      <w:r w:rsidR="002B00D4">
        <w:rPr>
          <w:lang w:val="en-US"/>
        </w:rPr>
        <w:t>were also questioned</w:t>
      </w:r>
      <w:r w:rsidR="00D6529E">
        <w:rPr>
          <w:lang w:val="en-US"/>
        </w:rPr>
        <w:t>.</w:t>
      </w:r>
      <w:r w:rsidR="00C278B1">
        <w:rPr>
          <w:lang w:val="en-US"/>
        </w:rPr>
        <w:t xml:space="preserve"> </w:t>
      </w:r>
      <w:r w:rsidR="00D6529E">
        <w:rPr>
          <w:lang w:val="en-US"/>
        </w:rPr>
        <w:t xml:space="preserve">They </w:t>
      </w:r>
      <w:r w:rsidR="00C278B1">
        <w:rPr>
          <w:lang w:val="en-US"/>
        </w:rPr>
        <w:t xml:space="preserve">testified that they </w:t>
      </w:r>
      <w:r w:rsidR="00D6529E">
        <w:rPr>
          <w:lang w:val="en-US"/>
        </w:rPr>
        <w:t xml:space="preserve">had </w:t>
      </w:r>
      <w:r w:rsidR="00C278B1">
        <w:rPr>
          <w:lang w:val="en-US"/>
        </w:rPr>
        <w:t xml:space="preserve">arrived at 6:20 </w:t>
      </w:r>
      <w:r w:rsidR="00D6529E">
        <w:rPr>
          <w:lang w:val="en-US"/>
        </w:rPr>
        <w:t xml:space="preserve">a.m. </w:t>
      </w:r>
      <w:r w:rsidR="00C278B1">
        <w:rPr>
          <w:lang w:val="en-US"/>
        </w:rPr>
        <w:t>on 20 November 2005, examined the victim, stopped the bleeding and transported him to the hospital</w:t>
      </w:r>
      <w:r w:rsidR="00D6529E">
        <w:rPr>
          <w:lang w:val="en-US"/>
        </w:rPr>
        <w:t>,</w:t>
      </w:r>
      <w:r w:rsidR="00C278B1">
        <w:rPr>
          <w:lang w:val="en-US"/>
        </w:rPr>
        <w:t xml:space="preserve"> and that he was in a serious condition. Further</w:t>
      </w:r>
      <w:r w:rsidR="00D6529E">
        <w:rPr>
          <w:lang w:val="en-US"/>
        </w:rPr>
        <w:t>more</w:t>
      </w:r>
      <w:r w:rsidR="00C278B1">
        <w:rPr>
          <w:lang w:val="en-US"/>
        </w:rPr>
        <w:t>, the investigat</w:t>
      </w:r>
      <w:r w:rsidR="00D6529E">
        <w:rPr>
          <w:lang w:val="en-US"/>
        </w:rPr>
        <w:t>ors</w:t>
      </w:r>
      <w:r w:rsidR="00C278B1">
        <w:rPr>
          <w:lang w:val="en-US"/>
        </w:rPr>
        <w:t xml:space="preserve"> questioned the </w:t>
      </w:r>
      <w:r w:rsidR="002B00D4">
        <w:rPr>
          <w:lang w:val="en-US"/>
        </w:rPr>
        <w:t>person</w:t>
      </w:r>
      <w:r w:rsidR="00C278B1">
        <w:rPr>
          <w:lang w:val="en-US"/>
        </w:rPr>
        <w:t xml:space="preserve"> who had filed the complain</w:t>
      </w:r>
      <w:r w:rsidR="002B00D4">
        <w:rPr>
          <w:lang w:val="en-US"/>
        </w:rPr>
        <w:t>t</w:t>
      </w:r>
      <w:r w:rsidR="00C278B1">
        <w:rPr>
          <w:lang w:val="en-US"/>
        </w:rPr>
        <w:t xml:space="preserve"> against the author’s brother and the wife of that </w:t>
      </w:r>
      <w:r w:rsidR="002B00D4">
        <w:rPr>
          <w:lang w:val="en-US"/>
        </w:rPr>
        <w:t>person</w:t>
      </w:r>
      <w:r w:rsidR="00137393">
        <w:rPr>
          <w:lang w:val="en-US"/>
        </w:rPr>
        <w:t>;</w:t>
      </w:r>
      <w:r w:rsidR="00C278B1">
        <w:rPr>
          <w:lang w:val="en-US"/>
        </w:rPr>
        <w:t xml:space="preserve"> </w:t>
      </w:r>
      <w:r w:rsidR="00137393">
        <w:rPr>
          <w:lang w:val="en-US"/>
        </w:rPr>
        <w:t>they</w:t>
      </w:r>
      <w:r w:rsidR="00C278B1">
        <w:rPr>
          <w:lang w:val="en-US"/>
        </w:rPr>
        <w:t xml:space="preserve"> testified that they had not seen the author’s brother since 27 October 2005</w:t>
      </w:r>
      <w:r w:rsidR="00D6529E">
        <w:rPr>
          <w:lang w:val="en-US"/>
        </w:rPr>
        <w:t>,</w:t>
      </w:r>
      <w:r w:rsidR="00C278B1">
        <w:rPr>
          <w:lang w:val="en-US"/>
        </w:rPr>
        <w:t xml:space="preserve"> that they had not visited him in detention and </w:t>
      </w:r>
      <w:r w:rsidR="00D6529E">
        <w:rPr>
          <w:lang w:val="en-US"/>
        </w:rPr>
        <w:t xml:space="preserve">that they had </w:t>
      </w:r>
      <w:r w:rsidR="00C278B1">
        <w:rPr>
          <w:lang w:val="en-US"/>
        </w:rPr>
        <w:t>not deliver</w:t>
      </w:r>
      <w:r w:rsidR="00D6529E">
        <w:rPr>
          <w:lang w:val="en-US"/>
        </w:rPr>
        <w:t>ed</w:t>
      </w:r>
      <w:r w:rsidR="00C278B1">
        <w:rPr>
          <w:lang w:val="en-US"/>
        </w:rPr>
        <w:t xml:space="preserve"> any products to him. No cutting instruments were found during the examination of the scene.</w:t>
      </w:r>
    </w:p>
    <w:p w:rsidR="00C278B1" w:rsidRDefault="00C278B1" w:rsidP="00137393">
      <w:pPr>
        <w:pStyle w:val="SingleTxtG"/>
        <w:rPr>
          <w:lang w:val="en-US"/>
        </w:rPr>
      </w:pPr>
      <w:r>
        <w:rPr>
          <w:lang w:val="en-US"/>
        </w:rPr>
        <w:t>4.</w:t>
      </w:r>
      <w:r w:rsidR="00263C52">
        <w:rPr>
          <w:lang w:val="en-US"/>
        </w:rPr>
        <w:t>3</w:t>
      </w:r>
      <w:r>
        <w:rPr>
          <w:lang w:val="en-US"/>
        </w:rPr>
        <w:tab/>
        <w:t>The State party submits that the conclusion of the forensic</w:t>
      </w:r>
      <w:r w:rsidR="0007642F">
        <w:rPr>
          <w:lang w:val="en-US"/>
        </w:rPr>
        <w:t xml:space="preserve"> </w:t>
      </w:r>
      <w:r>
        <w:rPr>
          <w:lang w:val="en-US"/>
        </w:rPr>
        <w:t xml:space="preserve">medical </w:t>
      </w:r>
      <w:r w:rsidR="007F160A">
        <w:rPr>
          <w:lang w:val="en-US"/>
        </w:rPr>
        <w:t>examination</w:t>
      </w:r>
      <w:r>
        <w:rPr>
          <w:lang w:val="en-US"/>
        </w:rPr>
        <w:t>, dated 30 November 2005, stated that the body of the victim</w:t>
      </w:r>
      <w:r w:rsidR="002B00D4">
        <w:rPr>
          <w:lang w:val="en-US"/>
        </w:rPr>
        <w:t xml:space="preserve"> showed</w:t>
      </w:r>
      <w:r>
        <w:rPr>
          <w:lang w:val="en-US"/>
        </w:rPr>
        <w:t xml:space="preserve"> </w:t>
      </w:r>
      <w:r w:rsidR="001462A8">
        <w:rPr>
          <w:lang w:val="en-US"/>
        </w:rPr>
        <w:t xml:space="preserve">two </w:t>
      </w:r>
      <w:r w:rsidR="00B461B0">
        <w:rPr>
          <w:lang w:val="en-US"/>
        </w:rPr>
        <w:t>cuts</w:t>
      </w:r>
      <w:r w:rsidR="001462A8">
        <w:rPr>
          <w:lang w:val="en-US"/>
        </w:rPr>
        <w:t xml:space="preserve"> on the </w:t>
      </w:r>
      <w:r w:rsidR="002B00D4">
        <w:rPr>
          <w:lang w:val="en-US"/>
        </w:rPr>
        <w:t>throat</w:t>
      </w:r>
      <w:r w:rsidR="00257307">
        <w:rPr>
          <w:lang w:val="en-US"/>
        </w:rPr>
        <w:t xml:space="preserve"> that had</w:t>
      </w:r>
      <w:r w:rsidR="00B461B0">
        <w:rPr>
          <w:lang w:val="en-US"/>
        </w:rPr>
        <w:t xml:space="preserve"> damag</w:t>
      </w:r>
      <w:r w:rsidR="00257307">
        <w:rPr>
          <w:lang w:val="en-US"/>
        </w:rPr>
        <w:t>ed</w:t>
      </w:r>
      <w:r>
        <w:rPr>
          <w:lang w:val="en-US"/>
        </w:rPr>
        <w:t xml:space="preserve"> </w:t>
      </w:r>
      <w:r w:rsidR="00B461B0">
        <w:rPr>
          <w:lang w:val="en-US"/>
        </w:rPr>
        <w:t>the skin, soft tissues, veins and certain muscles</w:t>
      </w:r>
      <w:r w:rsidR="00257307">
        <w:rPr>
          <w:lang w:val="en-US"/>
        </w:rPr>
        <w:t>,</w:t>
      </w:r>
      <w:r w:rsidR="001462A8">
        <w:rPr>
          <w:lang w:val="en-US"/>
        </w:rPr>
        <w:t xml:space="preserve"> a cut on the left wrist</w:t>
      </w:r>
      <w:r w:rsidR="00257307">
        <w:rPr>
          <w:lang w:val="en-US"/>
        </w:rPr>
        <w:t>,</w:t>
      </w:r>
      <w:r w:rsidR="001462A8">
        <w:rPr>
          <w:lang w:val="en-US"/>
        </w:rPr>
        <w:t xml:space="preserve"> a cut on the left knee</w:t>
      </w:r>
      <w:r w:rsidR="00257307">
        <w:rPr>
          <w:lang w:val="en-US"/>
        </w:rPr>
        <w:t xml:space="preserve"> and</w:t>
      </w:r>
      <w:r w:rsidR="001462A8">
        <w:rPr>
          <w:lang w:val="en-US"/>
        </w:rPr>
        <w:t xml:space="preserve"> bruises on the stomach, left arm and right leg. The death resulted from blood loss in the internal organs as a result of the bleeding from the </w:t>
      </w:r>
      <w:r w:rsidR="002B00D4">
        <w:rPr>
          <w:lang w:val="en-US"/>
        </w:rPr>
        <w:t xml:space="preserve">throat </w:t>
      </w:r>
      <w:r w:rsidR="001462A8">
        <w:rPr>
          <w:lang w:val="en-US"/>
        </w:rPr>
        <w:t>wounds. On 16</w:t>
      </w:r>
      <w:r w:rsidR="00257307">
        <w:rPr>
          <w:lang w:val="en-US"/>
        </w:rPr>
        <w:t> </w:t>
      </w:r>
      <w:r w:rsidR="001462A8">
        <w:rPr>
          <w:lang w:val="en-US"/>
        </w:rPr>
        <w:t xml:space="preserve">January 2006, another </w:t>
      </w:r>
      <w:r w:rsidR="001462A8" w:rsidRPr="006E279A">
        <w:t>forensic</w:t>
      </w:r>
      <w:r w:rsidR="00137393">
        <w:rPr>
          <w:lang w:val="en-US"/>
        </w:rPr>
        <w:t xml:space="preserve"> </w:t>
      </w:r>
      <w:r w:rsidR="001462A8">
        <w:rPr>
          <w:lang w:val="en-US"/>
        </w:rPr>
        <w:t xml:space="preserve">medical </w:t>
      </w:r>
      <w:r w:rsidR="00137393">
        <w:rPr>
          <w:lang w:val="en-US"/>
        </w:rPr>
        <w:t xml:space="preserve">examination </w:t>
      </w:r>
      <w:r w:rsidR="001462A8">
        <w:rPr>
          <w:lang w:val="en-US"/>
        </w:rPr>
        <w:t xml:space="preserve">was </w:t>
      </w:r>
      <w:r w:rsidR="00C95565">
        <w:rPr>
          <w:lang w:val="en-US"/>
        </w:rPr>
        <w:t>ordered</w:t>
      </w:r>
      <w:r w:rsidR="001462A8">
        <w:rPr>
          <w:lang w:val="en-US"/>
        </w:rPr>
        <w:t xml:space="preserve">, which concluded that the neck wounds could have been self-inflicted, but stated that it was not possible to determine whether that was the case. </w:t>
      </w:r>
    </w:p>
    <w:p w:rsidR="001462A8" w:rsidRPr="001A25B9" w:rsidRDefault="001462A8" w:rsidP="00E65D7E">
      <w:pPr>
        <w:pStyle w:val="SingleTxtG"/>
        <w:rPr>
          <w:lang w:val="en-US"/>
        </w:rPr>
      </w:pPr>
      <w:r>
        <w:rPr>
          <w:lang w:val="en-US"/>
        </w:rPr>
        <w:t>4.</w:t>
      </w:r>
      <w:r w:rsidR="00263C52">
        <w:rPr>
          <w:lang w:val="en-US"/>
        </w:rPr>
        <w:t>4</w:t>
      </w:r>
      <w:r>
        <w:rPr>
          <w:lang w:val="en-US"/>
        </w:rPr>
        <w:tab/>
        <w:t xml:space="preserve">On an unspecified date, the Prosecutor’s Office issued a ruling terminating the criminal investigation against the </w:t>
      </w:r>
      <w:r w:rsidR="00C95565">
        <w:rPr>
          <w:lang w:val="en-US"/>
        </w:rPr>
        <w:t>cell</w:t>
      </w:r>
      <w:r>
        <w:rPr>
          <w:lang w:val="en-US"/>
        </w:rPr>
        <w:t xml:space="preserve">mates of the author’s brother, </w:t>
      </w:r>
      <w:r w:rsidR="00C95565">
        <w:rPr>
          <w:lang w:val="en-US"/>
        </w:rPr>
        <w:t xml:space="preserve">since there was no evidence of </w:t>
      </w:r>
      <w:r>
        <w:rPr>
          <w:lang w:val="en-US"/>
        </w:rPr>
        <w:t xml:space="preserve">a crime. An internal investigation </w:t>
      </w:r>
      <w:r w:rsidR="00DB5CFC">
        <w:rPr>
          <w:lang w:val="en-US"/>
        </w:rPr>
        <w:t xml:space="preserve">by </w:t>
      </w:r>
      <w:r>
        <w:rPr>
          <w:lang w:val="en-US"/>
        </w:rPr>
        <w:t>the Ministry of Internal Affairs</w:t>
      </w:r>
      <w:r w:rsidR="00C95565">
        <w:rPr>
          <w:lang w:val="en-US"/>
        </w:rPr>
        <w:t xml:space="preserve"> </w:t>
      </w:r>
      <w:r w:rsidR="00DB5CFC">
        <w:rPr>
          <w:lang w:val="en-US"/>
        </w:rPr>
        <w:t xml:space="preserve">had </w:t>
      </w:r>
      <w:r w:rsidR="00C95565">
        <w:rPr>
          <w:lang w:val="en-US"/>
        </w:rPr>
        <w:t>also</w:t>
      </w:r>
      <w:r w:rsidR="00DB5CFC">
        <w:rPr>
          <w:lang w:val="en-US"/>
        </w:rPr>
        <w:t xml:space="preserve"> been</w:t>
      </w:r>
      <w:r w:rsidR="00C95565">
        <w:rPr>
          <w:lang w:val="en-US"/>
        </w:rPr>
        <w:t xml:space="preserve"> initiated. Following that investigation,</w:t>
      </w:r>
      <w:r>
        <w:rPr>
          <w:lang w:val="en-US"/>
        </w:rPr>
        <w:t xml:space="preserve"> </w:t>
      </w:r>
      <w:r w:rsidR="001A25B9">
        <w:rPr>
          <w:lang w:val="en-US"/>
        </w:rPr>
        <w:t>on 12 December 2005</w:t>
      </w:r>
      <w:r w:rsidR="00C95565">
        <w:rPr>
          <w:lang w:val="en-US"/>
        </w:rPr>
        <w:t>,</w:t>
      </w:r>
      <w:r w:rsidR="001A25B9">
        <w:rPr>
          <w:lang w:val="en-US"/>
        </w:rPr>
        <w:t xml:space="preserve"> </w:t>
      </w:r>
      <w:r>
        <w:rPr>
          <w:lang w:val="en-US"/>
        </w:rPr>
        <w:t>the Head of the Internal Affairs D</w:t>
      </w:r>
      <w:r w:rsidR="008329F7">
        <w:rPr>
          <w:lang w:val="en-US"/>
        </w:rPr>
        <w:t>irectorate</w:t>
      </w:r>
      <w:r>
        <w:rPr>
          <w:lang w:val="en-US"/>
        </w:rPr>
        <w:t xml:space="preserve"> in Osh issued a </w:t>
      </w:r>
      <w:r w:rsidR="001A25B9">
        <w:rPr>
          <w:lang w:val="en-US"/>
        </w:rPr>
        <w:t>reprimand</w:t>
      </w:r>
      <w:r>
        <w:rPr>
          <w:lang w:val="en-US"/>
        </w:rPr>
        <w:t xml:space="preserve"> </w:t>
      </w:r>
      <w:r w:rsidR="001A25B9">
        <w:rPr>
          <w:lang w:val="en-US"/>
        </w:rPr>
        <w:t>against one</w:t>
      </w:r>
      <w:r>
        <w:rPr>
          <w:lang w:val="en-US"/>
        </w:rPr>
        <w:t xml:space="preserve"> police officer </w:t>
      </w:r>
      <w:r w:rsidR="00C95565">
        <w:rPr>
          <w:lang w:val="en-US"/>
        </w:rPr>
        <w:t xml:space="preserve">who was </w:t>
      </w:r>
      <w:r>
        <w:rPr>
          <w:lang w:val="en-US"/>
        </w:rPr>
        <w:t xml:space="preserve">on duty at the time of the event </w:t>
      </w:r>
      <w:r w:rsidR="001A25B9">
        <w:rPr>
          <w:lang w:val="en-US"/>
        </w:rPr>
        <w:t xml:space="preserve">and a </w:t>
      </w:r>
      <w:r w:rsidR="00DB5CFC">
        <w:rPr>
          <w:lang w:val="en-US"/>
        </w:rPr>
        <w:t xml:space="preserve">severe </w:t>
      </w:r>
      <w:r w:rsidR="001A25B9">
        <w:rPr>
          <w:lang w:val="en-US"/>
        </w:rPr>
        <w:t>reprimand against the Chief of the police station</w:t>
      </w:r>
      <w:r w:rsidR="00DB5CFC">
        <w:rPr>
          <w:lang w:val="en-US"/>
        </w:rPr>
        <w:t>,</w:t>
      </w:r>
      <w:r w:rsidR="001A25B9">
        <w:rPr>
          <w:lang w:val="en-US"/>
        </w:rPr>
        <w:t xml:space="preserve"> citing bad organization of the work of the station. On 9 February 2006, the case was forwarded for further investigation </w:t>
      </w:r>
      <w:r w:rsidR="008329F7">
        <w:rPr>
          <w:lang w:val="en-US"/>
        </w:rPr>
        <w:t xml:space="preserve">to the Investigative Department of the Internal Affairs Directorate in Osh. On 21 February 2006, the criminal case against the employees of the Osh City Hospital, who provided medical assistance to the author’s brother, was discontinued since no crime was found to have been committed by them. A forensic handwriting </w:t>
      </w:r>
      <w:r w:rsidR="00E65D7E">
        <w:rPr>
          <w:lang w:val="en-US"/>
        </w:rPr>
        <w:t>expert</w:t>
      </w:r>
      <w:r w:rsidR="007F160A">
        <w:rPr>
          <w:lang w:val="en-US"/>
        </w:rPr>
        <w:t xml:space="preserve"> </w:t>
      </w:r>
      <w:r w:rsidR="008329F7">
        <w:rPr>
          <w:lang w:val="en-US"/>
        </w:rPr>
        <w:t>issued a conclusion, dated 15 August 2006, stat</w:t>
      </w:r>
      <w:r w:rsidR="0002220F">
        <w:rPr>
          <w:lang w:val="en-US"/>
        </w:rPr>
        <w:t>ing</w:t>
      </w:r>
      <w:r w:rsidR="008329F7">
        <w:rPr>
          <w:lang w:val="en-US"/>
        </w:rPr>
        <w:t xml:space="preserve"> that </w:t>
      </w:r>
      <w:r w:rsidR="0002220F">
        <w:rPr>
          <w:lang w:val="en-US"/>
        </w:rPr>
        <w:t xml:space="preserve">the </w:t>
      </w:r>
      <w:r w:rsidR="008329F7">
        <w:rPr>
          <w:lang w:val="en-US"/>
        </w:rPr>
        <w:t>suicide note found</w:t>
      </w:r>
      <w:r w:rsidR="00830DFD" w:rsidRPr="00830DFD">
        <w:rPr>
          <w:lang w:val="en-US"/>
        </w:rPr>
        <w:t xml:space="preserve"> </w:t>
      </w:r>
      <w:r w:rsidR="00EE448F">
        <w:rPr>
          <w:lang w:val="en-US"/>
        </w:rPr>
        <w:t>on the</w:t>
      </w:r>
      <w:r w:rsidR="00830DFD" w:rsidRPr="00830DFD">
        <w:rPr>
          <w:lang w:val="en-US"/>
        </w:rPr>
        <w:t xml:space="preserve"> cigarette pack</w:t>
      </w:r>
      <w:r w:rsidR="008329F7">
        <w:rPr>
          <w:lang w:val="en-US"/>
        </w:rPr>
        <w:t xml:space="preserve"> in the cell </w:t>
      </w:r>
      <w:r w:rsidR="00562C15">
        <w:rPr>
          <w:lang w:val="en-US"/>
        </w:rPr>
        <w:t xml:space="preserve">was written by </w:t>
      </w:r>
      <w:r w:rsidR="008329F7">
        <w:rPr>
          <w:lang w:val="en-US"/>
        </w:rPr>
        <w:t xml:space="preserve">the author’s brother. </w:t>
      </w:r>
      <w:r w:rsidR="00562C15">
        <w:rPr>
          <w:lang w:val="en-US"/>
        </w:rPr>
        <w:t>On 1 August 2006</w:t>
      </w:r>
      <w:r w:rsidR="0002220F">
        <w:rPr>
          <w:lang w:val="en-US"/>
        </w:rPr>
        <w:t>,</w:t>
      </w:r>
      <w:r w:rsidR="00562C15">
        <w:rPr>
          <w:lang w:val="en-US"/>
        </w:rPr>
        <w:t xml:space="preserve"> the criminal investigation into the </w:t>
      </w:r>
      <w:r w:rsidR="00EE448F">
        <w:rPr>
          <w:lang w:val="en-US"/>
        </w:rPr>
        <w:t xml:space="preserve">death of the </w:t>
      </w:r>
      <w:r w:rsidR="00562C15">
        <w:rPr>
          <w:lang w:val="en-US"/>
        </w:rPr>
        <w:t xml:space="preserve">author’s brother was discontinued on the ground </w:t>
      </w:r>
      <w:r w:rsidR="00E65D7E">
        <w:rPr>
          <w:lang w:val="en-US"/>
        </w:rPr>
        <w:t xml:space="preserve">that </w:t>
      </w:r>
      <w:r w:rsidR="00EE448F">
        <w:rPr>
          <w:lang w:val="en-US"/>
        </w:rPr>
        <w:t xml:space="preserve">the investigators </w:t>
      </w:r>
      <w:r w:rsidR="0002220F">
        <w:rPr>
          <w:lang w:val="en-US"/>
        </w:rPr>
        <w:t>could not find an</w:t>
      </w:r>
      <w:r w:rsidR="00562C15">
        <w:rPr>
          <w:lang w:val="en-US"/>
        </w:rPr>
        <w:t xml:space="preserve"> individual</w:t>
      </w:r>
      <w:r w:rsidR="00C95565">
        <w:rPr>
          <w:lang w:val="en-US"/>
        </w:rPr>
        <w:t xml:space="preserve"> who</w:t>
      </w:r>
      <w:r w:rsidR="00562C15">
        <w:rPr>
          <w:lang w:val="en-US"/>
        </w:rPr>
        <w:t xml:space="preserve"> could be charged with the crime.</w:t>
      </w:r>
    </w:p>
    <w:p w:rsidR="007740F1" w:rsidRPr="005E021C" w:rsidRDefault="006E279A" w:rsidP="00AD6DE3">
      <w:pPr>
        <w:pStyle w:val="H23G"/>
      </w:pPr>
      <w:r>
        <w:lastRenderedPageBreak/>
        <w:tab/>
      </w:r>
      <w:r>
        <w:tab/>
      </w:r>
      <w:r w:rsidR="00431396" w:rsidRPr="005E021C">
        <w:t>Author’</w:t>
      </w:r>
      <w:r w:rsidR="00446ABC" w:rsidRPr="00446ABC">
        <w:t>s</w:t>
      </w:r>
      <w:r w:rsidR="009A19F8" w:rsidRPr="005E021C">
        <w:t xml:space="preserve"> comments on the State </w:t>
      </w:r>
      <w:r w:rsidR="006B5065" w:rsidRPr="005E021C">
        <w:t>party</w:t>
      </w:r>
      <w:r w:rsidR="006B5065">
        <w:t>’</w:t>
      </w:r>
      <w:r w:rsidR="006B5065" w:rsidRPr="005E021C">
        <w:t xml:space="preserve">s </w:t>
      </w:r>
      <w:r w:rsidR="009A19F8" w:rsidRPr="005E021C">
        <w:t>observations</w:t>
      </w:r>
      <w:r w:rsidR="000A2EE4" w:rsidRPr="005E021C">
        <w:t xml:space="preserve"> </w:t>
      </w:r>
    </w:p>
    <w:p w:rsidR="00446ABC" w:rsidRPr="00562C15" w:rsidRDefault="009A19F8" w:rsidP="00CE6795">
      <w:pPr>
        <w:pStyle w:val="SingleTxtG"/>
        <w:rPr>
          <w:bCs/>
          <w:lang w:val="en-GB"/>
        </w:rPr>
      </w:pPr>
      <w:r>
        <w:rPr>
          <w:bCs/>
        </w:rPr>
        <w:t>5</w:t>
      </w:r>
      <w:r w:rsidRPr="009A19F8">
        <w:rPr>
          <w:bCs/>
        </w:rPr>
        <w:t>.</w:t>
      </w:r>
      <w:r w:rsidRPr="009A19F8">
        <w:rPr>
          <w:bCs/>
        </w:rPr>
        <w:tab/>
      </w:r>
      <w:r w:rsidR="00562C15" w:rsidRPr="00562C15">
        <w:rPr>
          <w:bCs/>
          <w:lang w:val="en-GB"/>
        </w:rPr>
        <w:t>On 30 January 2012, the author submit</w:t>
      </w:r>
      <w:r w:rsidR="00563459">
        <w:rPr>
          <w:bCs/>
          <w:lang w:val="en-GB"/>
        </w:rPr>
        <w:t>ted</w:t>
      </w:r>
      <w:r w:rsidR="00562C15" w:rsidRPr="00562C15">
        <w:rPr>
          <w:bCs/>
          <w:lang w:val="en-GB"/>
        </w:rPr>
        <w:t xml:space="preserve"> </w:t>
      </w:r>
      <w:r w:rsidR="00562C15">
        <w:rPr>
          <w:bCs/>
          <w:lang w:val="en-GB"/>
        </w:rPr>
        <w:t>that the State party did not dis</w:t>
      </w:r>
      <w:r w:rsidR="00562C15" w:rsidRPr="00562C15">
        <w:rPr>
          <w:bCs/>
          <w:lang w:val="en-GB"/>
        </w:rPr>
        <w:t xml:space="preserve">pute the basic facts of the case, namely that his brother </w:t>
      </w:r>
      <w:r w:rsidR="00563459">
        <w:rPr>
          <w:bCs/>
          <w:lang w:val="en-GB"/>
        </w:rPr>
        <w:t>had been</w:t>
      </w:r>
      <w:r w:rsidR="00562C15" w:rsidRPr="00562C15">
        <w:rPr>
          <w:bCs/>
          <w:lang w:val="en-GB"/>
        </w:rPr>
        <w:t xml:space="preserve"> arrested by the police offi</w:t>
      </w:r>
      <w:r w:rsidR="00562C15">
        <w:rPr>
          <w:bCs/>
          <w:lang w:val="en-GB"/>
        </w:rPr>
        <w:t>cers in Osh and died while in t</w:t>
      </w:r>
      <w:r w:rsidR="00562C15" w:rsidRPr="00562C15">
        <w:rPr>
          <w:bCs/>
          <w:lang w:val="en-GB"/>
        </w:rPr>
        <w:t>h</w:t>
      </w:r>
      <w:r w:rsidR="00562C15">
        <w:rPr>
          <w:bCs/>
          <w:lang w:val="en-GB"/>
        </w:rPr>
        <w:t>e</w:t>
      </w:r>
      <w:r w:rsidR="00562C15" w:rsidRPr="00562C15">
        <w:rPr>
          <w:bCs/>
          <w:lang w:val="en-GB"/>
        </w:rPr>
        <w:t xml:space="preserve"> detention cent</w:t>
      </w:r>
      <w:r w:rsidR="006C773F">
        <w:rPr>
          <w:bCs/>
          <w:lang w:val="en-GB"/>
        </w:rPr>
        <w:t>r</w:t>
      </w:r>
      <w:r w:rsidR="00562C15" w:rsidRPr="00562C15">
        <w:rPr>
          <w:bCs/>
          <w:lang w:val="en-GB"/>
        </w:rPr>
        <w:t xml:space="preserve">e </w:t>
      </w:r>
      <w:r w:rsidR="00562C15">
        <w:rPr>
          <w:bCs/>
          <w:lang w:val="en-GB"/>
        </w:rPr>
        <w:t xml:space="preserve">in Osh. </w:t>
      </w:r>
      <w:r w:rsidR="0090654B">
        <w:rPr>
          <w:bCs/>
          <w:lang w:val="en-GB"/>
        </w:rPr>
        <w:t xml:space="preserve">He notes that the State party does not challenge the admissibility of the case. </w:t>
      </w:r>
      <w:r w:rsidR="00563459">
        <w:rPr>
          <w:bCs/>
          <w:lang w:val="en-GB"/>
        </w:rPr>
        <w:t>He also</w:t>
      </w:r>
      <w:r w:rsidR="00562C15">
        <w:rPr>
          <w:bCs/>
          <w:lang w:val="en-GB"/>
        </w:rPr>
        <w:t xml:space="preserve"> notes that the State party’s observations do not address the arguments</w:t>
      </w:r>
      <w:r w:rsidR="003E5D6A">
        <w:rPr>
          <w:bCs/>
          <w:lang w:val="en-GB"/>
        </w:rPr>
        <w:t xml:space="preserve"> that </w:t>
      </w:r>
      <w:r w:rsidR="00E65D7E">
        <w:rPr>
          <w:bCs/>
          <w:lang w:val="en-GB"/>
        </w:rPr>
        <w:t>the State party</w:t>
      </w:r>
      <w:r w:rsidR="00457839">
        <w:rPr>
          <w:bCs/>
          <w:lang w:val="en-GB"/>
        </w:rPr>
        <w:t xml:space="preserve"> had failed in its positive obligation to protect the right to life of a vulnerable prisoner</w:t>
      </w:r>
      <w:r w:rsidR="00563459">
        <w:rPr>
          <w:bCs/>
          <w:lang w:val="en-GB"/>
        </w:rPr>
        <w:t>,</w:t>
      </w:r>
      <w:r w:rsidR="00457839">
        <w:rPr>
          <w:bCs/>
          <w:lang w:val="en-GB"/>
        </w:rPr>
        <w:t xml:space="preserve"> that his brother’s death must be presumed to be an arbitrary killing and that the State party had failed to conduct a thorough and impartial investigation rebutting that presumption</w:t>
      </w:r>
      <w:r w:rsidR="00E65D7E">
        <w:rPr>
          <w:bCs/>
          <w:lang w:val="en-GB"/>
        </w:rPr>
        <w:t>,</w:t>
      </w:r>
      <w:r w:rsidR="0090654B">
        <w:rPr>
          <w:bCs/>
          <w:lang w:val="en-GB"/>
        </w:rPr>
        <w:t xml:space="preserve"> and that it had failed to provide access to an effective remedy </w:t>
      </w:r>
      <w:r w:rsidR="00563459">
        <w:rPr>
          <w:bCs/>
          <w:lang w:val="en-GB"/>
        </w:rPr>
        <w:t>for</w:t>
      </w:r>
      <w:r w:rsidR="0090654B">
        <w:rPr>
          <w:bCs/>
          <w:lang w:val="en-GB"/>
        </w:rPr>
        <w:t xml:space="preserve"> the family of the victim</w:t>
      </w:r>
      <w:r w:rsidR="00457839">
        <w:rPr>
          <w:bCs/>
          <w:lang w:val="en-GB"/>
        </w:rPr>
        <w:t>. The author reiterate</w:t>
      </w:r>
      <w:r w:rsidR="00563459">
        <w:rPr>
          <w:bCs/>
          <w:lang w:val="en-GB"/>
        </w:rPr>
        <w:t>d</w:t>
      </w:r>
      <w:r w:rsidR="00457839">
        <w:rPr>
          <w:bCs/>
          <w:lang w:val="en-GB"/>
        </w:rPr>
        <w:t xml:space="preserve"> </w:t>
      </w:r>
      <w:r w:rsidR="0002220F">
        <w:rPr>
          <w:bCs/>
          <w:lang w:val="en-GB"/>
        </w:rPr>
        <w:t>his</w:t>
      </w:r>
      <w:r w:rsidR="00457839">
        <w:rPr>
          <w:bCs/>
          <w:lang w:val="en-GB"/>
        </w:rPr>
        <w:t xml:space="preserve"> initial submission. </w:t>
      </w:r>
    </w:p>
    <w:p w:rsidR="00F91EEE" w:rsidRPr="003A3109" w:rsidRDefault="006E279A" w:rsidP="00AD6DE3">
      <w:pPr>
        <w:pStyle w:val="H23G"/>
        <w:rPr>
          <w:lang w:val="en-US"/>
        </w:rPr>
      </w:pPr>
      <w:r>
        <w:tab/>
      </w:r>
      <w:r>
        <w:tab/>
      </w:r>
      <w:r w:rsidR="00F91EEE" w:rsidRPr="006E279A">
        <w:t>State</w:t>
      </w:r>
      <w:r w:rsidR="00F91EEE" w:rsidRPr="00F91EEE">
        <w:t xml:space="preserve"> </w:t>
      </w:r>
      <w:r w:rsidR="006B5065" w:rsidRPr="00F91EEE">
        <w:t>party</w:t>
      </w:r>
      <w:r w:rsidR="006B5065">
        <w:t>’</w:t>
      </w:r>
      <w:r w:rsidR="006B5065" w:rsidRPr="00F91EEE">
        <w:t xml:space="preserve">s </w:t>
      </w:r>
      <w:r w:rsidR="00F91EEE" w:rsidRPr="005E210E">
        <w:rPr>
          <w:lang w:val="en-US"/>
        </w:rPr>
        <w:t>further</w:t>
      </w:r>
      <w:r w:rsidR="00F91EEE" w:rsidRPr="003A3109">
        <w:rPr>
          <w:lang w:val="en-US"/>
        </w:rPr>
        <w:t xml:space="preserve"> </w:t>
      </w:r>
      <w:r w:rsidR="00F91EEE" w:rsidRPr="00F91EEE">
        <w:t>observations</w:t>
      </w:r>
    </w:p>
    <w:p w:rsidR="00F91EEE" w:rsidRDefault="00953BD9" w:rsidP="00E65D7E">
      <w:pPr>
        <w:pStyle w:val="SingleTxtG"/>
        <w:rPr>
          <w:lang w:val="en-GB"/>
        </w:rPr>
      </w:pPr>
      <w:r>
        <w:rPr>
          <w:lang w:val="en-GB"/>
        </w:rPr>
        <w:t>6.1</w:t>
      </w:r>
      <w:r w:rsidR="0090654B" w:rsidRPr="0090654B">
        <w:rPr>
          <w:lang w:val="en-GB"/>
        </w:rPr>
        <w:tab/>
        <w:t>On 18 April 2012, the State party reiterate</w:t>
      </w:r>
      <w:r w:rsidR="004004F7">
        <w:rPr>
          <w:lang w:val="en-GB"/>
        </w:rPr>
        <w:t>d</w:t>
      </w:r>
      <w:r w:rsidR="0090654B" w:rsidRPr="0090654B">
        <w:rPr>
          <w:lang w:val="en-GB"/>
        </w:rPr>
        <w:t xml:space="preserve"> the facts related to</w:t>
      </w:r>
      <w:r w:rsidR="0090654B">
        <w:rPr>
          <w:lang w:val="en-GB"/>
        </w:rPr>
        <w:t xml:space="preserve"> </w:t>
      </w:r>
      <w:r w:rsidR="0090654B" w:rsidRPr="0090654B">
        <w:rPr>
          <w:lang w:val="en-GB"/>
        </w:rPr>
        <w:t xml:space="preserve">the </w:t>
      </w:r>
      <w:r w:rsidR="0090654B">
        <w:rPr>
          <w:lang w:val="en-GB"/>
        </w:rPr>
        <w:t>criminal charges against the author’s brother and the investigation into his death (see paras</w:t>
      </w:r>
      <w:r w:rsidR="006B5065">
        <w:rPr>
          <w:lang w:val="en-GB"/>
        </w:rPr>
        <w:t>. </w:t>
      </w:r>
      <w:r w:rsidR="0090654B">
        <w:rPr>
          <w:lang w:val="en-GB"/>
        </w:rPr>
        <w:t>4.1</w:t>
      </w:r>
      <w:r w:rsidR="004E42B3">
        <w:rPr>
          <w:lang w:val="en-GB"/>
        </w:rPr>
        <w:t>–</w:t>
      </w:r>
      <w:r w:rsidR="0090654B">
        <w:rPr>
          <w:lang w:val="en-GB"/>
        </w:rPr>
        <w:t xml:space="preserve">4.3). The State party further reiterates that a suicide note was found scribbled on a cigarette package and that a forensic handwriting </w:t>
      </w:r>
      <w:r w:rsidR="00E65D7E">
        <w:rPr>
          <w:lang w:val="en-GB"/>
        </w:rPr>
        <w:t>assessment</w:t>
      </w:r>
      <w:r w:rsidR="007F160A">
        <w:rPr>
          <w:lang w:val="en-GB"/>
        </w:rPr>
        <w:t xml:space="preserve"> </w:t>
      </w:r>
      <w:r w:rsidR="0090654B">
        <w:rPr>
          <w:lang w:val="en-GB"/>
        </w:rPr>
        <w:t>confirmed that it</w:t>
      </w:r>
      <w:r w:rsidR="00956E3A">
        <w:rPr>
          <w:lang w:val="en-GB"/>
        </w:rPr>
        <w:t xml:space="preserve"> had been written by the author’</w:t>
      </w:r>
      <w:r w:rsidR="0090654B">
        <w:rPr>
          <w:lang w:val="en-GB"/>
        </w:rPr>
        <w:t xml:space="preserve">s brother. It submits that among the reasons to open a criminal investigation against the cellmates of the victim were the facts that no cutting instrument had been recovered and that the forensic </w:t>
      </w:r>
      <w:r w:rsidR="0007642F">
        <w:rPr>
          <w:lang w:val="en-GB"/>
        </w:rPr>
        <w:t>medical examination</w:t>
      </w:r>
      <w:r w:rsidR="0090654B">
        <w:rPr>
          <w:lang w:val="en-GB"/>
        </w:rPr>
        <w:t xml:space="preserve"> was inconclusive regarding the issue</w:t>
      </w:r>
      <w:r w:rsidR="00E65D7E">
        <w:rPr>
          <w:lang w:val="en-GB"/>
        </w:rPr>
        <w:t xml:space="preserve"> of</w:t>
      </w:r>
      <w:r w:rsidR="0090654B">
        <w:rPr>
          <w:lang w:val="en-GB"/>
        </w:rPr>
        <w:t xml:space="preserve"> whether his lethal wounds had been self-inflicted. The State party submits, however, that the investigation could not gather evidence that the cellmates or the police officers in the station were responsible for the injuries inflicted on the author’s brother. </w:t>
      </w:r>
    </w:p>
    <w:p w:rsidR="00953BD9" w:rsidRDefault="00953BD9" w:rsidP="006750DB">
      <w:pPr>
        <w:pStyle w:val="SingleTxtG"/>
        <w:rPr>
          <w:lang w:val="en-GB"/>
        </w:rPr>
      </w:pPr>
      <w:r>
        <w:rPr>
          <w:lang w:val="en-GB"/>
        </w:rPr>
        <w:t>6.2</w:t>
      </w:r>
      <w:r w:rsidR="00A6318C">
        <w:rPr>
          <w:lang w:val="en-GB"/>
        </w:rPr>
        <w:tab/>
      </w:r>
      <w:r w:rsidR="0049000F">
        <w:rPr>
          <w:lang w:val="en-GB"/>
        </w:rPr>
        <w:t xml:space="preserve">The State party contests the author’s submission that his brother was subjected to torture by his cellmates and that the police officers in the station were aware of that. It submits that witnesses are being warned of the criminal responsibility for false testimony when questioned, that both the cellmates and police officers from the station had been questioned and that there were no contradictions </w:t>
      </w:r>
      <w:r w:rsidR="006750DB">
        <w:rPr>
          <w:lang w:val="en-GB"/>
        </w:rPr>
        <w:t xml:space="preserve">among </w:t>
      </w:r>
      <w:r w:rsidR="0049000F">
        <w:rPr>
          <w:lang w:val="en-GB"/>
        </w:rPr>
        <w:t xml:space="preserve">their testimonies. </w:t>
      </w:r>
      <w:r w:rsidR="002A5CD2">
        <w:rPr>
          <w:lang w:val="en-GB"/>
        </w:rPr>
        <w:t xml:space="preserve">The testimonies did not indicate that the author’s brother had been tortured </w:t>
      </w:r>
      <w:r w:rsidR="006750DB">
        <w:rPr>
          <w:lang w:val="en-GB"/>
        </w:rPr>
        <w:t xml:space="preserve">or </w:t>
      </w:r>
      <w:r w:rsidR="002A5CD2">
        <w:rPr>
          <w:lang w:val="en-GB"/>
        </w:rPr>
        <w:t xml:space="preserve">that the police officers </w:t>
      </w:r>
      <w:r w:rsidR="006750DB">
        <w:rPr>
          <w:lang w:val="en-GB"/>
        </w:rPr>
        <w:t xml:space="preserve">had been </w:t>
      </w:r>
      <w:r w:rsidR="002A5CD2">
        <w:rPr>
          <w:lang w:val="en-GB"/>
        </w:rPr>
        <w:t xml:space="preserve">aware of </w:t>
      </w:r>
      <w:r w:rsidR="006750DB">
        <w:rPr>
          <w:lang w:val="en-GB"/>
        </w:rPr>
        <w:t>any torture</w:t>
      </w:r>
      <w:r w:rsidR="002A5CD2">
        <w:rPr>
          <w:lang w:val="en-GB"/>
        </w:rPr>
        <w:t xml:space="preserve">. It transpired that the author’s brother </w:t>
      </w:r>
      <w:r w:rsidR="006750DB">
        <w:rPr>
          <w:lang w:val="en-GB"/>
        </w:rPr>
        <w:t xml:space="preserve">had been </w:t>
      </w:r>
      <w:r w:rsidR="002A5CD2">
        <w:rPr>
          <w:lang w:val="en-GB"/>
        </w:rPr>
        <w:t xml:space="preserve">found by his cellmates, who called the officer on duty, who administered first aid. No sounds of fighting were heard. The case file contains the suicide note of the author stating that no one is guilty of his death. Further, the investigative </w:t>
      </w:r>
      <w:r w:rsidR="006750DB">
        <w:rPr>
          <w:lang w:val="en-GB"/>
        </w:rPr>
        <w:t xml:space="preserve">bodies </w:t>
      </w:r>
      <w:r w:rsidR="002A5CD2">
        <w:rPr>
          <w:lang w:val="en-GB"/>
        </w:rPr>
        <w:t xml:space="preserve">took all possible measures to investigate the criminal case. All petitions of the family of the victim and their lawyers were reviewed and responded to in a timely manner. </w:t>
      </w:r>
    </w:p>
    <w:p w:rsidR="002A5CD2" w:rsidRDefault="006E279A" w:rsidP="006750DB">
      <w:pPr>
        <w:pStyle w:val="SingleTxtG"/>
        <w:rPr>
          <w:lang w:val="en-GB"/>
        </w:rPr>
      </w:pPr>
      <w:r>
        <w:rPr>
          <w:lang w:val="en-GB"/>
        </w:rPr>
        <w:t>6.3</w:t>
      </w:r>
      <w:r w:rsidR="002A5CD2">
        <w:rPr>
          <w:lang w:val="en-GB"/>
        </w:rPr>
        <w:tab/>
        <w:t xml:space="preserve">The State party submits that during the </w:t>
      </w:r>
      <w:r w:rsidR="00273B0F">
        <w:rPr>
          <w:lang w:val="en-GB"/>
        </w:rPr>
        <w:t xml:space="preserve">detention of the </w:t>
      </w:r>
      <w:r w:rsidR="002A5CD2">
        <w:rPr>
          <w:lang w:val="en-GB"/>
        </w:rPr>
        <w:t>author’s brother</w:t>
      </w:r>
      <w:r w:rsidR="00E65D7E">
        <w:rPr>
          <w:lang w:val="en-GB"/>
        </w:rPr>
        <w:t>,</w:t>
      </w:r>
      <w:r w:rsidR="002A5CD2">
        <w:rPr>
          <w:lang w:val="en-GB"/>
        </w:rPr>
        <w:t xml:space="preserve"> between 7 and 20 November 2005, the Prosecutor’s Office of Osh twice visited the detention cent</w:t>
      </w:r>
      <w:r w:rsidR="00273B0F">
        <w:rPr>
          <w:lang w:val="en-GB"/>
        </w:rPr>
        <w:t>r</w:t>
      </w:r>
      <w:r w:rsidR="002A5CD2">
        <w:rPr>
          <w:lang w:val="en-GB"/>
        </w:rPr>
        <w:t>e The author’s brother did not raise any complaints regarding torture during th</w:t>
      </w:r>
      <w:r w:rsidR="00273B0F">
        <w:rPr>
          <w:lang w:val="en-GB"/>
        </w:rPr>
        <w:t>o</w:t>
      </w:r>
      <w:r w:rsidR="002A5CD2">
        <w:rPr>
          <w:lang w:val="en-GB"/>
        </w:rPr>
        <w:t>se visits. Further, employees of the police station were disciplin</w:t>
      </w:r>
      <w:r w:rsidR="00273B0F">
        <w:rPr>
          <w:lang w:val="en-GB"/>
        </w:rPr>
        <w:t>ed</w:t>
      </w:r>
      <w:r w:rsidR="002A5CD2">
        <w:rPr>
          <w:lang w:val="en-GB"/>
        </w:rPr>
        <w:t xml:space="preserve"> for the violations that they had committed.</w:t>
      </w:r>
      <w:r w:rsidR="00C95565">
        <w:rPr>
          <w:rStyle w:val="FootnoteReference"/>
          <w:lang w:val="en-GB"/>
        </w:rPr>
        <w:footnoteReference w:id="20"/>
      </w:r>
    </w:p>
    <w:p w:rsidR="002A5CD2" w:rsidRPr="0090654B" w:rsidRDefault="002A5CD2" w:rsidP="00E65D7E">
      <w:pPr>
        <w:pStyle w:val="SingleTxtG"/>
        <w:rPr>
          <w:lang w:val="en-GB"/>
        </w:rPr>
      </w:pPr>
      <w:r>
        <w:rPr>
          <w:lang w:val="en-GB"/>
        </w:rPr>
        <w:t>6.4</w:t>
      </w:r>
      <w:r>
        <w:rPr>
          <w:lang w:val="en-GB"/>
        </w:rPr>
        <w:tab/>
        <w:t xml:space="preserve">The State party contests the author’s submission that it had declared his brother’s death a suicide. It maintains that at the time of the submission the investigative bodies had not made an official statement regarding the </w:t>
      </w:r>
      <w:r w:rsidR="00EB2EC3">
        <w:rPr>
          <w:lang w:val="en-GB"/>
        </w:rPr>
        <w:t>suicide of the author’s brother and the investigation continued. On 29 February 2012, the Prosecutor’s Office of Osh</w:t>
      </w:r>
      <w:r w:rsidR="006750DB">
        <w:rPr>
          <w:lang w:val="en-GB"/>
        </w:rPr>
        <w:t>,</w:t>
      </w:r>
      <w:r w:rsidR="00EB2EC3">
        <w:rPr>
          <w:lang w:val="en-GB"/>
        </w:rPr>
        <w:t xml:space="preserve"> after reviewing the case, revoked the decision to terminate the investigation and sent it to the Investigative Department of the Osh Directorate of Internal Affairs</w:t>
      </w:r>
      <w:r w:rsidR="006750DB">
        <w:rPr>
          <w:lang w:val="en-GB"/>
        </w:rPr>
        <w:t xml:space="preserve"> </w:t>
      </w:r>
      <w:r w:rsidR="006750DB" w:rsidRPr="006750DB">
        <w:rPr>
          <w:lang w:val="en-GB"/>
        </w:rPr>
        <w:t>for additional investigation</w:t>
      </w:r>
      <w:r w:rsidR="00EB2EC3">
        <w:rPr>
          <w:lang w:val="en-GB"/>
        </w:rPr>
        <w:t xml:space="preserve">. The State party also submits that the domestic legislation defines torture in </w:t>
      </w:r>
      <w:r w:rsidR="006B5065">
        <w:rPr>
          <w:lang w:val="en-GB"/>
        </w:rPr>
        <w:t>article </w:t>
      </w:r>
      <w:r w:rsidR="00EB2EC3">
        <w:rPr>
          <w:lang w:val="en-GB"/>
        </w:rPr>
        <w:t>305</w:t>
      </w:r>
      <w:r w:rsidR="002E598D">
        <w:rPr>
          <w:lang w:val="en-GB"/>
        </w:rPr>
        <w:t>-1</w:t>
      </w:r>
      <w:r w:rsidR="00EB2EC3">
        <w:rPr>
          <w:lang w:val="en-GB"/>
        </w:rPr>
        <w:t xml:space="preserve"> of the Criminal Code and classifies it as malfeasance in office.</w:t>
      </w:r>
      <w:r w:rsidR="000633F4">
        <w:rPr>
          <w:lang w:val="en-GB"/>
        </w:rPr>
        <w:t xml:space="preserve"> </w:t>
      </w:r>
      <w:r w:rsidR="00E65D7E">
        <w:rPr>
          <w:lang w:val="en-GB"/>
        </w:rPr>
        <w:t xml:space="preserve">The State party </w:t>
      </w:r>
      <w:r w:rsidR="00EB2EC3">
        <w:rPr>
          <w:lang w:val="en-GB"/>
        </w:rPr>
        <w:lastRenderedPageBreak/>
        <w:t>maintains that the death of the author’s brother cannot be qualified as torture under the domestic law.</w:t>
      </w:r>
    </w:p>
    <w:p w:rsidR="00F91EEE" w:rsidRPr="0090654B" w:rsidRDefault="006E279A" w:rsidP="006E279A">
      <w:pPr>
        <w:pStyle w:val="H23G"/>
      </w:pPr>
      <w:r>
        <w:tab/>
      </w:r>
      <w:r>
        <w:tab/>
      </w:r>
      <w:r w:rsidR="00F91EEE" w:rsidRPr="005E021C">
        <w:t>Author’</w:t>
      </w:r>
      <w:r w:rsidR="00F91EEE" w:rsidRPr="00446ABC">
        <w:t>s</w:t>
      </w:r>
      <w:r w:rsidR="00F91EEE" w:rsidRPr="005E021C">
        <w:t xml:space="preserve"> </w:t>
      </w:r>
      <w:r w:rsidR="005E210E">
        <w:t xml:space="preserve">further </w:t>
      </w:r>
      <w:r w:rsidR="00F91EEE" w:rsidRPr="005E021C">
        <w:t>comments</w:t>
      </w:r>
    </w:p>
    <w:p w:rsidR="00F91EEE" w:rsidRDefault="00F91EEE" w:rsidP="00A0760C">
      <w:pPr>
        <w:pStyle w:val="SingleTxtG"/>
        <w:rPr>
          <w:lang w:val="en-GB"/>
        </w:rPr>
      </w:pPr>
      <w:r w:rsidRPr="002A5CD2">
        <w:rPr>
          <w:lang w:val="en-GB"/>
        </w:rPr>
        <w:t>7.1</w:t>
      </w:r>
      <w:r w:rsidR="007919F7">
        <w:rPr>
          <w:lang w:val="en-GB"/>
        </w:rPr>
        <w:tab/>
        <w:t>On 22 June 2012, the author submit</w:t>
      </w:r>
      <w:r w:rsidR="00E65D7E">
        <w:rPr>
          <w:lang w:val="en-GB"/>
        </w:rPr>
        <w:t>ted</w:t>
      </w:r>
      <w:r w:rsidR="007919F7">
        <w:rPr>
          <w:lang w:val="en-GB"/>
        </w:rPr>
        <w:t xml:space="preserve"> that in its observations the State party for the first time </w:t>
      </w:r>
      <w:r w:rsidR="007919F7" w:rsidRPr="006E279A">
        <w:t>recogni</w:t>
      </w:r>
      <w:r w:rsidR="006750DB">
        <w:rPr>
          <w:lang w:val="en-US"/>
        </w:rPr>
        <w:t>z</w:t>
      </w:r>
      <w:r w:rsidR="007919F7" w:rsidRPr="006E279A">
        <w:t>ed</w:t>
      </w:r>
      <w:r w:rsidR="007919F7">
        <w:rPr>
          <w:lang w:val="en-GB"/>
        </w:rPr>
        <w:t xml:space="preserve"> that the inability to find </w:t>
      </w:r>
      <w:r w:rsidR="003E33F3">
        <w:rPr>
          <w:lang w:val="en-GB"/>
        </w:rPr>
        <w:t xml:space="preserve">in </w:t>
      </w:r>
      <w:r w:rsidR="006750DB">
        <w:rPr>
          <w:lang w:val="en-GB"/>
        </w:rPr>
        <w:t>the</w:t>
      </w:r>
      <w:r w:rsidR="003E33F3">
        <w:rPr>
          <w:lang w:val="en-GB"/>
        </w:rPr>
        <w:t xml:space="preserve"> locked cell </w:t>
      </w:r>
      <w:r w:rsidR="007919F7">
        <w:rPr>
          <w:lang w:val="en-GB"/>
        </w:rPr>
        <w:t xml:space="preserve">the weapon with which </w:t>
      </w:r>
      <w:r w:rsidR="003E33F3">
        <w:rPr>
          <w:lang w:val="en-GB"/>
        </w:rPr>
        <w:t xml:space="preserve">his brother’s </w:t>
      </w:r>
      <w:r w:rsidR="007919F7">
        <w:rPr>
          <w:lang w:val="en-GB"/>
        </w:rPr>
        <w:t>injuries</w:t>
      </w:r>
      <w:r w:rsidR="006750DB">
        <w:rPr>
          <w:lang w:val="en-GB"/>
        </w:rPr>
        <w:t xml:space="preserve"> </w:t>
      </w:r>
      <w:r w:rsidR="006750DB" w:rsidRPr="006750DB">
        <w:rPr>
          <w:lang w:val="en-GB"/>
        </w:rPr>
        <w:t>were inflicted</w:t>
      </w:r>
      <w:r w:rsidR="007919F7">
        <w:rPr>
          <w:lang w:val="en-GB"/>
        </w:rPr>
        <w:t xml:space="preserve"> might be an indication that </w:t>
      </w:r>
      <w:r w:rsidR="006750DB">
        <w:rPr>
          <w:lang w:val="en-GB"/>
        </w:rPr>
        <w:t xml:space="preserve">the </w:t>
      </w:r>
      <w:r w:rsidR="007919F7">
        <w:rPr>
          <w:lang w:val="en-GB"/>
        </w:rPr>
        <w:t>cellmates may be responsible. He notes that, in contradiction with its reliance on the suicide note, the State party denies claiming that the death of his brother resulted from a suicide, because the investigation was still ongoing, six and a half years after the fact. He maintains that none of the above responds to his submissions</w:t>
      </w:r>
      <w:r w:rsidR="0002220F">
        <w:rPr>
          <w:lang w:val="en-GB"/>
        </w:rPr>
        <w:t xml:space="preserve"> </w:t>
      </w:r>
      <w:r w:rsidR="007919F7">
        <w:rPr>
          <w:lang w:val="en-GB"/>
        </w:rPr>
        <w:t xml:space="preserve">and the violations set out in the initial communication. </w:t>
      </w:r>
      <w:r w:rsidR="009E3D9F">
        <w:rPr>
          <w:lang w:val="en-GB"/>
        </w:rPr>
        <w:t>He reiterates his previous submissions.</w:t>
      </w:r>
    </w:p>
    <w:p w:rsidR="009E3D9F" w:rsidRDefault="009E3D9F" w:rsidP="00A0760C">
      <w:pPr>
        <w:pStyle w:val="SingleTxtG"/>
        <w:rPr>
          <w:lang w:val="en-GB"/>
        </w:rPr>
      </w:pPr>
      <w:r>
        <w:rPr>
          <w:lang w:val="en-GB"/>
        </w:rPr>
        <w:t>7.2</w:t>
      </w:r>
      <w:r>
        <w:rPr>
          <w:lang w:val="en-GB"/>
        </w:rPr>
        <w:tab/>
        <w:t>The author submits that the State party accepted the statement of his brother’s cellmates and the police officers at face value, despite the contradiction with other existing evidence</w:t>
      </w:r>
      <w:r w:rsidR="006750DB">
        <w:rPr>
          <w:lang w:val="en-GB"/>
        </w:rPr>
        <w:t>,</w:t>
      </w:r>
      <w:r>
        <w:rPr>
          <w:lang w:val="en-GB"/>
        </w:rPr>
        <w:t xml:space="preserve"> </w:t>
      </w:r>
      <w:r w:rsidR="00A0760C">
        <w:rPr>
          <w:lang w:val="en-GB"/>
        </w:rPr>
        <w:t>which</w:t>
      </w:r>
      <w:r>
        <w:rPr>
          <w:lang w:val="en-GB"/>
        </w:rPr>
        <w:t xml:space="preserve"> demonstrates the ineffective nature of the investigation. He further reiterates that the evidence that his brother had been tortured had not been </w:t>
      </w:r>
      <w:r w:rsidR="00131772">
        <w:rPr>
          <w:lang w:val="en-GB"/>
        </w:rPr>
        <w:t>assessed by the investigating authorities</w:t>
      </w:r>
      <w:r>
        <w:rPr>
          <w:lang w:val="en-GB"/>
        </w:rPr>
        <w:t xml:space="preserve">. </w:t>
      </w:r>
    </w:p>
    <w:p w:rsidR="009E3D9F" w:rsidRPr="002A5CD2" w:rsidRDefault="009E3D9F" w:rsidP="00A0760C">
      <w:pPr>
        <w:pStyle w:val="SingleTxtG"/>
        <w:rPr>
          <w:lang w:val="en-GB"/>
        </w:rPr>
      </w:pPr>
      <w:r>
        <w:rPr>
          <w:lang w:val="en-GB"/>
        </w:rPr>
        <w:t>7.3</w:t>
      </w:r>
      <w:r>
        <w:rPr>
          <w:lang w:val="en-GB"/>
        </w:rPr>
        <w:tab/>
        <w:t>With regard to the State party’s submission that the investigation had been reopened</w:t>
      </w:r>
      <w:r w:rsidR="003E33F3">
        <w:rPr>
          <w:lang w:val="en-GB"/>
        </w:rPr>
        <w:t xml:space="preserve">, the author submits that the investigation cannot result in charges for the torture that his brother experienced, because under the current legislation the crime of torture can only be committed by officials. The author </w:t>
      </w:r>
      <w:r w:rsidR="00A0760C">
        <w:rPr>
          <w:lang w:val="en-GB"/>
        </w:rPr>
        <w:t xml:space="preserve">also </w:t>
      </w:r>
      <w:r w:rsidR="003E33F3">
        <w:rPr>
          <w:lang w:val="en-GB"/>
        </w:rPr>
        <w:t xml:space="preserve">submits that the reopened investigation is unduly delayed and </w:t>
      </w:r>
      <w:r w:rsidR="00A0760C">
        <w:rPr>
          <w:lang w:val="en-GB"/>
        </w:rPr>
        <w:t xml:space="preserve">that </w:t>
      </w:r>
      <w:r w:rsidR="003E33F3" w:rsidRPr="00317ADA">
        <w:t>there</w:t>
      </w:r>
      <w:r w:rsidR="003E33F3">
        <w:rPr>
          <w:lang w:val="en-GB"/>
        </w:rPr>
        <w:t xml:space="preserve"> is no indication that it will be more efficient than the previous investigation. The author maintains that the investigation had been dormant for over five years since the last known investigative action, namely</w:t>
      </w:r>
      <w:r w:rsidR="00A0760C">
        <w:rPr>
          <w:lang w:val="en-GB"/>
        </w:rPr>
        <w:t>,</w:t>
      </w:r>
      <w:r w:rsidR="003E33F3">
        <w:rPr>
          <w:lang w:val="en-GB"/>
        </w:rPr>
        <w:t xml:space="preserve"> the flawed analysis of the cigarette pack, and its reopening in February 2012, without any details </w:t>
      </w:r>
      <w:r w:rsidR="00A0760C">
        <w:rPr>
          <w:lang w:val="en-GB"/>
        </w:rPr>
        <w:t xml:space="preserve">on </w:t>
      </w:r>
      <w:r w:rsidR="003E33F3">
        <w:rPr>
          <w:lang w:val="en-GB"/>
        </w:rPr>
        <w:t>what steps ha</w:t>
      </w:r>
      <w:r w:rsidR="00A0760C">
        <w:rPr>
          <w:lang w:val="en-GB"/>
        </w:rPr>
        <w:t>ve</w:t>
      </w:r>
      <w:r w:rsidR="003E33F3">
        <w:rPr>
          <w:lang w:val="en-GB"/>
        </w:rPr>
        <w:t xml:space="preserve"> been taken, cannot prevent the Committee from examining the communication. </w:t>
      </w:r>
    </w:p>
    <w:p w:rsidR="00F35149" w:rsidRPr="006C6C87" w:rsidRDefault="003134AC" w:rsidP="00F35149">
      <w:pPr>
        <w:pStyle w:val="H23G"/>
      </w:pPr>
      <w:r w:rsidRPr="007B3302">
        <w:tab/>
      </w:r>
      <w:r w:rsidRPr="007B3302">
        <w:tab/>
      </w:r>
      <w:r w:rsidR="00F35149" w:rsidRPr="006C6C87">
        <w:t>Issues and proceedings before the Committee</w:t>
      </w:r>
    </w:p>
    <w:p w:rsidR="00F35149" w:rsidRPr="006C6C87" w:rsidRDefault="00F35149" w:rsidP="00F35149">
      <w:pPr>
        <w:pStyle w:val="H4G"/>
      </w:pPr>
      <w:r w:rsidRPr="006C6C87">
        <w:tab/>
      </w:r>
      <w:r w:rsidRPr="006C6C87">
        <w:tab/>
        <w:t>Consideration of admissibility</w:t>
      </w:r>
    </w:p>
    <w:p w:rsidR="00F35149" w:rsidRPr="006C6C87" w:rsidRDefault="00F91EEE" w:rsidP="00F35149">
      <w:pPr>
        <w:pStyle w:val="SingleTxtG"/>
        <w:rPr>
          <w:bCs/>
        </w:rPr>
      </w:pPr>
      <w:r>
        <w:rPr>
          <w:bCs/>
          <w:lang w:val="en-GB"/>
        </w:rPr>
        <w:t>8</w:t>
      </w:r>
      <w:r w:rsidR="00F35149" w:rsidRPr="006C6C87">
        <w:rPr>
          <w:bCs/>
        </w:rPr>
        <w:t>.1</w:t>
      </w:r>
      <w:r w:rsidR="00F35149" w:rsidRPr="006C6C87">
        <w:rPr>
          <w:bCs/>
        </w:rPr>
        <w:tab/>
        <w:t>Before considering any claim contained in a communication, the Human Rights Committee must</w:t>
      </w:r>
      <w:r w:rsidR="00B00733">
        <w:rPr>
          <w:bCs/>
          <w:lang w:val="en-US"/>
        </w:rPr>
        <w:t xml:space="preserve"> decide</w:t>
      </w:r>
      <w:r w:rsidR="00F35149" w:rsidRPr="006C6C87">
        <w:rPr>
          <w:bCs/>
        </w:rPr>
        <w:t xml:space="preserve">, in accordance with rule 93 of its rules of procedure, whether </w:t>
      </w:r>
      <w:r w:rsidR="00B00733">
        <w:rPr>
          <w:bCs/>
          <w:lang w:val="en-US"/>
        </w:rPr>
        <w:t>the communication</w:t>
      </w:r>
      <w:r w:rsidR="00F35149" w:rsidRPr="006C6C87">
        <w:rPr>
          <w:bCs/>
        </w:rPr>
        <w:t xml:space="preserve"> is admissible under the Optional Protocol to the Covenant.</w:t>
      </w:r>
    </w:p>
    <w:p w:rsidR="00F35149" w:rsidRPr="00F91EEE" w:rsidRDefault="00F91EEE" w:rsidP="00F35149">
      <w:pPr>
        <w:pStyle w:val="SingleTxtG"/>
        <w:rPr>
          <w:bCs/>
          <w:lang w:val="en-GB"/>
        </w:rPr>
      </w:pPr>
      <w:r w:rsidRPr="00F91EEE">
        <w:rPr>
          <w:bCs/>
          <w:lang w:val="en-GB"/>
        </w:rPr>
        <w:t>8</w:t>
      </w:r>
      <w:r w:rsidR="00F35149" w:rsidRPr="006C6C87">
        <w:rPr>
          <w:bCs/>
        </w:rPr>
        <w:t>.2</w:t>
      </w:r>
      <w:r w:rsidR="00F35149" w:rsidRPr="006C6C87">
        <w:rPr>
          <w:bCs/>
        </w:rPr>
        <w:tab/>
        <w:t xml:space="preserve">The Committee has ascertained, as required under </w:t>
      </w:r>
      <w:r w:rsidR="006B5065">
        <w:rPr>
          <w:bCs/>
        </w:rPr>
        <w:t>article </w:t>
      </w:r>
      <w:r w:rsidR="00F35149" w:rsidRPr="006C6C87">
        <w:rPr>
          <w:bCs/>
        </w:rPr>
        <w:t>5</w:t>
      </w:r>
      <w:r w:rsidR="006B5065">
        <w:rPr>
          <w:bCs/>
        </w:rPr>
        <w:t> </w:t>
      </w:r>
      <w:r w:rsidR="00B00733">
        <w:rPr>
          <w:bCs/>
          <w:lang w:val="en-US"/>
        </w:rPr>
        <w:t>(</w:t>
      </w:r>
      <w:r w:rsidR="00F35149" w:rsidRPr="006C6C87">
        <w:rPr>
          <w:bCs/>
        </w:rPr>
        <w:t>2</w:t>
      </w:r>
      <w:r w:rsidR="006B5065" w:rsidRPr="003A3109">
        <w:rPr>
          <w:bCs/>
          <w:lang w:val="en-US"/>
        </w:rPr>
        <w:t> </w:t>
      </w:r>
      <w:r w:rsidR="00F35149" w:rsidRPr="006C6C87">
        <w:rPr>
          <w:bCs/>
        </w:rPr>
        <w:t>(a)</w:t>
      </w:r>
      <w:r w:rsidR="00B00733">
        <w:rPr>
          <w:bCs/>
          <w:lang w:val="en-US"/>
        </w:rPr>
        <w:t>)</w:t>
      </w:r>
      <w:r w:rsidR="00F35149" w:rsidRPr="006C6C87">
        <w:rPr>
          <w:bCs/>
        </w:rPr>
        <w:t xml:space="preserve"> of the Optional Protocol, that the same matter is not being examined under another procedure of international investigation or settlement.</w:t>
      </w:r>
    </w:p>
    <w:p w:rsidR="00F80990" w:rsidRDefault="00F91EEE" w:rsidP="003242C0">
      <w:pPr>
        <w:pStyle w:val="SingleTxtG"/>
        <w:rPr>
          <w:lang w:val="en-US"/>
        </w:rPr>
      </w:pPr>
      <w:r>
        <w:rPr>
          <w:lang w:val="en-GB"/>
        </w:rPr>
        <w:t>8</w:t>
      </w:r>
      <w:r w:rsidR="00F60C3B" w:rsidRPr="00F60C3B">
        <w:rPr>
          <w:lang w:val="en-GB"/>
        </w:rPr>
        <w:t>.</w:t>
      </w:r>
      <w:r w:rsidR="00F60C3B">
        <w:rPr>
          <w:lang w:val="en-GB"/>
        </w:rPr>
        <w:t>3</w:t>
      </w:r>
      <w:r w:rsidR="00F60C3B">
        <w:rPr>
          <w:lang w:val="en-GB"/>
        </w:rPr>
        <w:tab/>
      </w:r>
      <w:r w:rsidR="00F80990">
        <w:rPr>
          <w:lang w:val="en-US"/>
        </w:rPr>
        <w:t xml:space="preserve">The Committee notes the State </w:t>
      </w:r>
      <w:r w:rsidR="006B5065">
        <w:rPr>
          <w:lang w:val="en-US"/>
        </w:rPr>
        <w:t xml:space="preserve">party’s </w:t>
      </w:r>
      <w:r w:rsidR="00F80990">
        <w:rPr>
          <w:lang w:val="en-US"/>
        </w:rPr>
        <w:t xml:space="preserve">submission that the investigation into the </w:t>
      </w:r>
      <w:r w:rsidR="00B00733">
        <w:rPr>
          <w:lang w:val="en-US"/>
        </w:rPr>
        <w:t xml:space="preserve">death of the </w:t>
      </w:r>
      <w:r w:rsidR="00F80990">
        <w:rPr>
          <w:lang w:val="en-US"/>
        </w:rPr>
        <w:t xml:space="preserve">author’s brother </w:t>
      </w:r>
      <w:r w:rsidR="00B00733">
        <w:rPr>
          <w:lang w:val="en-US"/>
        </w:rPr>
        <w:t>was</w:t>
      </w:r>
      <w:r w:rsidR="00F80990">
        <w:rPr>
          <w:lang w:val="en-US"/>
        </w:rPr>
        <w:t xml:space="preserve"> reopened in February 2012, as well as the author’s claim that the investigation has been ineffective and unreasonably prolonged. The Committee recalls its jurisprudence that, for the purposes of </w:t>
      </w:r>
      <w:r w:rsidR="006B5065">
        <w:rPr>
          <w:lang w:val="en-US"/>
        </w:rPr>
        <w:t>article </w:t>
      </w:r>
      <w:r w:rsidR="00F80990">
        <w:rPr>
          <w:lang w:val="en-US"/>
        </w:rPr>
        <w:t>5</w:t>
      </w:r>
      <w:r w:rsidR="006B5065">
        <w:rPr>
          <w:lang w:val="en-US"/>
        </w:rPr>
        <w:t> </w:t>
      </w:r>
      <w:r w:rsidR="00B00733">
        <w:rPr>
          <w:lang w:val="en-US"/>
        </w:rPr>
        <w:t>(</w:t>
      </w:r>
      <w:r w:rsidR="00F80990">
        <w:rPr>
          <w:lang w:val="en-US"/>
        </w:rPr>
        <w:t>2</w:t>
      </w:r>
      <w:r w:rsidR="006B5065">
        <w:rPr>
          <w:lang w:val="en-US"/>
        </w:rPr>
        <w:t> </w:t>
      </w:r>
      <w:r w:rsidR="00F80990">
        <w:rPr>
          <w:lang w:val="en-US"/>
        </w:rPr>
        <w:t>(b)</w:t>
      </w:r>
      <w:r w:rsidR="00B00733">
        <w:rPr>
          <w:lang w:val="en-US"/>
        </w:rPr>
        <w:t>)</w:t>
      </w:r>
      <w:r w:rsidR="00F80990">
        <w:rPr>
          <w:lang w:val="en-US"/>
        </w:rPr>
        <w:t xml:space="preserve"> of the Optional Protocol, domestic remedies must both be effective and available, and must not be unduly prolonged.</w:t>
      </w:r>
      <w:r w:rsidR="00F80990">
        <w:rPr>
          <w:rStyle w:val="FootnoteReference"/>
          <w:lang w:val="en-US"/>
        </w:rPr>
        <w:footnoteReference w:id="21"/>
      </w:r>
      <w:r w:rsidR="006E279A">
        <w:rPr>
          <w:lang w:val="en-US"/>
        </w:rPr>
        <w:t xml:space="preserve"> </w:t>
      </w:r>
      <w:r w:rsidR="00F80990">
        <w:rPr>
          <w:lang w:val="en-US"/>
        </w:rPr>
        <w:t xml:space="preserve">The Committee observes that in the instant case the investigation </w:t>
      </w:r>
      <w:r w:rsidR="00412979">
        <w:rPr>
          <w:lang w:val="en-US"/>
        </w:rPr>
        <w:t>was</w:t>
      </w:r>
      <w:r w:rsidR="00F80990">
        <w:rPr>
          <w:lang w:val="en-US"/>
        </w:rPr>
        <w:t xml:space="preserve"> reopened six years after the death of the victim and that, to the Committee’s knowledge, th</w:t>
      </w:r>
      <w:r w:rsidR="00412979">
        <w:rPr>
          <w:lang w:val="en-US"/>
        </w:rPr>
        <w:t>o</w:t>
      </w:r>
      <w:r w:rsidR="00F80990">
        <w:rPr>
          <w:lang w:val="en-US"/>
        </w:rPr>
        <w:t xml:space="preserve">se proceedings </w:t>
      </w:r>
      <w:r w:rsidR="00412979">
        <w:rPr>
          <w:lang w:val="en-US"/>
        </w:rPr>
        <w:t xml:space="preserve">have </w:t>
      </w:r>
      <w:r w:rsidR="00F80990">
        <w:rPr>
          <w:lang w:val="en-US"/>
        </w:rPr>
        <w:t xml:space="preserve">yet to be finalized. Therefore, the Committee considers that, in the </w:t>
      </w:r>
      <w:r w:rsidR="00F80990">
        <w:rPr>
          <w:lang w:val="en-US"/>
        </w:rPr>
        <w:lastRenderedPageBreak/>
        <w:t xml:space="preserve">circumstances of the present case, domestic remedies have been unreasonably prolonged and that </w:t>
      </w:r>
      <w:r w:rsidR="006B5065">
        <w:rPr>
          <w:lang w:val="en-US"/>
        </w:rPr>
        <w:t>article </w:t>
      </w:r>
      <w:r w:rsidR="00F80990">
        <w:rPr>
          <w:lang w:val="en-US"/>
        </w:rPr>
        <w:t>5</w:t>
      </w:r>
      <w:r w:rsidR="006B5065">
        <w:rPr>
          <w:lang w:val="en-US"/>
        </w:rPr>
        <w:t> </w:t>
      </w:r>
      <w:r w:rsidR="00412979">
        <w:rPr>
          <w:lang w:val="en-US"/>
        </w:rPr>
        <w:t>(</w:t>
      </w:r>
      <w:r w:rsidR="00F80990">
        <w:rPr>
          <w:lang w:val="en-US"/>
        </w:rPr>
        <w:t>2</w:t>
      </w:r>
      <w:r w:rsidR="006B5065">
        <w:rPr>
          <w:lang w:val="en-US"/>
        </w:rPr>
        <w:t> </w:t>
      </w:r>
      <w:r w:rsidR="00F80990">
        <w:rPr>
          <w:lang w:val="en-US"/>
        </w:rPr>
        <w:t>(b)</w:t>
      </w:r>
      <w:r w:rsidR="00412979">
        <w:rPr>
          <w:lang w:val="en-US"/>
        </w:rPr>
        <w:t>)</w:t>
      </w:r>
      <w:r w:rsidR="00F80990">
        <w:rPr>
          <w:lang w:val="en-US"/>
        </w:rPr>
        <w:t xml:space="preserve"> does not preclude it from considering the communication.</w:t>
      </w:r>
      <w:r w:rsidR="00835C7B" w:rsidRPr="00835C7B">
        <w:rPr>
          <w:vertAlign w:val="superscript"/>
          <w:lang w:val="en-US"/>
        </w:rPr>
        <w:footnoteReference w:id="22"/>
      </w:r>
    </w:p>
    <w:p w:rsidR="00F60C3B" w:rsidRPr="00F60C3B" w:rsidRDefault="00F80990" w:rsidP="008176A1">
      <w:pPr>
        <w:pStyle w:val="SingleTxtG"/>
      </w:pPr>
      <w:r>
        <w:rPr>
          <w:lang w:val="en-US"/>
        </w:rPr>
        <w:t>8.4</w:t>
      </w:r>
      <w:r>
        <w:rPr>
          <w:lang w:val="en-US"/>
        </w:rPr>
        <w:tab/>
      </w:r>
      <w:r w:rsidR="00711E1F">
        <w:rPr>
          <w:lang w:val="en-GB"/>
        </w:rPr>
        <w:t xml:space="preserve">The Committee notes that the State party has not challenged the admissibility of the communication </w:t>
      </w:r>
      <w:r>
        <w:rPr>
          <w:lang w:val="en-GB"/>
        </w:rPr>
        <w:t xml:space="preserve">on other grounds </w:t>
      </w:r>
      <w:r w:rsidR="00711E1F">
        <w:rPr>
          <w:lang w:val="en-GB"/>
        </w:rPr>
        <w:t xml:space="preserve">and finds that the author has sufficiently substantiated his </w:t>
      </w:r>
      <w:r w:rsidR="005E210E">
        <w:rPr>
          <w:lang w:val="en-GB"/>
        </w:rPr>
        <w:t xml:space="preserve">allegations under </w:t>
      </w:r>
      <w:r w:rsidR="006B5065">
        <w:rPr>
          <w:lang w:val="en-GB"/>
        </w:rPr>
        <w:t>article</w:t>
      </w:r>
      <w:r w:rsidR="00835C7B">
        <w:rPr>
          <w:lang w:val="en-GB"/>
        </w:rPr>
        <w:t>s</w:t>
      </w:r>
      <w:r w:rsidR="006B5065">
        <w:rPr>
          <w:lang w:val="en-GB"/>
        </w:rPr>
        <w:t> </w:t>
      </w:r>
      <w:r w:rsidR="005E210E">
        <w:rPr>
          <w:lang w:val="en-GB"/>
        </w:rPr>
        <w:t>6</w:t>
      </w:r>
      <w:r w:rsidR="006B5065">
        <w:rPr>
          <w:lang w:val="en-GB"/>
        </w:rPr>
        <w:t> </w:t>
      </w:r>
      <w:r w:rsidR="00835C7B">
        <w:rPr>
          <w:lang w:val="en-GB"/>
        </w:rPr>
        <w:t>(</w:t>
      </w:r>
      <w:r w:rsidR="005E210E">
        <w:rPr>
          <w:lang w:val="en-GB"/>
        </w:rPr>
        <w:t>1</w:t>
      </w:r>
      <w:r w:rsidR="00835C7B">
        <w:rPr>
          <w:lang w:val="en-GB"/>
        </w:rPr>
        <w:t>) and</w:t>
      </w:r>
      <w:r w:rsidR="006B5065">
        <w:rPr>
          <w:lang w:val="en-GB"/>
        </w:rPr>
        <w:t> </w:t>
      </w:r>
      <w:r w:rsidR="005E210E">
        <w:rPr>
          <w:lang w:val="en-GB"/>
        </w:rPr>
        <w:t>7</w:t>
      </w:r>
      <w:r w:rsidR="00835C7B">
        <w:rPr>
          <w:lang w:val="en-GB"/>
        </w:rPr>
        <w:t>, read alone and</w:t>
      </w:r>
      <w:r w:rsidR="005E210E">
        <w:rPr>
          <w:lang w:val="en-GB"/>
        </w:rPr>
        <w:t xml:space="preserve"> in conjunction with </w:t>
      </w:r>
      <w:r w:rsidR="006B5065">
        <w:rPr>
          <w:lang w:val="en-GB"/>
        </w:rPr>
        <w:t>article </w:t>
      </w:r>
      <w:r w:rsidR="005E210E">
        <w:rPr>
          <w:lang w:val="en-GB"/>
        </w:rPr>
        <w:t>2</w:t>
      </w:r>
      <w:r w:rsidR="006B5065">
        <w:rPr>
          <w:lang w:val="en-GB"/>
        </w:rPr>
        <w:t> </w:t>
      </w:r>
      <w:r w:rsidR="00835C7B">
        <w:rPr>
          <w:lang w:val="en-GB"/>
        </w:rPr>
        <w:t>(</w:t>
      </w:r>
      <w:r w:rsidR="005E210E">
        <w:rPr>
          <w:lang w:val="en-GB"/>
        </w:rPr>
        <w:t>3</w:t>
      </w:r>
      <w:r w:rsidR="00835C7B">
        <w:rPr>
          <w:lang w:val="en-GB"/>
        </w:rPr>
        <w:t>),</w:t>
      </w:r>
      <w:r w:rsidR="00711E1F">
        <w:rPr>
          <w:lang w:val="en-GB"/>
        </w:rPr>
        <w:t xml:space="preserve"> for the purposes of admissibility. The Committee, therefore, proceeds to its examination on the merits.</w:t>
      </w:r>
    </w:p>
    <w:p w:rsidR="00F35149" w:rsidRPr="006C6C87" w:rsidRDefault="00F35149" w:rsidP="00F35149">
      <w:pPr>
        <w:pStyle w:val="H4G"/>
      </w:pPr>
      <w:r w:rsidRPr="006C6C87">
        <w:tab/>
      </w:r>
      <w:r w:rsidRPr="006C6C87">
        <w:tab/>
        <w:t>Consideration of the merits</w:t>
      </w:r>
    </w:p>
    <w:p w:rsidR="0018481A" w:rsidRDefault="00F91EEE" w:rsidP="0018481A">
      <w:pPr>
        <w:pStyle w:val="SingleTxtG"/>
      </w:pPr>
      <w:r>
        <w:rPr>
          <w:lang w:val="en-GB"/>
        </w:rPr>
        <w:t>9</w:t>
      </w:r>
      <w:r w:rsidR="00F35149" w:rsidRPr="006C6C87">
        <w:t>.</w:t>
      </w:r>
      <w:r w:rsidR="0018481A" w:rsidRPr="0018481A">
        <w:rPr>
          <w:lang w:val="en-GB"/>
        </w:rPr>
        <w:t>1</w:t>
      </w:r>
      <w:r w:rsidR="00F35149" w:rsidRPr="006C6C87">
        <w:tab/>
      </w:r>
      <w:r w:rsidR="0018481A">
        <w:t xml:space="preserve">The Human Rights Committee has considered the present communication in the light of all the information made available to it by the parties, as required under </w:t>
      </w:r>
      <w:r w:rsidR="006B5065">
        <w:t>article </w:t>
      </w:r>
      <w:r w:rsidR="0018481A">
        <w:t>5</w:t>
      </w:r>
      <w:r w:rsidR="006B5065">
        <w:t> </w:t>
      </w:r>
      <w:r w:rsidR="000C569E">
        <w:rPr>
          <w:lang w:val="en-US"/>
        </w:rPr>
        <w:t>(</w:t>
      </w:r>
      <w:r w:rsidR="0018481A">
        <w:t>1</w:t>
      </w:r>
      <w:r w:rsidR="000C569E">
        <w:rPr>
          <w:lang w:val="en-US"/>
        </w:rPr>
        <w:t>)</w:t>
      </w:r>
      <w:r w:rsidR="0018481A">
        <w:t xml:space="preserve"> of the Optional Protocol.</w:t>
      </w:r>
    </w:p>
    <w:p w:rsidR="00676AB6" w:rsidRPr="006C1F0E" w:rsidRDefault="00F91EEE" w:rsidP="00001CB8">
      <w:pPr>
        <w:pStyle w:val="SingleTxtG"/>
        <w:spacing w:line="240" w:lineRule="exact"/>
        <w:rPr>
          <w:lang w:val="en-US"/>
        </w:rPr>
      </w:pPr>
      <w:r>
        <w:rPr>
          <w:lang w:val="en-GB"/>
        </w:rPr>
        <w:t>9</w:t>
      </w:r>
      <w:r w:rsidR="0018481A">
        <w:t>.2</w:t>
      </w:r>
      <w:r w:rsidR="0018481A">
        <w:tab/>
      </w:r>
      <w:r w:rsidR="00676AB6">
        <w:t>As to the author’s claim in relation to the arbitrary deprivation of h</w:t>
      </w:r>
      <w:r w:rsidR="00F80990" w:rsidRPr="00F80990">
        <w:rPr>
          <w:lang w:val="en-GB"/>
        </w:rPr>
        <w:t>is brother</w:t>
      </w:r>
      <w:r w:rsidR="00676AB6">
        <w:t>’s life, the Committee recalls its jurisprudence that the State party by arresting and detaining individuals takes the responsibility to care for their life</w:t>
      </w:r>
      <w:r w:rsidR="00131772">
        <w:rPr>
          <w:lang w:val="en-GB"/>
        </w:rPr>
        <w:t>.</w:t>
      </w:r>
      <w:r w:rsidR="00676AB6">
        <w:rPr>
          <w:rStyle w:val="FootnoteReference"/>
        </w:rPr>
        <w:footnoteReference w:id="23"/>
      </w:r>
      <w:r w:rsidR="00676AB6">
        <w:t xml:space="preserve"> </w:t>
      </w:r>
    </w:p>
    <w:p w:rsidR="00131772" w:rsidRDefault="00F80990" w:rsidP="008176A1">
      <w:pPr>
        <w:pStyle w:val="SingleTxtG"/>
        <w:spacing w:line="240" w:lineRule="exact"/>
        <w:rPr>
          <w:lang w:val="en-US"/>
        </w:rPr>
      </w:pPr>
      <w:r w:rsidRPr="00F80990">
        <w:rPr>
          <w:lang w:val="en-GB"/>
        </w:rPr>
        <w:t>9.</w:t>
      </w:r>
      <w:r w:rsidR="00131772">
        <w:rPr>
          <w:lang w:val="en-GB"/>
        </w:rPr>
        <w:t>3</w:t>
      </w:r>
      <w:r w:rsidRPr="00F80990">
        <w:rPr>
          <w:lang w:val="en-GB"/>
        </w:rPr>
        <w:tab/>
      </w:r>
      <w:r>
        <w:rPr>
          <w:lang w:val="en-GB"/>
        </w:rPr>
        <w:t>The Committee notes that in the instant case it is undisputed that the author’s brother died</w:t>
      </w:r>
      <w:r w:rsidR="0002220F">
        <w:rPr>
          <w:lang w:val="en-GB"/>
        </w:rPr>
        <w:t xml:space="preserve"> on 20 November 2005</w:t>
      </w:r>
      <w:r>
        <w:rPr>
          <w:lang w:val="en-GB"/>
        </w:rPr>
        <w:t xml:space="preserve"> while he was in the custody of the State party’s police, </w:t>
      </w:r>
      <w:r w:rsidR="00B61A0C">
        <w:rPr>
          <w:lang w:val="en-GB"/>
        </w:rPr>
        <w:t xml:space="preserve">and that there is no </w:t>
      </w:r>
      <w:r w:rsidR="0002220F">
        <w:rPr>
          <w:lang w:val="en-GB"/>
        </w:rPr>
        <w:t xml:space="preserve">final official </w:t>
      </w:r>
      <w:r w:rsidR="00B61A0C">
        <w:rPr>
          <w:lang w:val="en-GB"/>
        </w:rPr>
        <w:t xml:space="preserve">explanation of how his death occurred. </w:t>
      </w:r>
      <w:r w:rsidR="00131772">
        <w:rPr>
          <w:lang w:val="en-GB"/>
        </w:rPr>
        <w:t xml:space="preserve">The Committee notes the author’s submissions that: </w:t>
      </w:r>
      <w:r w:rsidR="00131772">
        <w:rPr>
          <w:lang w:val="en-US"/>
        </w:rPr>
        <w:t>his brother</w:t>
      </w:r>
      <w:r w:rsidR="00131772" w:rsidRPr="00FE2460">
        <w:rPr>
          <w:lang w:val="en-US"/>
        </w:rPr>
        <w:t xml:space="preserve"> had been subjected to psychological and physical </w:t>
      </w:r>
      <w:r w:rsidR="00FC65A0">
        <w:rPr>
          <w:lang w:val="en-US"/>
        </w:rPr>
        <w:t>abuse</w:t>
      </w:r>
      <w:r w:rsidR="00FC65A0" w:rsidRPr="00FE2460">
        <w:rPr>
          <w:lang w:val="en-US"/>
        </w:rPr>
        <w:t xml:space="preserve"> </w:t>
      </w:r>
      <w:r w:rsidR="00131772" w:rsidRPr="00FE2460">
        <w:rPr>
          <w:lang w:val="en-US"/>
        </w:rPr>
        <w:t>by other men in his cell because he was charged with a sexual offence against another man</w:t>
      </w:r>
      <w:r w:rsidR="00131772">
        <w:rPr>
          <w:lang w:val="en-US"/>
        </w:rPr>
        <w:t xml:space="preserve">; </w:t>
      </w:r>
      <w:r w:rsidR="00FC65A0">
        <w:rPr>
          <w:lang w:val="en-US"/>
        </w:rPr>
        <w:t>that the author had</w:t>
      </w:r>
      <w:r w:rsidR="00C677F0">
        <w:rPr>
          <w:lang w:val="en-US"/>
        </w:rPr>
        <w:t xml:space="preserve"> receive</w:t>
      </w:r>
      <w:r w:rsidR="0033114D">
        <w:rPr>
          <w:lang w:val="en-US"/>
        </w:rPr>
        <w:t>d</w:t>
      </w:r>
      <w:r w:rsidR="00C677F0">
        <w:rPr>
          <w:lang w:val="en-US"/>
        </w:rPr>
        <w:t xml:space="preserve"> information from a guard in the police station that his brother</w:t>
      </w:r>
      <w:r w:rsidR="006B5065">
        <w:rPr>
          <w:lang w:val="en-US"/>
        </w:rPr>
        <w:t xml:space="preserve"> </w:t>
      </w:r>
      <w:r w:rsidR="00131772">
        <w:rPr>
          <w:lang w:val="en-US"/>
        </w:rPr>
        <w:t>had been</w:t>
      </w:r>
      <w:r w:rsidR="00131772" w:rsidRPr="00FE2460">
        <w:rPr>
          <w:lang w:val="en-US"/>
        </w:rPr>
        <w:t xml:space="preserve"> forced to eat and sleep near the toilet</w:t>
      </w:r>
      <w:r w:rsidR="000633F4">
        <w:rPr>
          <w:lang w:val="en-US"/>
        </w:rPr>
        <w:t xml:space="preserve"> </w:t>
      </w:r>
      <w:r w:rsidR="00131772">
        <w:rPr>
          <w:lang w:val="en-US"/>
        </w:rPr>
        <w:t xml:space="preserve">and </w:t>
      </w:r>
      <w:r w:rsidR="00131772" w:rsidRPr="00FE2460">
        <w:rPr>
          <w:lang w:val="en-US"/>
        </w:rPr>
        <w:t>to inflict injuries upon himself with metal cutlery</w:t>
      </w:r>
      <w:r w:rsidR="00131772">
        <w:rPr>
          <w:lang w:val="en-US"/>
        </w:rPr>
        <w:t>;</w:t>
      </w:r>
      <w:r w:rsidR="00131772" w:rsidRPr="00FE2460">
        <w:rPr>
          <w:lang w:val="en-US"/>
        </w:rPr>
        <w:t xml:space="preserve"> that </w:t>
      </w:r>
      <w:r w:rsidR="00FC65A0">
        <w:rPr>
          <w:lang w:val="en-US"/>
        </w:rPr>
        <w:t>his brother’s</w:t>
      </w:r>
      <w:r w:rsidR="00FC65A0" w:rsidRPr="00FE2460">
        <w:rPr>
          <w:lang w:val="en-US"/>
        </w:rPr>
        <w:t xml:space="preserve"> </w:t>
      </w:r>
      <w:r w:rsidR="00131772" w:rsidRPr="00FE2460">
        <w:rPr>
          <w:lang w:val="en-US"/>
        </w:rPr>
        <w:t xml:space="preserve">dish and spoon </w:t>
      </w:r>
      <w:r w:rsidR="00FC65A0">
        <w:rPr>
          <w:lang w:val="en-US"/>
        </w:rPr>
        <w:t>had been</w:t>
      </w:r>
      <w:r w:rsidR="00FC65A0" w:rsidRPr="00FE2460">
        <w:rPr>
          <w:lang w:val="en-US"/>
        </w:rPr>
        <w:t xml:space="preserve"> </w:t>
      </w:r>
      <w:r w:rsidR="00131772" w:rsidRPr="00FE2460">
        <w:rPr>
          <w:lang w:val="en-US"/>
        </w:rPr>
        <w:t xml:space="preserve">damaged by </w:t>
      </w:r>
      <w:r w:rsidR="00131772">
        <w:rPr>
          <w:lang w:val="en-US"/>
        </w:rPr>
        <w:t>his cellmates</w:t>
      </w:r>
      <w:r w:rsidR="00131772" w:rsidRPr="00FE2460">
        <w:rPr>
          <w:lang w:val="en-US"/>
        </w:rPr>
        <w:t xml:space="preserve"> to make it difficult for him to eat</w:t>
      </w:r>
      <w:r w:rsidR="00131772">
        <w:rPr>
          <w:lang w:val="en-US"/>
        </w:rPr>
        <w:t xml:space="preserve">; and </w:t>
      </w:r>
      <w:r w:rsidR="00FC65A0">
        <w:rPr>
          <w:lang w:val="en-US"/>
        </w:rPr>
        <w:t xml:space="preserve">that </w:t>
      </w:r>
      <w:r w:rsidR="00131772">
        <w:rPr>
          <w:lang w:val="en-US"/>
        </w:rPr>
        <w:t>the</w:t>
      </w:r>
      <w:r w:rsidR="00131772" w:rsidRPr="00FE2460">
        <w:rPr>
          <w:lang w:val="en-US"/>
        </w:rPr>
        <w:t xml:space="preserve"> authorities were aware of the abuse and also of the risk it posed to his</w:t>
      </w:r>
      <w:r w:rsidR="00FC65A0">
        <w:rPr>
          <w:lang w:val="en-US"/>
        </w:rPr>
        <w:t xml:space="preserve"> brother’s</w:t>
      </w:r>
      <w:r w:rsidR="00131772" w:rsidRPr="00FE2460">
        <w:rPr>
          <w:lang w:val="en-US"/>
        </w:rPr>
        <w:t xml:space="preserve"> life, but did nothing to prevent, halt or punish it. </w:t>
      </w:r>
      <w:r w:rsidR="00131772">
        <w:rPr>
          <w:lang w:val="en-US"/>
        </w:rPr>
        <w:t>The Committee also notes the State party’s submission that</w:t>
      </w:r>
      <w:r w:rsidR="00FC65A0">
        <w:rPr>
          <w:lang w:val="en-US"/>
        </w:rPr>
        <w:t>,</w:t>
      </w:r>
      <w:r w:rsidR="00131772">
        <w:rPr>
          <w:lang w:val="en-US"/>
        </w:rPr>
        <w:t xml:space="preserve"> when questioned</w:t>
      </w:r>
      <w:r w:rsidR="00FC65A0">
        <w:rPr>
          <w:lang w:val="en-US"/>
        </w:rPr>
        <w:t>,</w:t>
      </w:r>
      <w:r w:rsidR="00131772">
        <w:rPr>
          <w:lang w:val="en-US"/>
        </w:rPr>
        <w:t xml:space="preserve"> the cellmates of the author’s brother denied torturing him and the guards at the police station denied having knowledge of any torture.</w:t>
      </w:r>
    </w:p>
    <w:p w:rsidR="0033114D" w:rsidRPr="00125C00" w:rsidRDefault="00131772" w:rsidP="00E16A70">
      <w:pPr>
        <w:pStyle w:val="SingleTxtG"/>
        <w:spacing w:line="240" w:lineRule="exact"/>
        <w:rPr>
          <w:lang w:val="en-GB"/>
        </w:rPr>
      </w:pPr>
      <w:r>
        <w:rPr>
          <w:lang w:val="en-US"/>
        </w:rPr>
        <w:t>9.4</w:t>
      </w:r>
      <w:r>
        <w:rPr>
          <w:lang w:val="en-US"/>
        </w:rPr>
        <w:tab/>
      </w:r>
      <w:r w:rsidR="0033114D" w:rsidRPr="00125C00">
        <w:rPr>
          <w:lang w:val="en-GB"/>
        </w:rPr>
        <w:t xml:space="preserve">The Committee </w:t>
      </w:r>
      <w:r w:rsidR="0033114D" w:rsidRPr="00125C00">
        <w:t>notes th</w:t>
      </w:r>
      <w:r w:rsidR="0033114D" w:rsidRPr="00125C00">
        <w:rPr>
          <w:lang w:val="en-GB"/>
        </w:rPr>
        <w:t>e</w:t>
      </w:r>
      <w:r w:rsidR="0033114D" w:rsidRPr="00125C00">
        <w:t xml:space="preserve"> author’s claim</w:t>
      </w:r>
      <w:r w:rsidR="0033114D" w:rsidRPr="00125C00">
        <w:rPr>
          <w:lang w:val="en-GB"/>
        </w:rPr>
        <w:t>s</w:t>
      </w:r>
      <w:r w:rsidR="0033114D" w:rsidRPr="00125C00">
        <w:t xml:space="preserve"> that the autopsy report revealed various injuries on the victim’s </w:t>
      </w:r>
      <w:r w:rsidR="0033114D" w:rsidRPr="00125C00">
        <w:rPr>
          <w:lang w:val="en-GB"/>
        </w:rPr>
        <w:t>body</w:t>
      </w:r>
      <w:r w:rsidR="00FC65A0">
        <w:rPr>
          <w:lang w:val="en-GB"/>
        </w:rPr>
        <w:t>,</w:t>
      </w:r>
      <w:r w:rsidR="0033114D" w:rsidRPr="00125C00">
        <w:rPr>
          <w:lang w:val="en-GB"/>
        </w:rPr>
        <w:t xml:space="preserve"> such as </w:t>
      </w:r>
      <w:r w:rsidR="0033114D" w:rsidRPr="00125C00">
        <w:rPr>
          <w:lang w:val="en-US"/>
        </w:rPr>
        <w:t>a cut on the left wrist</w:t>
      </w:r>
      <w:r w:rsidR="00FC65A0">
        <w:rPr>
          <w:lang w:val="en-US"/>
        </w:rPr>
        <w:t>,</w:t>
      </w:r>
      <w:r w:rsidR="0033114D" w:rsidRPr="00125C00">
        <w:rPr>
          <w:lang w:val="en-US"/>
        </w:rPr>
        <w:t xml:space="preserve"> a cut on the left knee</w:t>
      </w:r>
      <w:r w:rsidR="00FC65A0">
        <w:rPr>
          <w:lang w:val="en-US"/>
        </w:rPr>
        <w:t>,</w:t>
      </w:r>
      <w:r w:rsidR="0033114D" w:rsidRPr="00125C00">
        <w:rPr>
          <w:lang w:val="en-US"/>
        </w:rPr>
        <w:t xml:space="preserve"> bruises on the stomach, left arm and right leg</w:t>
      </w:r>
      <w:r w:rsidR="00E65D7E">
        <w:rPr>
          <w:lang w:val="en-US"/>
        </w:rPr>
        <w:t>,</w:t>
      </w:r>
      <w:r w:rsidR="0033114D" w:rsidRPr="00125C00">
        <w:rPr>
          <w:lang w:val="en-GB"/>
        </w:rPr>
        <w:t xml:space="preserve"> and missing teeth, that his brother had been ill-treated by his cellmates on a daily basis for the duration of his detention, because of the nature of the charges brought against him, and that </w:t>
      </w:r>
      <w:r w:rsidR="00FC65A0">
        <w:rPr>
          <w:lang w:val="en-GB"/>
        </w:rPr>
        <w:t>this</w:t>
      </w:r>
      <w:r w:rsidR="0033114D" w:rsidRPr="00125C00">
        <w:rPr>
          <w:lang w:val="en-GB"/>
        </w:rPr>
        <w:t xml:space="preserve"> happened with the acquiescence of the police station personnel. The Committee </w:t>
      </w:r>
      <w:r w:rsidR="00FC65A0">
        <w:rPr>
          <w:lang w:val="en-GB"/>
        </w:rPr>
        <w:t>also</w:t>
      </w:r>
      <w:r w:rsidR="0033114D" w:rsidRPr="00125C00">
        <w:rPr>
          <w:lang w:val="en-GB"/>
        </w:rPr>
        <w:t xml:space="preserve"> notes that</w:t>
      </w:r>
      <w:r w:rsidR="0033114D" w:rsidRPr="00125C00">
        <w:t xml:space="preserve"> the State party has not explained how </w:t>
      </w:r>
      <w:r w:rsidR="00FC65A0">
        <w:rPr>
          <w:lang w:val="en-US"/>
        </w:rPr>
        <w:t xml:space="preserve">the </w:t>
      </w:r>
      <w:r w:rsidR="00FC65A0" w:rsidRPr="00FC65A0">
        <w:rPr>
          <w:lang w:val="en-GB"/>
        </w:rPr>
        <w:t>injuries</w:t>
      </w:r>
      <w:r w:rsidR="00FC65A0">
        <w:rPr>
          <w:lang w:val="en-GB"/>
        </w:rPr>
        <w:t xml:space="preserve"> of </w:t>
      </w:r>
      <w:r w:rsidR="0033114D" w:rsidRPr="00125C00">
        <w:rPr>
          <w:lang w:val="en-GB"/>
        </w:rPr>
        <w:t>the author’s brother</w:t>
      </w:r>
      <w:r w:rsidR="0033114D" w:rsidRPr="00125C00">
        <w:t xml:space="preserve"> may have occurred in police custody</w:t>
      </w:r>
      <w:r w:rsidR="0033114D" w:rsidRPr="00125C00">
        <w:rPr>
          <w:lang w:val="en-GB"/>
        </w:rPr>
        <w:t>,</w:t>
      </w:r>
      <w:r w:rsidR="0033114D" w:rsidRPr="00125C00">
        <w:rPr>
          <w:lang w:val="en-GB" w:bidi="he-IL"/>
        </w:rPr>
        <w:t xml:space="preserve"> and </w:t>
      </w:r>
      <w:r w:rsidR="00FC65A0">
        <w:rPr>
          <w:lang w:val="en-GB" w:bidi="he-IL"/>
        </w:rPr>
        <w:t xml:space="preserve">that </w:t>
      </w:r>
      <w:r w:rsidR="00E16A70">
        <w:rPr>
          <w:lang w:val="en-GB" w:bidi="he-IL"/>
        </w:rPr>
        <w:t>the State party had</w:t>
      </w:r>
      <w:r w:rsidR="00FC65A0">
        <w:rPr>
          <w:lang w:val="en-GB" w:bidi="he-IL"/>
        </w:rPr>
        <w:t xml:space="preserve"> </w:t>
      </w:r>
      <w:r w:rsidR="0033114D" w:rsidRPr="00125C00">
        <w:rPr>
          <w:lang w:val="en-GB" w:bidi="he-IL"/>
        </w:rPr>
        <w:t>simply denied the allegations of ill-treatment and</w:t>
      </w:r>
      <w:r w:rsidR="0055732A">
        <w:rPr>
          <w:lang w:val="en-GB" w:bidi="he-IL"/>
        </w:rPr>
        <w:t xml:space="preserve"> allegations</w:t>
      </w:r>
      <w:r w:rsidR="0033114D" w:rsidRPr="00125C00">
        <w:rPr>
          <w:lang w:val="en-GB" w:bidi="he-IL"/>
        </w:rPr>
        <w:t xml:space="preserve"> that the guards at the detention cent</w:t>
      </w:r>
      <w:r w:rsidR="00FC65A0">
        <w:rPr>
          <w:lang w:val="en-GB" w:bidi="he-IL"/>
        </w:rPr>
        <w:t>r</w:t>
      </w:r>
      <w:r w:rsidR="0033114D" w:rsidRPr="00125C00">
        <w:rPr>
          <w:lang w:val="en-GB" w:bidi="he-IL"/>
        </w:rPr>
        <w:t xml:space="preserve">e were aware of the alleged daily abuse of </w:t>
      </w:r>
      <w:r w:rsidR="006B5065">
        <w:rPr>
          <w:lang w:val="en-GB" w:bidi="he-IL"/>
        </w:rPr>
        <w:t>Mr. </w:t>
      </w:r>
      <w:r w:rsidR="0033114D" w:rsidRPr="00125C00">
        <w:rPr>
          <w:lang w:val="en-GB" w:bidi="he-IL"/>
        </w:rPr>
        <w:t>Ernazarov by his cellmates during his detention.</w:t>
      </w:r>
      <w:r w:rsidR="006B5065">
        <w:rPr>
          <w:lang w:val="en-GB" w:bidi="he-IL"/>
        </w:rPr>
        <w:t xml:space="preserve"> </w:t>
      </w:r>
      <w:r w:rsidR="0033114D" w:rsidRPr="00125C00">
        <w:rPr>
          <w:lang w:val="en-GB"/>
        </w:rPr>
        <w:t xml:space="preserve">The Committee considers that it is the duty of the State party to afford protection to everyone in detention as may be necessary against threats to life. </w:t>
      </w:r>
      <w:r w:rsidR="0033114D" w:rsidRPr="00125C00">
        <w:t>In the absence of any information</w:t>
      </w:r>
      <w:r w:rsidR="0055732A">
        <w:rPr>
          <w:lang w:val="en-US"/>
        </w:rPr>
        <w:t xml:space="preserve">, </w:t>
      </w:r>
      <w:r w:rsidR="0055732A" w:rsidRPr="0055732A">
        <w:rPr>
          <w:lang w:val="en-GB"/>
        </w:rPr>
        <w:t>other than denial</w:t>
      </w:r>
      <w:r w:rsidR="0055732A">
        <w:rPr>
          <w:lang w:val="en-GB"/>
        </w:rPr>
        <w:t>,</w:t>
      </w:r>
      <w:r w:rsidR="0033114D" w:rsidRPr="00125C00">
        <w:t xml:space="preserve"> by the State party with respect to the author’s allegation that the authorities were aware of his brother’s daily ill-treatment by his cellmates</w:t>
      </w:r>
      <w:r w:rsidR="00E16A70">
        <w:rPr>
          <w:lang w:val="en-US"/>
        </w:rPr>
        <w:t>,</w:t>
      </w:r>
      <w:r w:rsidR="0033114D" w:rsidRPr="00125C00">
        <w:t xml:space="preserve"> and absent any information on measures taken to protect his</w:t>
      </w:r>
      <w:r w:rsidR="00883CB5">
        <w:t xml:space="preserve"> brother’s</w:t>
      </w:r>
      <w:r w:rsidR="0033114D" w:rsidRPr="00125C00">
        <w:t xml:space="preserve"> right to life</w:t>
      </w:r>
      <w:r w:rsidR="0055732A">
        <w:rPr>
          <w:lang w:val="en-US"/>
        </w:rPr>
        <w:t>,</w:t>
      </w:r>
      <w:r w:rsidR="0033114D" w:rsidRPr="00125C00">
        <w:t xml:space="preserve"> the Committee concludes that the </w:t>
      </w:r>
      <w:r w:rsidR="0033114D" w:rsidRPr="00125C00">
        <w:rPr>
          <w:lang w:val="en-GB"/>
        </w:rPr>
        <w:t>Kyrgyz</w:t>
      </w:r>
      <w:r w:rsidR="0033114D" w:rsidRPr="00125C00">
        <w:t xml:space="preserve"> authorities are responsible for not </w:t>
      </w:r>
      <w:r w:rsidR="0033114D" w:rsidRPr="00125C00">
        <w:lastRenderedPageBreak/>
        <w:t xml:space="preserve">taking adequate measures </w:t>
      </w:r>
      <w:r w:rsidR="00883CB5">
        <w:t>of protection</w:t>
      </w:r>
      <w:r w:rsidR="0033114D" w:rsidRPr="00125C00">
        <w:t>. The Committee concludes that in the circumstances of the present case the State party is responsible for the failure to protect the victim’s life,</w:t>
      </w:r>
      <w:r w:rsidR="0033114D" w:rsidRPr="00125C00">
        <w:rPr>
          <w:lang w:val="en-GB"/>
        </w:rPr>
        <w:t xml:space="preserve"> </w:t>
      </w:r>
      <w:r w:rsidR="0033114D" w:rsidRPr="00125C00">
        <w:t xml:space="preserve">in breach of </w:t>
      </w:r>
      <w:r w:rsidR="006B5065">
        <w:t>article </w:t>
      </w:r>
      <w:r w:rsidR="0033114D" w:rsidRPr="00125C00">
        <w:t>6</w:t>
      </w:r>
      <w:r w:rsidR="006B5065">
        <w:t> </w:t>
      </w:r>
      <w:r w:rsidR="0055732A">
        <w:rPr>
          <w:lang w:val="en-US"/>
        </w:rPr>
        <w:t>(</w:t>
      </w:r>
      <w:r w:rsidR="0033114D" w:rsidRPr="00125C00">
        <w:t>1</w:t>
      </w:r>
      <w:r w:rsidR="0055732A">
        <w:rPr>
          <w:lang w:val="en-US"/>
        </w:rPr>
        <w:t>)</w:t>
      </w:r>
      <w:r w:rsidR="0033114D" w:rsidRPr="00125C00">
        <w:t xml:space="preserve"> of the Covenant.</w:t>
      </w:r>
      <w:r w:rsidR="0033114D" w:rsidRPr="00125C00" w:rsidDel="008405CD">
        <w:rPr>
          <w:vertAlign w:val="superscript"/>
        </w:rPr>
        <w:t xml:space="preserve"> </w:t>
      </w:r>
    </w:p>
    <w:p w:rsidR="0033114D" w:rsidRPr="00125C00" w:rsidRDefault="00CC1273" w:rsidP="0033114D">
      <w:pPr>
        <w:pStyle w:val="SingleTxtG"/>
        <w:spacing w:line="240" w:lineRule="exact"/>
      </w:pPr>
      <w:r w:rsidRPr="00CC1273">
        <w:rPr>
          <w:lang w:val="en-GB"/>
        </w:rPr>
        <w:t>9.5</w:t>
      </w:r>
      <w:r w:rsidRPr="00CC1273">
        <w:rPr>
          <w:lang w:val="en-GB"/>
        </w:rPr>
        <w:tab/>
      </w:r>
      <w:r w:rsidR="0033114D" w:rsidRPr="00125C00">
        <w:rPr>
          <w:lang w:val="en-GB"/>
        </w:rPr>
        <w:t xml:space="preserve">As to the author’s claim under </w:t>
      </w:r>
      <w:r w:rsidR="006B5065">
        <w:rPr>
          <w:lang w:val="en-GB"/>
        </w:rPr>
        <w:t>article </w:t>
      </w:r>
      <w:r w:rsidR="0033114D" w:rsidRPr="00125C00">
        <w:rPr>
          <w:lang w:val="en-GB"/>
        </w:rPr>
        <w:t>7</w:t>
      </w:r>
      <w:r w:rsidR="0033114D">
        <w:rPr>
          <w:lang w:val="en-GB"/>
        </w:rPr>
        <w:t>,</w:t>
      </w:r>
      <w:r w:rsidR="0033114D" w:rsidRPr="00125C00">
        <w:rPr>
          <w:lang w:val="en-GB"/>
        </w:rPr>
        <w:t xml:space="preserve"> t</w:t>
      </w:r>
      <w:r w:rsidR="0033114D" w:rsidRPr="00125C00">
        <w:t xml:space="preserve">he Committee recalls that it is the duty of the State party to afford everyone protection as may be necessary against the acts prohibited by </w:t>
      </w:r>
      <w:r w:rsidR="006B5065">
        <w:t>article </w:t>
      </w:r>
      <w:r w:rsidR="0033114D" w:rsidRPr="00125C00">
        <w:t>7, whether inflicted by people acting in their official capacity, outside their official capacity or in a private capacity.</w:t>
      </w:r>
      <w:r w:rsidR="0033114D" w:rsidRPr="00125C00">
        <w:rPr>
          <w:rStyle w:val="FootnoteReference"/>
        </w:rPr>
        <w:footnoteReference w:id="24"/>
      </w:r>
      <w:r w:rsidR="0033114D" w:rsidRPr="00125C00">
        <w:t xml:space="preserve"> The State party is responsible for the security of any person in its custody</w:t>
      </w:r>
      <w:r w:rsidR="00F479A0">
        <w:rPr>
          <w:lang w:val="en-US"/>
        </w:rPr>
        <w:t>,</w:t>
      </w:r>
      <w:r w:rsidR="0033114D" w:rsidRPr="00125C00">
        <w:t xml:space="preserve"> and when an individual is injured while in detention it is incumbent on the State party to produce evidence refuting the allegations</w:t>
      </w:r>
      <w:r w:rsidR="0033114D" w:rsidRPr="00125C00">
        <w:rPr>
          <w:lang w:val="en-GB"/>
        </w:rPr>
        <w:t xml:space="preserve"> that the State party’s agents are responsible</w:t>
      </w:r>
      <w:r w:rsidR="0033114D" w:rsidRPr="00125C00">
        <w:rPr>
          <w:vertAlign w:val="superscript"/>
        </w:rPr>
        <w:footnoteReference w:id="25"/>
      </w:r>
      <w:r w:rsidR="0033114D" w:rsidRPr="00125C00">
        <w:rPr>
          <w:lang w:val="en-GB"/>
        </w:rPr>
        <w:t xml:space="preserve"> and </w:t>
      </w:r>
      <w:r w:rsidR="003B2D48">
        <w:rPr>
          <w:lang w:val="en-GB"/>
        </w:rPr>
        <w:t xml:space="preserve">showing </w:t>
      </w:r>
      <w:r w:rsidR="0033114D" w:rsidRPr="00125C00">
        <w:rPr>
          <w:lang w:val="en-GB"/>
        </w:rPr>
        <w:t xml:space="preserve">that they applied due diligence in protecting the detainee. The Committee </w:t>
      </w:r>
      <w:r w:rsidR="0033114D" w:rsidRPr="00125C00">
        <w:t xml:space="preserve">notes </w:t>
      </w:r>
      <w:r w:rsidR="0033114D" w:rsidRPr="00125C00">
        <w:rPr>
          <w:lang w:bidi="he-IL"/>
        </w:rPr>
        <w:t xml:space="preserve">that the State </w:t>
      </w:r>
      <w:r w:rsidR="0033114D" w:rsidRPr="00125C00">
        <w:rPr>
          <w:rFonts w:hint="cs"/>
          <w:lang w:bidi="he-IL"/>
        </w:rPr>
        <w:t xml:space="preserve">party has not addressed </w:t>
      </w:r>
      <w:r w:rsidR="00D52958" w:rsidRPr="00125C00">
        <w:t xml:space="preserve">in a substantiated way </w:t>
      </w:r>
      <w:r w:rsidR="0033114D" w:rsidRPr="00125C00">
        <w:t xml:space="preserve">the specific allegations </w:t>
      </w:r>
      <w:r w:rsidR="0033114D" w:rsidRPr="00125C00">
        <w:rPr>
          <w:lang w:bidi="he-IL"/>
        </w:rPr>
        <w:t>of ill</w:t>
      </w:r>
      <w:r w:rsidR="00B96F15">
        <w:rPr>
          <w:lang w:val="en-US" w:bidi="he-IL"/>
        </w:rPr>
        <w:t>-</w:t>
      </w:r>
      <w:r w:rsidR="0033114D" w:rsidRPr="00125C00">
        <w:rPr>
          <w:lang w:bidi="he-IL"/>
        </w:rPr>
        <w:t xml:space="preserve">treatment </w:t>
      </w:r>
      <w:r w:rsidR="0033114D" w:rsidRPr="00125C00">
        <w:t xml:space="preserve">advanced by the author. In these circumstances, the Committee concludes that the author’s claims are substantiated and have been corroborated by the official autopsy report </w:t>
      </w:r>
      <w:r w:rsidR="0033114D" w:rsidRPr="00125C00">
        <w:rPr>
          <w:lang w:val="en-GB"/>
        </w:rPr>
        <w:t xml:space="preserve">and its independent evaluation </w:t>
      </w:r>
      <w:r w:rsidR="0033114D" w:rsidRPr="00125C00">
        <w:t>and finds</w:t>
      </w:r>
      <w:r w:rsidR="008176A1">
        <w:rPr>
          <w:lang w:val="en-US"/>
        </w:rPr>
        <w:t>,</w:t>
      </w:r>
      <w:r w:rsidR="0033114D" w:rsidRPr="00125C00">
        <w:t xml:space="preserve"> therefore, a violation of </w:t>
      </w:r>
      <w:r w:rsidR="006B5065">
        <w:t>article </w:t>
      </w:r>
      <w:r w:rsidR="0033114D" w:rsidRPr="00125C00">
        <w:t>7 of the Covenant with regard to the author’s brother.</w:t>
      </w:r>
    </w:p>
    <w:p w:rsidR="00B100D6" w:rsidRPr="000633F4" w:rsidRDefault="00B100D6" w:rsidP="00F479A0">
      <w:pPr>
        <w:pStyle w:val="SingleTxtG"/>
        <w:spacing w:line="240" w:lineRule="exact"/>
        <w:rPr>
          <w:lang w:val="en-GB"/>
        </w:rPr>
      </w:pPr>
      <w:r w:rsidRPr="00B100D6">
        <w:rPr>
          <w:lang w:val="en-GB"/>
        </w:rPr>
        <w:t>9.6</w:t>
      </w:r>
      <w:r w:rsidRPr="00B100D6">
        <w:rPr>
          <w:lang w:val="en-GB"/>
        </w:rPr>
        <w:tab/>
      </w:r>
      <w:r>
        <w:rPr>
          <w:lang w:val="en-GB"/>
        </w:rPr>
        <w:t xml:space="preserve">The Committee notes the author’s </w:t>
      </w:r>
      <w:r>
        <w:rPr>
          <w:lang w:val="en-US"/>
        </w:rPr>
        <w:t xml:space="preserve">submission that the State party failed to conduct a prompt, impartial, thorough and effective investigation of </w:t>
      </w:r>
      <w:r w:rsidRPr="00B100D6">
        <w:rPr>
          <w:lang w:val="en-GB"/>
        </w:rPr>
        <w:t>the victim’s death and allegations of torture</w:t>
      </w:r>
      <w:r>
        <w:rPr>
          <w:lang w:val="en-US"/>
        </w:rPr>
        <w:t xml:space="preserve">. </w:t>
      </w:r>
      <w:r w:rsidR="00BB4165">
        <w:rPr>
          <w:lang w:val="en-US"/>
        </w:rPr>
        <w:t xml:space="preserve">The Committee notes the author’s claim that the investigation was not independent because both the internal investigation and the bulk of the criminal investigation were conducted by the Ministry of Internal Affairs, which is the institution </w:t>
      </w:r>
      <w:r w:rsidR="008176A1">
        <w:rPr>
          <w:lang w:val="en-US"/>
        </w:rPr>
        <w:t xml:space="preserve">that was holding his brother </w:t>
      </w:r>
      <w:r w:rsidR="00BB4165">
        <w:rPr>
          <w:lang w:val="en-US"/>
        </w:rPr>
        <w:t xml:space="preserve">in custody </w:t>
      </w:r>
      <w:r w:rsidR="008176A1">
        <w:rPr>
          <w:lang w:val="en-US"/>
        </w:rPr>
        <w:t>when he</w:t>
      </w:r>
      <w:r w:rsidR="00BB4165">
        <w:rPr>
          <w:lang w:val="en-US"/>
        </w:rPr>
        <w:t xml:space="preserve"> was tortured and killed with the knowledge and acquiescence of police officers. </w:t>
      </w:r>
      <w:r>
        <w:rPr>
          <w:lang w:val="en-GB"/>
        </w:rPr>
        <w:t>T</w:t>
      </w:r>
      <w:r w:rsidRPr="00B100D6">
        <w:rPr>
          <w:lang w:val="en-GB"/>
        </w:rPr>
        <w:t xml:space="preserve">he Committee recalls its constant jurisprudence that </w:t>
      </w:r>
      <w:r w:rsidR="00BB4165">
        <w:rPr>
          <w:lang w:val="en-GB"/>
        </w:rPr>
        <w:t xml:space="preserve">complaints against </w:t>
      </w:r>
      <w:r w:rsidR="006F3667">
        <w:rPr>
          <w:lang w:val="en-GB"/>
        </w:rPr>
        <w:t>ill-treatment</w:t>
      </w:r>
      <w:r w:rsidR="000633F4">
        <w:rPr>
          <w:lang w:val="en-GB"/>
        </w:rPr>
        <w:t xml:space="preserve"> </w:t>
      </w:r>
      <w:r w:rsidR="00BB4165">
        <w:rPr>
          <w:lang w:val="en-GB"/>
        </w:rPr>
        <w:t xml:space="preserve">prohibited by </w:t>
      </w:r>
      <w:r w:rsidR="006B5065">
        <w:rPr>
          <w:lang w:val="en-GB"/>
        </w:rPr>
        <w:t>article </w:t>
      </w:r>
      <w:r w:rsidR="00BB4165">
        <w:rPr>
          <w:lang w:val="en-GB"/>
        </w:rPr>
        <w:t>7 an</w:t>
      </w:r>
      <w:r w:rsidR="000633F4">
        <w:rPr>
          <w:lang w:val="en-GB"/>
        </w:rPr>
        <w:t xml:space="preserve">d allegations of violations of </w:t>
      </w:r>
      <w:r w:rsidR="006B5065">
        <w:rPr>
          <w:lang w:val="en-GB"/>
        </w:rPr>
        <w:t>article </w:t>
      </w:r>
      <w:r w:rsidRPr="00B100D6">
        <w:rPr>
          <w:lang w:val="en-GB"/>
        </w:rPr>
        <w:t>6</w:t>
      </w:r>
      <w:r w:rsidR="006B5065">
        <w:rPr>
          <w:lang w:val="en-GB"/>
        </w:rPr>
        <w:t> </w:t>
      </w:r>
      <w:r w:rsidR="008176A1">
        <w:rPr>
          <w:lang w:val="en-GB"/>
        </w:rPr>
        <w:t>(</w:t>
      </w:r>
      <w:r w:rsidRPr="00B100D6">
        <w:rPr>
          <w:lang w:val="en-GB"/>
        </w:rPr>
        <w:t>1</w:t>
      </w:r>
      <w:r w:rsidR="008176A1">
        <w:rPr>
          <w:lang w:val="en-GB"/>
        </w:rPr>
        <w:t>)</w:t>
      </w:r>
      <w:r w:rsidR="00317ADA">
        <w:rPr>
          <w:lang w:val="en-GB"/>
        </w:rPr>
        <w:t xml:space="preserve"> </w:t>
      </w:r>
      <w:r w:rsidR="00BB4165">
        <w:rPr>
          <w:lang w:val="en-GB"/>
        </w:rPr>
        <w:t>must be investigated promptly, thoroughly and effectively through an independent and impartial body</w:t>
      </w:r>
      <w:r w:rsidR="00F479A0">
        <w:rPr>
          <w:lang w:val="en-GB"/>
        </w:rPr>
        <w:t>,</w:t>
      </w:r>
      <w:r w:rsidRPr="00B100D6">
        <w:rPr>
          <w:vertAlign w:val="superscript"/>
          <w:lang w:val="en-GB"/>
        </w:rPr>
        <w:footnoteReference w:id="26"/>
      </w:r>
      <w:r w:rsidR="00BB4165">
        <w:rPr>
          <w:lang w:val="en-GB"/>
        </w:rPr>
        <w:t xml:space="preserve"> and that in cases in which the established investigative procedures are inadequate and in cases where there are complaints from the family of the victim about th</w:t>
      </w:r>
      <w:r w:rsidR="00F479A0">
        <w:rPr>
          <w:lang w:val="en-GB"/>
        </w:rPr>
        <w:t>o</w:t>
      </w:r>
      <w:r w:rsidR="00BB4165">
        <w:rPr>
          <w:lang w:val="en-GB"/>
        </w:rPr>
        <w:t>se inadequacies or other substantial reasons, States parties should pursue investigations through an independent commission of inquiry or similar procedure.</w:t>
      </w:r>
      <w:r w:rsidR="00BB4165">
        <w:rPr>
          <w:rStyle w:val="FootnoteReference"/>
          <w:lang w:val="en-GB"/>
        </w:rPr>
        <w:footnoteReference w:id="27"/>
      </w:r>
      <w:r w:rsidRPr="00B100D6">
        <w:rPr>
          <w:lang w:val="en-GB"/>
        </w:rPr>
        <w:t xml:space="preserve"> </w:t>
      </w:r>
      <w:r w:rsidR="00B60318">
        <w:rPr>
          <w:bCs/>
          <w:lang w:val="en-GB"/>
        </w:rPr>
        <w:t xml:space="preserve">The </w:t>
      </w:r>
      <w:r w:rsidR="00B60318" w:rsidRPr="00D652D1">
        <w:t>families</w:t>
      </w:r>
      <w:r w:rsidR="00752F86" w:rsidRPr="00D652D1">
        <w:t xml:space="preserve"> of the deceased and their legal representatives should have access to all information relevant to the investigation, and should be entitled to present other evidence</w:t>
      </w:r>
      <w:r w:rsidR="00752F86" w:rsidRPr="00357639">
        <w:rPr>
          <w:lang w:val="en-GB"/>
        </w:rPr>
        <w:t>.</w:t>
      </w:r>
      <w:r w:rsidR="00752F86">
        <w:rPr>
          <w:rStyle w:val="FootnoteReference"/>
          <w:lang w:val="en-GB"/>
        </w:rPr>
        <w:footnoteReference w:id="28"/>
      </w:r>
      <w:r w:rsidR="00752F86" w:rsidRPr="00D652D1">
        <w:t xml:space="preserve"> </w:t>
      </w:r>
      <w:r w:rsidR="00752F86">
        <w:rPr>
          <w:lang w:val="en-GB"/>
        </w:rPr>
        <w:t xml:space="preserve">The Committee observes that according to the author the investigation had failed to </w:t>
      </w:r>
      <w:r w:rsidR="00752F86">
        <w:t>seize important evidence</w:t>
      </w:r>
      <w:r w:rsidR="00752F86" w:rsidRPr="00D652D1">
        <w:t xml:space="preserve"> </w:t>
      </w:r>
      <w:r w:rsidR="00752F86" w:rsidRPr="00E227F1">
        <w:rPr>
          <w:lang w:val="en-GB"/>
        </w:rPr>
        <w:t>a</w:t>
      </w:r>
      <w:r w:rsidR="00752F86">
        <w:rPr>
          <w:lang w:val="en-GB"/>
        </w:rPr>
        <w:t xml:space="preserve">nd </w:t>
      </w:r>
      <w:r w:rsidR="00752F86">
        <w:t>question key witnesses</w:t>
      </w:r>
      <w:r w:rsidR="007F4A27">
        <w:rPr>
          <w:lang w:val="en-US"/>
        </w:rPr>
        <w:t>,</w:t>
      </w:r>
      <w:r w:rsidR="00752F86" w:rsidRPr="00E227F1">
        <w:rPr>
          <w:lang w:val="en-GB"/>
        </w:rPr>
        <w:t xml:space="preserve"> a</w:t>
      </w:r>
      <w:r w:rsidR="00752F86">
        <w:rPr>
          <w:lang w:val="en-GB"/>
        </w:rPr>
        <w:t xml:space="preserve">nd that it is undisputed that </w:t>
      </w:r>
      <w:r w:rsidR="00752F86">
        <w:t>no cutting instrument was recovered from the cell</w:t>
      </w:r>
      <w:r w:rsidR="007F4A27">
        <w:rPr>
          <w:lang w:val="en-US"/>
        </w:rPr>
        <w:t>,</w:t>
      </w:r>
      <w:r w:rsidR="00752F86">
        <w:t xml:space="preserve"> despite the fact that </w:t>
      </w:r>
      <w:r w:rsidR="00752F86" w:rsidRPr="00E227F1">
        <w:rPr>
          <w:lang w:val="en-GB"/>
        </w:rPr>
        <w:t>t</w:t>
      </w:r>
      <w:r w:rsidR="00752F86">
        <w:t>he</w:t>
      </w:r>
      <w:r w:rsidR="00752F86" w:rsidRPr="00E227F1">
        <w:rPr>
          <w:lang w:val="en-GB"/>
        </w:rPr>
        <w:t xml:space="preserve"> v</w:t>
      </w:r>
      <w:r w:rsidR="00752F86">
        <w:rPr>
          <w:lang w:val="en-GB"/>
        </w:rPr>
        <w:t>ictim died</w:t>
      </w:r>
      <w:r w:rsidR="00752F86">
        <w:t xml:space="preserve"> from cut</w:t>
      </w:r>
      <w:r w:rsidR="00752F86" w:rsidRPr="00E227F1">
        <w:rPr>
          <w:lang w:val="en-GB"/>
        </w:rPr>
        <w:t>s</w:t>
      </w:r>
      <w:r w:rsidR="00752F86">
        <w:t xml:space="preserve"> </w:t>
      </w:r>
      <w:r w:rsidR="00752F86" w:rsidRPr="00E227F1">
        <w:rPr>
          <w:lang w:val="en-GB"/>
        </w:rPr>
        <w:t>on</w:t>
      </w:r>
      <w:r w:rsidR="00752F86">
        <w:rPr>
          <w:lang w:val="en-GB"/>
        </w:rPr>
        <w:t xml:space="preserve"> </w:t>
      </w:r>
      <w:r w:rsidR="00F479A0">
        <w:rPr>
          <w:lang w:val="en-GB"/>
        </w:rPr>
        <w:t>his</w:t>
      </w:r>
      <w:r w:rsidR="00752F86">
        <w:rPr>
          <w:lang w:val="en-GB"/>
        </w:rPr>
        <w:t xml:space="preserve"> </w:t>
      </w:r>
      <w:r w:rsidR="00752F86">
        <w:t>throat</w:t>
      </w:r>
      <w:r w:rsidR="00752F86" w:rsidRPr="00E227F1">
        <w:rPr>
          <w:lang w:val="en-GB"/>
        </w:rPr>
        <w:t xml:space="preserve">. </w:t>
      </w:r>
      <w:r w:rsidR="00752F86">
        <w:rPr>
          <w:lang w:val="en-GB"/>
        </w:rPr>
        <w:t>The Committee also notes that according to the author’s uncontested submission the</w:t>
      </w:r>
      <w:r w:rsidR="000633F4">
        <w:rPr>
          <w:lang w:val="en-GB"/>
        </w:rPr>
        <w:t xml:space="preserve"> </w:t>
      </w:r>
      <w:r w:rsidR="00752F86">
        <w:rPr>
          <w:lang w:val="en-GB"/>
        </w:rPr>
        <w:t xml:space="preserve">victims’ </w:t>
      </w:r>
      <w:r w:rsidR="00752F86" w:rsidRPr="00D652D1">
        <w:rPr>
          <w:bCs/>
        </w:rPr>
        <w:t>family</w:t>
      </w:r>
      <w:r w:rsidR="00752F86" w:rsidRPr="00E227F1">
        <w:rPr>
          <w:bCs/>
          <w:lang w:val="en-GB"/>
        </w:rPr>
        <w:t xml:space="preserve"> was </w:t>
      </w:r>
      <w:r w:rsidR="00752F86" w:rsidRPr="00D652D1">
        <w:rPr>
          <w:bCs/>
        </w:rPr>
        <w:t xml:space="preserve">not informed of </w:t>
      </w:r>
      <w:r w:rsidR="00752F86" w:rsidRPr="00E227F1">
        <w:rPr>
          <w:bCs/>
          <w:lang w:val="en-GB"/>
        </w:rPr>
        <w:t xml:space="preserve">the </w:t>
      </w:r>
      <w:r w:rsidR="00752F86" w:rsidRPr="00D652D1">
        <w:rPr>
          <w:bCs/>
        </w:rPr>
        <w:t xml:space="preserve">progress of </w:t>
      </w:r>
      <w:r w:rsidR="00752F86" w:rsidRPr="00E227F1">
        <w:rPr>
          <w:bCs/>
          <w:lang w:val="en-GB"/>
        </w:rPr>
        <w:t xml:space="preserve">the </w:t>
      </w:r>
      <w:r w:rsidR="00752F86" w:rsidRPr="00D652D1">
        <w:rPr>
          <w:bCs/>
        </w:rPr>
        <w:t>investigation</w:t>
      </w:r>
      <w:r w:rsidR="00752F86" w:rsidRPr="00E227F1">
        <w:rPr>
          <w:bCs/>
          <w:lang w:val="en-GB"/>
        </w:rPr>
        <w:t xml:space="preserve"> nor was a</w:t>
      </w:r>
      <w:r w:rsidR="00752F86" w:rsidRPr="00D652D1">
        <w:rPr>
          <w:bCs/>
        </w:rPr>
        <w:t xml:space="preserve"> final report of the investigation made available to the family</w:t>
      </w:r>
      <w:r w:rsidR="00752F86" w:rsidRPr="00E227F1">
        <w:rPr>
          <w:bCs/>
          <w:lang w:val="en-GB"/>
        </w:rPr>
        <w:t xml:space="preserve"> (</w:t>
      </w:r>
      <w:r w:rsidR="00752F86" w:rsidRPr="00D652D1">
        <w:rPr>
          <w:bCs/>
        </w:rPr>
        <w:t>see para</w:t>
      </w:r>
      <w:r w:rsidR="006B5065" w:rsidRPr="003A3109">
        <w:rPr>
          <w:bCs/>
          <w:lang w:val="en-US"/>
        </w:rPr>
        <w:t>. </w:t>
      </w:r>
      <w:r w:rsidR="00752F86" w:rsidRPr="00D652D1">
        <w:rPr>
          <w:bCs/>
        </w:rPr>
        <w:t>3.4)</w:t>
      </w:r>
      <w:r w:rsidR="00752F86" w:rsidRPr="00E227F1">
        <w:rPr>
          <w:bCs/>
          <w:lang w:val="en-GB"/>
        </w:rPr>
        <w:t>.</w:t>
      </w:r>
      <w:r w:rsidR="00752F86" w:rsidRPr="00D652D1">
        <w:t xml:space="preserve"> </w:t>
      </w:r>
      <w:r w:rsidR="00997AF5">
        <w:t xml:space="preserve">The Committee </w:t>
      </w:r>
      <w:r w:rsidR="00752F86" w:rsidRPr="000633F4">
        <w:rPr>
          <w:lang w:val="en-GB"/>
        </w:rPr>
        <w:t>concludes</w:t>
      </w:r>
      <w:r w:rsidR="00997AF5">
        <w:t xml:space="preserve"> that the</w:t>
      </w:r>
      <w:r w:rsidR="000633F4">
        <w:t xml:space="preserve"> </w:t>
      </w:r>
      <w:r w:rsidR="00997AF5">
        <w:t xml:space="preserve">failure of the State party’s authorities to investigate </w:t>
      </w:r>
      <w:r w:rsidR="008F5A4B" w:rsidRPr="008F5A4B">
        <w:rPr>
          <w:lang w:val="en-GB"/>
        </w:rPr>
        <w:t xml:space="preserve">promptly and properly </w:t>
      </w:r>
      <w:r w:rsidR="00997AF5">
        <w:t xml:space="preserve">the circumstances of </w:t>
      </w:r>
      <w:r w:rsidR="00386931" w:rsidRPr="00FE2460">
        <w:rPr>
          <w:lang w:val="en-US"/>
        </w:rPr>
        <w:t>Rakhmonberdi Ernazarov</w:t>
      </w:r>
      <w:r w:rsidR="00997AF5">
        <w:t xml:space="preserve">’s death effectively denied </w:t>
      </w:r>
      <w:r w:rsidR="00386931" w:rsidRPr="00386931">
        <w:rPr>
          <w:lang w:val="en-GB"/>
        </w:rPr>
        <w:t xml:space="preserve">a remedy to </w:t>
      </w:r>
      <w:r w:rsidR="00997AF5">
        <w:t>the author</w:t>
      </w:r>
      <w:r w:rsidR="008F5A4B">
        <w:rPr>
          <w:lang w:val="en-US"/>
        </w:rPr>
        <w:t>,</w:t>
      </w:r>
      <w:r w:rsidR="00386931">
        <w:rPr>
          <w:lang w:val="en-GB"/>
        </w:rPr>
        <w:t xml:space="preserve"> and th</w:t>
      </w:r>
      <w:r w:rsidR="00386931" w:rsidRPr="00386931">
        <w:rPr>
          <w:lang w:val="en-GB"/>
        </w:rPr>
        <w:t>e</w:t>
      </w:r>
      <w:r w:rsidR="00386931">
        <w:rPr>
          <w:lang w:val="en-GB"/>
        </w:rPr>
        <w:t xml:space="preserve"> </w:t>
      </w:r>
      <w:r w:rsidR="00386931" w:rsidRPr="00386931">
        <w:rPr>
          <w:lang w:val="en-GB"/>
        </w:rPr>
        <w:t>rest of the family</w:t>
      </w:r>
      <w:r w:rsidR="00386931">
        <w:rPr>
          <w:lang w:val="en-GB"/>
        </w:rPr>
        <w:t>,</w:t>
      </w:r>
      <w:r w:rsidR="00997AF5">
        <w:t xml:space="preserve"> </w:t>
      </w:r>
      <w:r>
        <w:t>in violation of h</w:t>
      </w:r>
      <w:r w:rsidR="00997AF5" w:rsidRPr="00997AF5">
        <w:rPr>
          <w:lang w:val="en-GB"/>
        </w:rPr>
        <w:t>is</w:t>
      </w:r>
      <w:r>
        <w:t xml:space="preserve"> rights under </w:t>
      </w:r>
      <w:r w:rsidR="006B5065">
        <w:t>article </w:t>
      </w:r>
      <w:r>
        <w:t>2</w:t>
      </w:r>
      <w:r w:rsidR="006B5065">
        <w:t> </w:t>
      </w:r>
      <w:r w:rsidR="008F5A4B">
        <w:rPr>
          <w:lang w:val="en-US"/>
        </w:rPr>
        <w:t>(</w:t>
      </w:r>
      <w:r>
        <w:t>3</w:t>
      </w:r>
      <w:r w:rsidR="008F5A4B">
        <w:rPr>
          <w:lang w:val="en-US"/>
        </w:rPr>
        <w:t>),</w:t>
      </w:r>
      <w:r>
        <w:t xml:space="preserve"> read in conjunction with </w:t>
      </w:r>
      <w:r w:rsidR="006B5065">
        <w:t>articles </w:t>
      </w:r>
      <w:r>
        <w:t>6</w:t>
      </w:r>
      <w:r w:rsidR="006B5065">
        <w:t> </w:t>
      </w:r>
      <w:r w:rsidR="008F5A4B">
        <w:rPr>
          <w:lang w:val="en-US"/>
        </w:rPr>
        <w:t>(</w:t>
      </w:r>
      <w:r>
        <w:t>1</w:t>
      </w:r>
      <w:r w:rsidR="008F5A4B">
        <w:rPr>
          <w:lang w:val="en-US"/>
        </w:rPr>
        <w:t>)</w:t>
      </w:r>
      <w:r>
        <w:t xml:space="preserve"> and</w:t>
      </w:r>
      <w:r w:rsidR="006B5065" w:rsidRPr="003A3109">
        <w:rPr>
          <w:lang w:val="en-US"/>
        </w:rPr>
        <w:t> </w:t>
      </w:r>
      <w:r>
        <w:t>7.</w:t>
      </w:r>
      <w:r w:rsidR="00997AF5">
        <w:rPr>
          <w:rStyle w:val="FootnoteReference"/>
        </w:rPr>
        <w:footnoteReference w:id="29"/>
      </w:r>
    </w:p>
    <w:p w:rsidR="00242EE0" w:rsidRDefault="00242EE0" w:rsidP="00A14EA9">
      <w:pPr>
        <w:pStyle w:val="SingleTxtG"/>
        <w:spacing w:line="240" w:lineRule="exact"/>
      </w:pPr>
      <w:r w:rsidRPr="00242EE0">
        <w:rPr>
          <w:lang w:val="en-GB"/>
        </w:rPr>
        <w:lastRenderedPageBreak/>
        <w:t>10.</w:t>
      </w:r>
      <w:r w:rsidRPr="00242EE0">
        <w:rPr>
          <w:lang w:val="en-GB"/>
        </w:rPr>
        <w:tab/>
      </w:r>
      <w:r>
        <w:t xml:space="preserve">The Human Rights Committee, acting under </w:t>
      </w:r>
      <w:r w:rsidR="006B5065">
        <w:t>article </w:t>
      </w:r>
      <w:r>
        <w:t>5</w:t>
      </w:r>
      <w:r w:rsidR="006B5065">
        <w:t> </w:t>
      </w:r>
      <w:r w:rsidR="007F4A27">
        <w:rPr>
          <w:lang w:val="en-US"/>
        </w:rPr>
        <w:t>(</w:t>
      </w:r>
      <w:r>
        <w:t>4</w:t>
      </w:r>
      <w:r w:rsidR="007F4A27">
        <w:rPr>
          <w:lang w:val="en-US"/>
        </w:rPr>
        <w:t>)</w:t>
      </w:r>
      <w:r>
        <w:t xml:space="preserve"> of the Optional Protocol to the International Covenant on Civil and Political Rights, is of the view that the facts before it disclose a violation by Kyrgyzstan of the</w:t>
      </w:r>
      <w:r w:rsidR="007F4A27">
        <w:rPr>
          <w:lang w:val="en-US"/>
        </w:rPr>
        <w:t xml:space="preserve"> rights of the</w:t>
      </w:r>
      <w:r>
        <w:t xml:space="preserve"> author’s </w:t>
      </w:r>
      <w:r w:rsidRPr="00242EE0">
        <w:rPr>
          <w:lang w:val="en-GB"/>
        </w:rPr>
        <w:t>brother</w:t>
      </w:r>
      <w:r>
        <w:t xml:space="preserve"> under </w:t>
      </w:r>
      <w:r w:rsidR="006B5065">
        <w:t>article</w:t>
      </w:r>
      <w:r w:rsidR="007F4A27">
        <w:rPr>
          <w:lang w:val="en-US"/>
        </w:rPr>
        <w:t>s</w:t>
      </w:r>
      <w:r w:rsidR="006B5065">
        <w:t> </w:t>
      </w:r>
      <w:r>
        <w:t>6</w:t>
      </w:r>
      <w:r w:rsidR="006B5065">
        <w:t> </w:t>
      </w:r>
      <w:r w:rsidR="007F4A27">
        <w:rPr>
          <w:lang w:val="en-US"/>
        </w:rPr>
        <w:t>(</w:t>
      </w:r>
      <w:r>
        <w:t>1</w:t>
      </w:r>
      <w:r w:rsidR="007F4A27">
        <w:rPr>
          <w:lang w:val="en-US"/>
        </w:rPr>
        <w:t>)</w:t>
      </w:r>
      <w:r>
        <w:t xml:space="preserve"> and 7, and of the author’s rights under </w:t>
      </w:r>
      <w:r w:rsidR="006B5065">
        <w:t>article </w:t>
      </w:r>
      <w:r>
        <w:t>2</w:t>
      </w:r>
      <w:r w:rsidR="006B5065">
        <w:t> </w:t>
      </w:r>
      <w:r w:rsidR="007F4A27">
        <w:rPr>
          <w:lang w:val="en-US"/>
        </w:rPr>
        <w:t>(</w:t>
      </w:r>
      <w:r>
        <w:t>3</w:t>
      </w:r>
      <w:r w:rsidR="007F4A27">
        <w:rPr>
          <w:lang w:val="en-US"/>
        </w:rPr>
        <w:t>)</w:t>
      </w:r>
      <w:r>
        <w:t xml:space="preserve"> read in conjunction with </w:t>
      </w:r>
      <w:r w:rsidR="006B5065">
        <w:t>articles </w:t>
      </w:r>
      <w:r>
        <w:t>6</w:t>
      </w:r>
      <w:r w:rsidR="006B5065">
        <w:t> </w:t>
      </w:r>
      <w:r w:rsidR="007F4A27">
        <w:rPr>
          <w:lang w:val="en-US"/>
        </w:rPr>
        <w:t>(</w:t>
      </w:r>
      <w:r>
        <w:t>1</w:t>
      </w:r>
      <w:r w:rsidR="007F4A27">
        <w:rPr>
          <w:lang w:val="en-US"/>
        </w:rPr>
        <w:t>)</w:t>
      </w:r>
      <w:r>
        <w:t xml:space="preserve"> and 7 of the Covenant.</w:t>
      </w:r>
    </w:p>
    <w:p w:rsidR="00242EE0" w:rsidRDefault="00242EE0" w:rsidP="00A14EA9">
      <w:pPr>
        <w:pStyle w:val="SingleTxtG"/>
        <w:spacing w:line="240" w:lineRule="exact"/>
      </w:pPr>
      <w:r>
        <w:t>1</w:t>
      </w:r>
      <w:r w:rsidRPr="00242EE0">
        <w:rPr>
          <w:lang w:val="en-GB"/>
        </w:rPr>
        <w:t>1</w:t>
      </w:r>
      <w:r>
        <w:t>.</w:t>
      </w:r>
      <w:r>
        <w:tab/>
        <w:t xml:space="preserve">In accordance with </w:t>
      </w:r>
      <w:r w:rsidR="006B5065">
        <w:t>article </w:t>
      </w:r>
      <w:r>
        <w:t>2</w:t>
      </w:r>
      <w:r w:rsidR="006B5065">
        <w:t> </w:t>
      </w:r>
      <w:r w:rsidR="007F4A27">
        <w:rPr>
          <w:lang w:val="en-US"/>
        </w:rPr>
        <w:t>(</w:t>
      </w:r>
      <w:r>
        <w:t>3 (a)</w:t>
      </w:r>
      <w:r w:rsidR="007F4A27">
        <w:rPr>
          <w:lang w:val="en-US"/>
        </w:rPr>
        <w:t>)</w:t>
      </w:r>
      <w:r>
        <w:t xml:space="preserve"> of the Covenant, the State party is under an obligation to provide the author with an effective remedy. The remedy should include</w:t>
      </w:r>
      <w:r w:rsidR="000633F4">
        <w:t xml:space="preserve"> </w:t>
      </w:r>
      <w:r>
        <w:t xml:space="preserve">an impartial, effective and thorough investigation into the circumstances of the author’s </w:t>
      </w:r>
      <w:r w:rsidRPr="00242EE0">
        <w:rPr>
          <w:lang w:val="en-GB"/>
        </w:rPr>
        <w:t>brother</w:t>
      </w:r>
      <w:r>
        <w:t>’s death, prosecution of those responsible and full reparation</w:t>
      </w:r>
      <w:r w:rsidR="007F4A27">
        <w:rPr>
          <w:lang w:val="en-US"/>
        </w:rPr>
        <w:t>,</w:t>
      </w:r>
      <w:r>
        <w:t xml:space="preserve"> including appropriate compensation. The State party is also under an obligation to prevent similar violations in the future. </w:t>
      </w:r>
    </w:p>
    <w:p w:rsidR="00242EE0" w:rsidRPr="007848D0" w:rsidRDefault="00242EE0" w:rsidP="00A14EA9">
      <w:pPr>
        <w:pStyle w:val="SingleTxtG"/>
      </w:pPr>
      <w:r>
        <w:t>1</w:t>
      </w:r>
      <w:r w:rsidRPr="00242EE0">
        <w:rPr>
          <w:lang w:val="en-GB"/>
        </w:rPr>
        <w:t>2</w:t>
      </w:r>
      <w:r>
        <w:t>.</w:t>
      </w:r>
      <w:r>
        <w:tab/>
        <w:t>Bearing in mind that, by becoming a State party to the Optional Protocol, the State party has recognized the competence of the Committee to determine whether</w:t>
      </w:r>
      <w:r w:rsidR="007F4A27">
        <w:rPr>
          <w:lang w:val="en-US"/>
        </w:rPr>
        <w:t xml:space="preserve"> or not</w:t>
      </w:r>
      <w:r>
        <w:t xml:space="preserve"> there has been a violation of the Covenant and that, pursuant to </w:t>
      </w:r>
      <w:r w:rsidR="006B5065">
        <w:t>article </w:t>
      </w:r>
      <w:r>
        <w:t>2 of the Covenant, the State party has undertaken to ensure to all individuals within its territory and subject to its jurisdiction the rights recognized in the Covenant, the Committee wishes to receive from the State party, within 180</w:t>
      </w:r>
      <w:r w:rsidR="006B5065" w:rsidRPr="003A3109">
        <w:rPr>
          <w:lang w:val="en-US"/>
        </w:rPr>
        <w:t> </w:t>
      </w:r>
      <w:r>
        <w:t xml:space="preserve">days, information about the measures taken to give effect to its Views. </w:t>
      </w:r>
      <w:r w:rsidRPr="007848D0">
        <w:t>The State party is also req</w:t>
      </w:r>
      <w:r>
        <w:t xml:space="preserve">uested to publish the </w:t>
      </w:r>
      <w:r w:rsidR="007F4A27">
        <w:rPr>
          <w:lang w:val="en-US"/>
        </w:rPr>
        <w:t>present</w:t>
      </w:r>
      <w:r w:rsidR="007F4A27" w:rsidRPr="007848D0">
        <w:t xml:space="preserve"> </w:t>
      </w:r>
      <w:r w:rsidRPr="007848D0">
        <w:t>Views</w:t>
      </w:r>
      <w:r>
        <w:t xml:space="preserve"> and</w:t>
      </w:r>
      <w:r w:rsidRPr="007848D0">
        <w:t xml:space="preserve"> to have them translated in official languages of the State party and widely distributed.</w:t>
      </w:r>
    </w:p>
    <w:p w:rsidR="00F35149" w:rsidRPr="00B40914" w:rsidRDefault="00F35149" w:rsidP="00F35149">
      <w:pPr>
        <w:pStyle w:val="SingleTxtG"/>
        <w:spacing w:before="240" w:after="0"/>
        <w:jc w:val="center"/>
        <w:rPr>
          <w:u w:val="single"/>
        </w:rPr>
      </w:pPr>
      <w:r>
        <w:rPr>
          <w:u w:val="single"/>
        </w:rPr>
        <w:tab/>
      </w:r>
      <w:r>
        <w:rPr>
          <w:u w:val="single"/>
        </w:rPr>
        <w:tab/>
      </w:r>
      <w:r>
        <w:rPr>
          <w:u w:val="single"/>
        </w:rPr>
        <w:tab/>
      </w:r>
    </w:p>
    <w:sectPr w:rsidR="00F35149" w:rsidRPr="00B40914" w:rsidSect="006B5065">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A1" w:rsidRDefault="002B1DA1"/>
  </w:endnote>
  <w:endnote w:type="continuationSeparator" w:id="0">
    <w:p w:rsidR="002B1DA1" w:rsidRDefault="002B1DA1"/>
  </w:endnote>
  <w:endnote w:type="continuationNotice" w:id="1">
    <w:p w:rsidR="002B1DA1" w:rsidRDefault="002B1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D7" w:rsidRPr="00781C83" w:rsidRDefault="002358D7"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082F4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D7" w:rsidRPr="002358D7" w:rsidRDefault="002358D7" w:rsidP="00781C83">
    <w:pPr>
      <w:pStyle w:val="Footer"/>
      <w:tabs>
        <w:tab w:val="right" w:pos="9638"/>
      </w:tabs>
      <w:rPr>
        <w:b/>
        <w:bCs/>
        <w:sz w:val="18"/>
      </w:rPr>
    </w:pPr>
    <w:r>
      <w:rPr>
        <w:b/>
        <w:sz w:val="18"/>
      </w:rPr>
      <w:tab/>
    </w:r>
    <w:r w:rsidRPr="002358D7">
      <w:rPr>
        <w:b/>
        <w:bCs/>
        <w:sz w:val="18"/>
      </w:rPr>
      <w:fldChar w:fldCharType="begin"/>
    </w:r>
    <w:r w:rsidRPr="002358D7">
      <w:rPr>
        <w:b/>
        <w:bCs/>
        <w:sz w:val="18"/>
      </w:rPr>
      <w:instrText xml:space="preserve"> PAGE  \* MERGEFORMAT </w:instrText>
    </w:r>
    <w:r w:rsidRPr="002358D7">
      <w:rPr>
        <w:b/>
        <w:bCs/>
        <w:sz w:val="18"/>
      </w:rPr>
      <w:fldChar w:fldCharType="separate"/>
    </w:r>
    <w:r w:rsidR="00082F47">
      <w:rPr>
        <w:b/>
        <w:bCs/>
        <w:noProof/>
        <w:sz w:val="18"/>
      </w:rPr>
      <w:t>3</w:t>
    </w:r>
    <w:r w:rsidRPr="002358D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D7" w:rsidRDefault="00AA79BE" w:rsidP="00AD6DE3">
    <w:r>
      <w:rPr>
        <w:noProof/>
        <w:lang w:val="en-US"/>
      </w:rPr>
      <w:drawing>
        <wp:anchor distT="0" distB="0" distL="114300" distR="114300" simplePos="0" relativeHeight="251657728" behindDoc="0" locked="0" layoutInCell="1" allowOverlap="1">
          <wp:simplePos x="0" y="0"/>
          <wp:positionH relativeFrom="margin">
            <wp:posOffset>4296410</wp:posOffset>
          </wp:positionH>
          <wp:positionV relativeFrom="margin">
            <wp:posOffset>8256270</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2358D7">
      <w:t>GE.15-</w:t>
    </w:r>
    <w:r w:rsidR="006C2DC6">
      <w:t>09068</w:t>
    </w:r>
    <w:r>
      <w:t xml:space="preserve">  (E)</w:t>
    </w:r>
    <w:r>
      <w:br/>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r w:rsidRPr="00AA79B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A1" w:rsidRPr="000B175B" w:rsidRDefault="002B1DA1" w:rsidP="000B175B">
      <w:pPr>
        <w:tabs>
          <w:tab w:val="right" w:pos="2155"/>
        </w:tabs>
        <w:spacing w:after="80"/>
        <w:ind w:left="680"/>
        <w:rPr>
          <w:u w:val="single"/>
        </w:rPr>
      </w:pPr>
      <w:r>
        <w:rPr>
          <w:u w:val="single"/>
        </w:rPr>
        <w:tab/>
      </w:r>
    </w:p>
  </w:footnote>
  <w:footnote w:type="continuationSeparator" w:id="0">
    <w:p w:rsidR="002B1DA1" w:rsidRPr="00FC68B7" w:rsidRDefault="002B1DA1" w:rsidP="00FC68B7">
      <w:pPr>
        <w:tabs>
          <w:tab w:val="left" w:pos="2155"/>
        </w:tabs>
        <w:spacing w:after="80"/>
        <w:ind w:left="680"/>
        <w:rPr>
          <w:u w:val="single"/>
        </w:rPr>
      </w:pPr>
      <w:r>
        <w:rPr>
          <w:u w:val="single"/>
        </w:rPr>
        <w:tab/>
      </w:r>
    </w:p>
  </w:footnote>
  <w:footnote w:type="continuationNotice" w:id="1">
    <w:p w:rsidR="002B1DA1" w:rsidRDefault="002B1DA1"/>
  </w:footnote>
  <w:footnote w:id="2">
    <w:p w:rsidR="002358D7" w:rsidRPr="003A3109" w:rsidRDefault="002358D7" w:rsidP="00F576D8">
      <w:pPr>
        <w:pStyle w:val="FootnoteText"/>
        <w:rPr>
          <w:lang w:val="en-GB"/>
        </w:rPr>
      </w:pPr>
      <w:r>
        <w:rPr>
          <w:rStyle w:val="FootnoteReference"/>
        </w:rPr>
        <w:tab/>
      </w:r>
      <w:r w:rsidRPr="003A3109">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w:t>
      </w:r>
      <w:r>
        <w:rPr>
          <w:szCs w:val="18"/>
          <w:lang w:val="en-US"/>
        </w:rPr>
        <w:t>consideration</w:t>
      </w:r>
      <w:r w:rsidRPr="009131F3">
        <w:rPr>
          <w:szCs w:val="18"/>
        </w:rPr>
        <w:t xml:space="preserve"> of the present communication: </w:t>
      </w:r>
      <w:r>
        <w:rPr>
          <w:szCs w:val="18"/>
        </w:rPr>
        <w:t>Yadh Ben Achour,</w:t>
      </w:r>
      <w:r>
        <w:rPr>
          <w:bCs/>
          <w:szCs w:val="18"/>
        </w:rPr>
        <w:t xml:space="preserve"> </w:t>
      </w:r>
      <w:r w:rsidRPr="009131F3">
        <w:rPr>
          <w:bCs/>
          <w:szCs w:val="18"/>
        </w:rPr>
        <w:t xml:space="preserve">Lazhari Bouzid, </w:t>
      </w:r>
      <w:r>
        <w:rPr>
          <w:bCs/>
          <w:szCs w:val="18"/>
        </w:rPr>
        <w:t xml:space="preserve">Sarah Cleveland, Olivier de Frouville, </w:t>
      </w:r>
      <w:r w:rsidRPr="009131F3">
        <w:rPr>
          <w:bCs/>
          <w:szCs w:val="18"/>
        </w:rPr>
        <w:t xml:space="preserve">Yuji Iwasawa, </w:t>
      </w:r>
      <w:r>
        <w:rPr>
          <w:bCs/>
          <w:szCs w:val="18"/>
        </w:rPr>
        <w:t xml:space="preserve">Ivana </w:t>
      </w:r>
      <w:r w:rsidRPr="00E171AC">
        <w:rPr>
          <w:bCs/>
          <w:szCs w:val="18"/>
        </w:rPr>
        <w:t>Jeli</w:t>
      </w:r>
      <w:r w:rsidR="00E171AC">
        <w:rPr>
          <w:bCs/>
          <w:szCs w:val="18"/>
          <w:lang w:val="en-US"/>
        </w:rPr>
        <w:t>ć</w:t>
      </w:r>
      <w:r>
        <w:rPr>
          <w:bCs/>
          <w:szCs w:val="18"/>
        </w:rPr>
        <w:t>, Duncan Muhumu</w:t>
      </w:r>
      <w:r w:rsidRPr="003A3109">
        <w:rPr>
          <w:bCs/>
          <w:szCs w:val="18"/>
          <w:lang w:val="en-GB"/>
        </w:rPr>
        <w:t>z</w:t>
      </w:r>
      <w:r>
        <w:rPr>
          <w:bCs/>
          <w:szCs w:val="18"/>
        </w:rPr>
        <w:t>a Laki, Photini Pazartzis, Mauro Politi, Sir Nigel Rodley, Victor Manuel Rodríguez-Rescia,</w:t>
      </w:r>
      <w:r>
        <w:rPr>
          <w:bCs/>
          <w:szCs w:val="18"/>
          <w:lang w:val="en-US"/>
        </w:rPr>
        <w:t xml:space="preserve"> </w:t>
      </w:r>
      <w:r w:rsidRPr="009131F3">
        <w:rPr>
          <w:bCs/>
          <w:szCs w:val="18"/>
          <w:lang w:val="en-US"/>
        </w:rPr>
        <w:t>Fabi</w:t>
      </w:r>
      <w:r>
        <w:rPr>
          <w:bCs/>
          <w:szCs w:val="18"/>
          <w:lang w:val="en-US"/>
        </w:rPr>
        <w:t>á</w:t>
      </w:r>
      <w:r w:rsidRPr="009131F3">
        <w:rPr>
          <w:bCs/>
          <w:szCs w:val="18"/>
          <w:lang w:val="en-US"/>
        </w:rPr>
        <w:t xml:space="preserve">n Omar Salvioli, </w:t>
      </w:r>
      <w:r>
        <w:rPr>
          <w:bCs/>
          <w:szCs w:val="18"/>
          <w:lang w:val="en-US"/>
        </w:rPr>
        <w:t>Dheerujlall B. Seetulsingh, Anja Seibert-Fohr, Yuval Shany, Konstantine Vardzelashvili</w:t>
      </w:r>
      <w:r>
        <w:rPr>
          <w:bCs/>
          <w:szCs w:val="18"/>
        </w:rPr>
        <w:t xml:space="preserve"> and Margo Waterval.</w:t>
      </w:r>
    </w:p>
  </w:footnote>
  <w:footnote w:id="3">
    <w:p w:rsidR="002358D7" w:rsidRPr="0033240F" w:rsidRDefault="002358D7" w:rsidP="00CB6D80">
      <w:pPr>
        <w:pStyle w:val="FootnoteText"/>
        <w:rPr>
          <w:lang w:val="en-GB"/>
        </w:rPr>
      </w:pPr>
      <w:r w:rsidRPr="000633F4">
        <w:rPr>
          <w:lang w:val="en-GB"/>
        </w:rPr>
        <w:tab/>
      </w:r>
      <w:r w:rsidRPr="0033240F">
        <w:rPr>
          <w:rStyle w:val="FootnoteReference"/>
          <w:szCs w:val="18"/>
        </w:rPr>
        <w:footnoteRef/>
      </w:r>
      <w:r w:rsidRPr="003A3109">
        <w:rPr>
          <w:lang w:val="en-US"/>
        </w:rPr>
        <w:tab/>
      </w:r>
      <w:r w:rsidRPr="0033240F">
        <w:rPr>
          <w:lang w:val="en-US"/>
        </w:rPr>
        <w:t xml:space="preserve">The Optional Protocol </w:t>
      </w:r>
      <w:r w:rsidRPr="006E279A">
        <w:t>entered</w:t>
      </w:r>
      <w:r w:rsidRPr="0033240F">
        <w:rPr>
          <w:lang w:val="en-US"/>
        </w:rPr>
        <w:t xml:space="preserve"> into force for Kyrgyzstan on 7 </w:t>
      </w:r>
      <w:r>
        <w:rPr>
          <w:lang w:val="en-US"/>
        </w:rPr>
        <w:t>January</w:t>
      </w:r>
      <w:r w:rsidRPr="0033240F">
        <w:rPr>
          <w:lang w:val="en-US"/>
        </w:rPr>
        <w:t xml:space="preserve"> 199</w:t>
      </w:r>
      <w:r>
        <w:rPr>
          <w:lang w:val="en-US"/>
        </w:rPr>
        <w:t>5</w:t>
      </w:r>
      <w:r w:rsidRPr="0033240F">
        <w:rPr>
          <w:lang w:val="en-US"/>
        </w:rPr>
        <w:t>.</w:t>
      </w:r>
    </w:p>
  </w:footnote>
  <w:footnote w:id="4">
    <w:p w:rsidR="002358D7" w:rsidRPr="00420488" w:rsidRDefault="002358D7" w:rsidP="00AD6DE3">
      <w:pPr>
        <w:pStyle w:val="FootnoteText"/>
      </w:pPr>
      <w:r w:rsidRPr="003A3109">
        <w:rPr>
          <w:lang w:val="en-US"/>
        </w:rPr>
        <w:tab/>
      </w:r>
      <w:r>
        <w:rPr>
          <w:rStyle w:val="FootnoteReference"/>
        </w:rPr>
        <w:footnoteRef/>
      </w:r>
      <w:r w:rsidRPr="003A3109">
        <w:rPr>
          <w:lang w:val="en-US"/>
        </w:rPr>
        <w:tab/>
      </w:r>
      <w:r w:rsidRPr="00420488">
        <w:t xml:space="preserve">The note, </w:t>
      </w:r>
      <w:r w:rsidRPr="00420488">
        <w:rPr>
          <w:lang w:val="en-US"/>
        </w:rPr>
        <w:t>written</w:t>
      </w:r>
      <w:r w:rsidRPr="00420488">
        <w:t xml:space="preserve"> in Uzbek, </w:t>
      </w:r>
      <w:r w:rsidRPr="001C2AF1">
        <w:rPr>
          <w:lang w:val="en-US"/>
        </w:rPr>
        <w:t>allegedly</w:t>
      </w:r>
      <w:r w:rsidRPr="00420488">
        <w:t xml:space="preserve"> </w:t>
      </w:r>
      <w:r w:rsidRPr="001C2AF1">
        <w:rPr>
          <w:lang w:val="en-US"/>
        </w:rPr>
        <w:t>stated</w:t>
      </w:r>
      <w:r w:rsidRPr="00420488">
        <w:t>:</w:t>
      </w:r>
      <w:r>
        <w:t xml:space="preserve"> “My killers are [the father of Mr.</w:t>
      </w:r>
      <w:r w:rsidRPr="003A3109">
        <w:rPr>
          <w:lang w:val="en-US"/>
        </w:rPr>
        <w:t> </w:t>
      </w:r>
      <w:r>
        <w:t xml:space="preserve">Ernazarov’s former girlfriend] and [his former girlfriend]. They passed the shaving razor to me. Nobody is to be blamed. Nobody should suffer because of me. This was not done on a court’s verdict. There is a higher court in </w:t>
      </w:r>
      <w:r w:rsidRPr="00781CAC">
        <w:t>Rom</w:t>
      </w:r>
      <w:r w:rsidR="00D334EC" w:rsidRPr="003A3109">
        <w:rPr>
          <w:lang w:val="en-GB"/>
        </w:rPr>
        <w:t>e</w:t>
      </w:r>
      <w:r>
        <w:t>. I want my conscience cleaned. Good bye, Rakhmon.”</w:t>
      </w:r>
    </w:p>
  </w:footnote>
  <w:footnote w:id="5">
    <w:p w:rsidR="002358D7" w:rsidRPr="002B5269" w:rsidRDefault="002358D7" w:rsidP="00C54100">
      <w:pPr>
        <w:pStyle w:val="FootnoteText"/>
      </w:pPr>
      <w:r w:rsidRPr="003A3109">
        <w:rPr>
          <w:lang w:val="en-US"/>
        </w:rPr>
        <w:tab/>
      </w:r>
      <w:r>
        <w:rPr>
          <w:rStyle w:val="FootnoteReference"/>
        </w:rPr>
        <w:footnoteRef/>
      </w:r>
      <w:r w:rsidRPr="003A3109">
        <w:rPr>
          <w:lang w:val="en-US"/>
        </w:rPr>
        <w:tab/>
      </w:r>
      <w:r>
        <w:rPr>
          <w:lang w:val="en-US"/>
        </w:rPr>
        <w:t>See g</w:t>
      </w:r>
      <w:r>
        <w:t>eneral comment</w:t>
      </w:r>
      <w:r w:rsidRPr="002B5269">
        <w:t xml:space="preserve"> </w:t>
      </w:r>
      <w:r>
        <w:rPr>
          <w:lang w:val="en-US"/>
        </w:rPr>
        <w:t xml:space="preserve">No. </w:t>
      </w:r>
      <w:r w:rsidRPr="002B5269">
        <w:t>14</w:t>
      </w:r>
      <w:r>
        <w:rPr>
          <w:lang w:val="en-US"/>
        </w:rPr>
        <w:t xml:space="preserve"> (1984)</w:t>
      </w:r>
      <w:r w:rsidRPr="002B5269">
        <w:t xml:space="preserve"> </w:t>
      </w:r>
      <w:r>
        <w:rPr>
          <w:iCs/>
          <w:lang w:val="en-US"/>
        </w:rPr>
        <w:t>on t</w:t>
      </w:r>
      <w:r w:rsidRPr="003A3109">
        <w:rPr>
          <w:iCs/>
        </w:rPr>
        <w:t>he right to life</w:t>
      </w:r>
      <w:r w:rsidRPr="002B5269">
        <w:t>, para</w:t>
      </w:r>
      <w:r w:rsidRPr="003A3109">
        <w:rPr>
          <w:lang w:val="en-US"/>
        </w:rPr>
        <w:t>. </w:t>
      </w:r>
      <w:r w:rsidRPr="002B5269">
        <w:t>1.</w:t>
      </w:r>
    </w:p>
  </w:footnote>
  <w:footnote w:id="6">
    <w:p w:rsidR="002358D7" w:rsidRPr="004021AF" w:rsidRDefault="002358D7" w:rsidP="001F7F7E">
      <w:pPr>
        <w:pStyle w:val="FootnoteText"/>
      </w:pPr>
      <w:r w:rsidRPr="003A3109">
        <w:rPr>
          <w:lang w:val="en-US"/>
        </w:rPr>
        <w:tab/>
      </w:r>
      <w:r>
        <w:rPr>
          <w:rStyle w:val="FootnoteReference"/>
        </w:rPr>
        <w:footnoteRef/>
      </w:r>
      <w:r w:rsidRPr="003A3109">
        <w:rPr>
          <w:lang w:val="en-US"/>
        </w:rPr>
        <w:tab/>
      </w:r>
      <w:r w:rsidR="00253799" w:rsidRPr="00F035EA">
        <w:rPr>
          <w:lang w:val="en-US"/>
        </w:rPr>
        <w:t>G</w:t>
      </w:r>
      <w:r>
        <w:t>eneral comment</w:t>
      </w:r>
      <w:r w:rsidRPr="0033240F">
        <w:t xml:space="preserve"> No</w:t>
      </w:r>
      <w:r w:rsidRPr="003A3109">
        <w:rPr>
          <w:lang w:val="en-US"/>
        </w:rPr>
        <w:t>. </w:t>
      </w:r>
      <w:r w:rsidR="00253799" w:rsidRPr="003A3109">
        <w:rPr>
          <w:lang w:val="en-GB"/>
        </w:rPr>
        <w:t>5</w:t>
      </w:r>
      <w:r>
        <w:rPr>
          <w:lang w:val="en-US"/>
        </w:rPr>
        <w:t xml:space="preserve"> (</w:t>
      </w:r>
      <w:r w:rsidR="00253799">
        <w:rPr>
          <w:lang w:val="en-US"/>
        </w:rPr>
        <w:t>1994</w:t>
      </w:r>
      <w:r>
        <w:rPr>
          <w:lang w:val="en-US"/>
        </w:rPr>
        <w:t>)</w:t>
      </w:r>
      <w:r w:rsidR="00781CAC">
        <w:rPr>
          <w:lang w:val="en-US"/>
        </w:rPr>
        <w:t>,</w:t>
      </w:r>
      <w:r w:rsidRPr="0033240F">
        <w:rPr>
          <w:bCs/>
        </w:rPr>
        <w:t xml:space="preserve"> para</w:t>
      </w:r>
      <w:r>
        <w:rPr>
          <w:bCs/>
          <w:lang w:val="en-US"/>
        </w:rPr>
        <w:t>.</w:t>
      </w:r>
      <w:r>
        <w:rPr>
          <w:bCs/>
        </w:rPr>
        <w:t xml:space="preserve"> </w:t>
      </w:r>
      <w:r w:rsidR="00253799" w:rsidRPr="003A3109">
        <w:rPr>
          <w:bCs/>
          <w:lang w:val="en-GB"/>
        </w:rPr>
        <w:t>5</w:t>
      </w:r>
      <w:r w:rsidR="00253799" w:rsidRPr="00F035EA">
        <w:rPr>
          <w:lang w:val="en-US"/>
        </w:rPr>
        <w:t>.</w:t>
      </w:r>
      <w:r>
        <w:t xml:space="preserve"> </w:t>
      </w:r>
    </w:p>
  </w:footnote>
  <w:footnote w:id="7">
    <w:p w:rsidR="002358D7" w:rsidRPr="00A5690B" w:rsidRDefault="002358D7" w:rsidP="00EF6703">
      <w:pPr>
        <w:pStyle w:val="FootnoteText"/>
      </w:pPr>
      <w:r w:rsidRPr="003A3109">
        <w:rPr>
          <w:lang w:val="en-US"/>
        </w:rPr>
        <w:tab/>
      </w:r>
      <w:r>
        <w:rPr>
          <w:rStyle w:val="FootnoteReference"/>
        </w:rPr>
        <w:footnoteRef/>
      </w:r>
      <w:r w:rsidRPr="003A3109">
        <w:rPr>
          <w:lang w:val="en-US"/>
        </w:rPr>
        <w:tab/>
      </w:r>
      <w:r w:rsidRPr="00EE178F">
        <w:t xml:space="preserve">The author refers to </w:t>
      </w:r>
      <w:r>
        <w:t>c</w:t>
      </w:r>
      <w:r w:rsidRPr="00A5690B">
        <w:t xml:space="preserve">ommunication </w:t>
      </w:r>
      <w:r>
        <w:t>No</w:t>
      </w:r>
      <w:r w:rsidRPr="003A3109">
        <w:rPr>
          <w:lang w:val="en-US"/>
        </w:rPr>
        <w:t>. </w:t>
      </w:r>
      <w:r>
        <w:t xml:space="preserve">763/1997, </w:t>
      </w:r>
      <w:r w:rsidRPr="004021AF">
        <w:rPr>
          <w:i/>
        </w:rPr>
        <w:t xml:space="preserve">Lantsova </w:t>
      </w:r>
      <w:r w:rsidRPr="003A3109">
        <w:rPr>
          <w:iCs/>
        </w:rPr>
        <w:t>v.</w:t>
      </w:r>
      <w:r w:rsidRPr="004021AF">
        <w:rPr>
          <w:i/>
        </w:rPr>
        <w:t xml:space="preserve"> Russia</w:t>
      </w:r>
      <w:r>
        <w:rPr>
          <w:i/>
        </w:rPr>
        <w:t>n Federation</w:t>
      </w:r>
      <w:r>
        <w:t xml:space="preserve">, Views </w:t>
      </w:r>
      <w:r>
        <w:rPr>
          <w:lang w:val="en-US"/>
        </w:rPr>
        <w:t>adopted on</w:t>
      </w:r>
      <w:r>
        <w:t xml:space="preserve"> </w:t>
      </w:r>
      <w:r>
        <w:rPr>
          <w:lang w:val="en-US"/>
        </w:rPr>
        <w:t>26 March</w:t>
      </w:r>
      <w:r>
        <w:t xml:space="preserve"> 2002, para</w:t>
      </w:r>
      <w:r w:rsidRPr="003A3109">
        <w:rPr>
          <w:lang w:val="en-US"/>
        </w:rPr>
        <w:t>. </w:t>
      </w:r>
      <w:r>
        <w:t>9.2.</w:t>
      </w:r>
    </w:p>
  </w:footnote>
  <w:footnote w:id="8">
    <w:p w:rsidR="002358D7" w:rsidRPr="00A5690B" w:rsidRDefault="002358D7" w:rsidP="00A46837">
      <w:pPr>
        <w:pStyle w:val="FootnoteText"/>
      </w:pPr>
      <w:r w:rsidRPr="003A3109">
        <w:rPr>
          <w:lang w:val="en-US"/>
        </w:rPr>
        <w:tab/>
      </w:r>
      <w:r>
        <w:rPr>
          <w:rStyle w:val="FootnoteReference"/>
        </w:rPr>
        <w:footnoteRef/>
      </w:r>
      <w:r w:rsidRPr="003A3109">
        <w:rPr>
          <w:lang w:val="en-US"/>
        </w:rPr>
        <w:tab/>
      </w:r>
      <w:r w:rsidR="001F7F7E">
        <w:rPr>
          <w:lang w:val="en-US"/>
        </w:rPr>
        <w:t>See g</w:t>
      </w:r>
      <w:r>
        <w:t>eneral comment</w:t>
      </w:r>
      <w:r w:rsidRPr="00A5690B">
        <w:t xml:space="preserve"> </w:t>
      </w:r>
      <w:r>
        <w:rPr>
          <w:lang w:val="en-US"/>
        </w:rPr>
        <w:t xml:space="preserve">No. </w:t>
      </w:r>
      <w:r w:rsidRPr="00A5690B">
        <w:t>21</w:t>
      </w:r>
      <w:r>
        <w:rPr>
          <w:lang w:val="en-US"/>
        </w:rPr>
        <w:t xml:space="preserve"> (</w:t>
      </w:r>
      <w:r w:rsidRPr="00EF6703">
        <w:rPr>
          <w:lang w:val="en-GB"/>
        </w:rPr>
        <w:t>1992</w:t>
      </w:r>
      <w:r>
        <w:rPr>
          <w:lang w:val="en-GB"/>
        </w:rPr>
        <w:t>)</w:t>
      </w:r>
      <w:r w:rsidRPr="00A5690B">
        <w:t xml:space="preserve"> </w:t>
      </w:r>
      <w:r>
        <w:rPr>
          <w:lang w:val="en-US"/>
        </w:rPr>
        <w:t xml:space="preserve">on the </w:t>
      </w:r>
      <w:r w:rsidRPr="00EF6703">
        <w:rPr>
          <w:iCs/>
          <w:lang w:val="en-US"/>
        </w:rPr>
        <w:t>humane</w:t>
      </w:r>
      <w:r w:rsidRPr="00EF6703">
        <w:rPr>
          <w:iCs/>
        </w:rPr>
        <w:t xml:space="preserve"> treatment </w:t>
      </w:r>
      <w:r>
        <w:rPr>
          <w:iCs/>
          <w:lang w:val="en-US"/>
        </w:rPr>
        <w:t>of persons deprived of their liberty</w:t>
      </w:r>
      <w:r w:rsidRPr="00A5690B">
        <w:t>, para</w:t>
      </w:r>
      <w:r w:rsidRPr="003A3109">
        <w:rPr>
          <w:lang w:val="en-US"/>
        </w:rPr>
        <w:t>. </w:t>
      </w:r>
      <w:r w:rsidRPr="00A5690B">
        <w:t>3.</w:t>
      </w:r>
    </w:p>
  </w:footnote>
  <w:footnote w:id="9">
    <w:p w:rsidR="002358D7" w:rsidRPr="00A5690B" w:rsidRDefault="002358D7" w:rsidP="00AD6DE3">
      <w:pPr>
        <w:pStyle w:val="FootnoteText"/>
      </w:pPr>
      <w:r w:rsidRPr="003A3109">
        <w:rPr>
          <w:lang w:val="en-US"/>
        </w:rPr>
        <w:tab/>
      </w:r>
      <w:r>
        <w:rPr>
          <w:rStyle w:val="FootnoteReference"/>
        </w:rPr>
        <w:footnoteRef/>
      </w:r>
      <w:r w:rsidRPr="003A3109">
        <w:rPr>
          <w:lang w:val="en-US"/>
        </w:rPr>
        <w:tab/>
      </w:r>
      <w:r w:rsidRPr="00EE178F">
        <w:t xml:space="preserve">The author refers to </w:t>
      </w:r>
      <w:r>
        <w:t>communications No</w:t>
      </w:r>
      <w:r w:rsidRPr="003A3109">
        <w:rPr>
          <w:lang w:val="en-US"/>
        </w:rPr>
        <w:t>. </w:t>
      </w:r>
      <w:r>
        <w:t xml:space="preserve">84/1981, </w:t>
      </w:r>
      <w:r w:rsidRPr="004021AF">
        <w:rPr>
          <w:i/>
        </w:rPr>
        <w:t xml:space="preserve">Dermit Barbato </w:t>
      </w:r>
      <w:r w:rsidRPr="003A3109">
        <w:rPr>
          <w:iCs/>
        </w:rPr>
        <w:t>v.</w:t>
      </w:r>
      <w:r w:rsidRPr="004021AF">
        <w:rPr>
          <w:i/>
        </w:rPr>
        <w:t xml:space="preserve"> Uruguay</w:t>
      </w:r>
      <w:r>
        <w:t xml:space="preserve">, Views </w:t>
      </w:r>
      <w:r>
        <w:rPr>
          <w:lang w:val="en-US"/>
        </w:rPr>
        <w:t>adopted on</w:t>
      </w:r>
      <w:r>
        <w:t xml:space="preserve"> 21 October 1982, para</w:t>
      </w:r>
      <w:r w:rsidRPr="003A3109">
        <w:rPr>
          <w:lang w:val="en-US"/>
        </w:rPr>
        <w:t>. </w:t>
      </w:r>
      <w:r>
        <w:t xml:space="preserve">9.2 </w:t>
      </w:r>
      <w:r w:rsidRPr="00C1281E">
        <w:t>and No</w:t>
      </w:r>
      <w:r w:rsidRPr="003A3109">
        <w:rPr>
          <w:lang w:val="en-US"/>
        </w:rPr>
        <w:t>. </w:t>
      </w:r>
      <w:r w:rsidRPr="00C1281E">
        <w:t xml:space="preserve">30/1978, </w:t>
      </w:r>
      <w:r w:rsidRPr="00C1281E">
        <w:rPr>
          <w:i/>
        </w:rPr>
        <w:t xml:space="preserve">Bleier </w:t>
      </w:r>
      <w:r w:rsidRPr="003A3109">
        <w:rPr>
          <w:iCs/>
        </w:rPr>
        <w:t>v.</w:t>
      </w:r>
      <w:r w:rsidRPr="00C1281E">
        <w:rPr>
          <w:i/>
        </w:rPr>
        <w:t xml:space="preserve"> Uruguay</w:t>
      </w:r>
      <w:r w:rsidRPr="00C1281E">
        <w:t xml:space="preserve">, Views </w:t>
      </w:r>
      <w:r w:rsidRPr="00C1281E">
        <w:rPr>
          <w:lang w:val="en-US"/>
        </w:rPr>
        <w:t>adopted on</w:t>
      </w:r>
      <w:r w:rsidRPr="00C1281E">
        <w:t xml:space="preserve"> 29 March 1982, paras</w:t>
      </w:r>
      <w:r w:rsidRPr="003A3109">
        <w:rPr>
          <w:lang w:val="en-US"/>
        </w:rPr>
        <w:t>. </w:t>
      </w:r>
      <w:r w:rsidRPr="00C1281E">
        <w:t>11.2 and 13.3.</w:t>
      </w:r>
    </w:p>
  </w:footnote>
  <w:footnote w:id="10">
    <w:p w:rsidR="002358D7" w:rsidRPr="00A5690B" w:rsidRDefault="002358D7" w:rsidP="00C423C6">
      <w:pPr>
        <w:pStyle w:val="FootnoteText"/>
      </w:pPr>
      <w:r w:rsidRPr="003A3109">
        <w:rPr>
          <w:lang w:val="en-US"/>
        </w:rPr>
        <w:tab/>
      </w:r>
      <w:r>
        <w:rPr>
          <w:rStyle w:val="FootnoteReference"/>
        </w:rPr>
        <w:footnoteRef/>
      </w:r>
      <w:r w:rsidRPr="003A3109">
        <w:rPr>
          <w:lang w:val="en-US"/>
        </w:rPr>
        <w:tab/>
      </w:r>
      <w:r w:rsidRPr="0084321E">
        <w:t>The</w:t>
      </w:r>
      <w:r w:rsidRPr="00EE178F">
        <w:rPr>
          <w:lang w:val="en-GB"/>
        </w:rPr>
        <w:t xml:space="preserve"> author refers to </w:t>
      </w:r>
      <w:r w:rsidRPr="00C423C6">
        <w:rPr>
          <w:i/>
          <w:lang w:val="en-GB"/>
        </w:rPr>
        <w:t xml:space="preserve">Dermit Barbato </w:t>
      </w:r>
      <w:r w:rsidRPr="00C423C6">
        <w:rPr>
          <w:iCs/>
          <w:lang w:val="en-GB"/>
        </w:rPr>
        <w:t>v.</w:t>
      </w:r>
      <w:r w:rsidRPr="00C423C6">
        <w:rPr>
          <w:i/>
          <w:lang w:val="en-GB"/>
        </w:rPr>
        <w:t xml:space="preserve"> Uruguay</w:t>
      </w:r>
      <w:r>
        <w:rPr>
          <w:lang w:val="en-GB"/>
        </w:rPr>
        <w:t>, para. 9.2.</w:t>
      </w:r>
    </w:p>
  </w:footnote>
  <w:footnote w:id="11">
    <w:p w:rsidR="002358D7" w:rsidRPr="0002220F" w:rsidRDefault="002358D7" w:rsidP="007A4752">
      <w:pPr>
        <w:pStyle w:val="FootnoteText"/>
        <w:rPr>
          <w:lang w:val="en-GB"/>
        </w:rPr>
      </w:pPr>
      <w:r w:rsidRPr="003A3109">
        <w:rPr>
          <w:lang w:val="en-US"/>
        </w:rPr>
        <w:tab/>
      </w:r>
      <w:r w:rsidRPr="0002220F">
        <w:rPr>
          <w:rStyle w:val="FootnoteReference"/>
          <w:szCs w:val="18"/>
        </w:rPr>
        <w:footnoteRef/>
      </w:r>
      <w:r w:rsidRPr="003A3109">
        <w:rPr>
          <w:lang w:val="en-US"/>
        </w:rPr>
        <w:tab/>
      </w:r>
      <w:r w:rsidRPr="0002220F">
        <w:rPr>
          <w:spacing w:val="-2"/>
          <w:lang w:val="en-GB"/>
        </w:rPr>
        <w:t>CPT Standards</w:t>
      </w:r>
      <w:r>
        <w:rPr>
          <w:spacing w:val="-2"/>
          <w:lang w:val="en-GB"/>
        </w:rPr>
        <w:t xml:space="preserve">, </w:t>
      </w:r>
      <w:r w:rsidRPr="0002220F">
        <w:rPr>
          <w:lang w:val="en-GB"/>
        </w:rPr>
        <w:t>p</w:t>
      </w:r>
      <w:r>
        <w:rPr>
          <w:lang w:val="en-GB"/>
        </w:rPr>
        <w:t>. </w:t>
      </w:r>
      <w:r w:rsidRPr="0002220F">
        <w:rPr>
          <w:lang w:val="en-GB"/>
        </w:rPr>
        <w:t>23.</w:t>
      </w:r>
    </w:p>
  </w:footnote>
  <w:footnote w:id="12">
    <w:p w:rsidR="002358D7" w:rsidRPr="00EE178F" w:rsidRDefault="002358D7" w:rsidP="00677030">
      <w:pPr>
        <w:pStyle w:val="FootnoteText"/>
      </w:pPr>
      <w:r w:rsidRPr="003A3109">
        <w:rPr>
          <w:lang w:val="en-US"/>
        </w:rPr>
        <w:tab/>
      </w:r>
      <w:r>
        <w:rPr>
          <w:rStyle w:val="FootnoteReference"/>
        </w:rPr>
        <w:footnoteRef/>
      </w:r>
      <w:r w:rsidRPr="003A3109">
        <w:rPr>
          <w:lang w:val="en-US"/>
        </w:rPr>
        <w:tab/>
      </w:r>
      <w:r w:rsidRPr="00C1281E">
        <w:rPr>
          <w:i/>
        </w:rPr>
        <w:t xml:space="preserve">Dermit Barbato </w:t>
      </w:r>
      <w:r w:rsidRPr="003A3109">
        <w:rPr>
          <w:iCs/>
        </w:rPr>
        <w:t>v.</w:t>
      </w:r>
      <w:r w:rsidRPr="00C1281E">
        <w:rPr>
          <w:i/>
        </w:rPr>
        <w:t xml:space="preserve"> Uruguay</w:t>
      </w:r>
      <w:r w:rsidRPr="00C1281E">
        <w:t>, para</w:t>
      </w:r>
      <w:r w:rsidRPr="003A3109">
        <w:rPr>
          <w:lang w:val="en-US"/>
        </w:rPr>
        <w:t>. </w:t>
      </w:r>
      <w:r w:rsidRPr="00C1281E">
        <w:t>9.2.</w:t>
      </w:r>
    </w:p>
  </w:footnote>
  <w:footnote w:id="13">
    <w:p w:rsidR="002358D7" w:rsidRPr="00EE178F" w:rsidRDefault="002358D7" w:rsidP="0066456D">
      <w:pPr>
        <w:pStyle w:val="FootnoteText"/>
        <w:rPr>
          <w:lang w:val="en-GB"/>
        </w:rPr>
      </w:pPr>
      <w:r w:rsidRPr="003A3109">
        <w:rPr>
          <w:lang w:val="en-US"/>
        </w:rPr>
        <w:tab/>
      </w:r>
      <w:r>
        <w:rPr>
          <w:rStyle w:val="FootnoteReference"/>
        </w:rPr>
        <w:footnoteRef/>
      </w:r>
      <w:r w:rsidRPr="000633F4">
        <w:rPr>
          <w:lang w:val="en-GB"/>
        </w:rPr>
        <w:tab/>
      </w:r>
      <w:r w:rsidRPr="00EE178F">
        <w:rPr>
          <w:lang w:val="en-GB"/>
        </w:rPr>
        <w:t xml:space="preserve">The author refers to </w:t>
      </w:r>
      <w:r>
        <w:rPr>
          <w:lang w:val="en-GB"/>
        </w:rPr>
        <w:t>the International Crisis Group report “</w:t>
      </w:r>
      <w:r w:rsidRPr="003A3109">
        <w:rPr>
          <w:iCs/>
        </w:rPr>
        <w:t xml:space="preserve">Kyrgyzstan’s </w:t>
      </w:r>
      <w:r w:rsidR="007E142C">
        <w:rPr>
          <w:iCs/>
          <w:lang w:val="en-US"/>
        </w:rPr>
        <w:t>p</w:t>
      </w:r>
      <w:r w:rsidRPr="003A3109">
        <w:rPr>
          <w:iCs/>
        </w:rPr>
        <w:t xml:space="preserve">rison </w:t>
      </w:r>
      <w:r w:rsidR="007E142C">
        <w:rPr>
          <w:iCs/>
          <w:lang w:val="en-US"/>
        </w:rPr>
        <w:t>s</w:t>
      </w:r>
      <w:r w:rsidRPr="003A3109">
        <w:rPr>
          <w:iCs/>
        </w:rPr>
        <w:t xml:space="preserve">ystem </w:t>
      </w:r>
      <w:r w:rsidR="007E142C">
        <w:rPr>
          <w:iCs/>
          <w:lang w:val="en-US"/>
        </w:rPr>
        <w:t>n</w:t>
      </w:r>
      <w:r w:rsidRPr="003A3109">
        <w:rPr>
          <w:iCs/>
        </w:rPr>
        <w:t>ightmare</w:t>
      </w:r>
      <w:r>
        <w:rPr>
          <w:iCs/>
          <w:lang w:val="en-US"/>
        </w:rPr>
        <w:t>”</w:t>
      </w:r>
      <w:r>
        <w:t xml:space="preserve">, </w:t>
      </w:r>
      <w:r w:rsidRPr="00EE178F">
        <w:t>Asia Report</w:t>
      </w:r>
      <w:r>
        <w:t xml:space="preserve"> N</w:t>
      </w:r>
      <w:r w:rsidRPr="003A3109">
        <w:rPr>
          <w:lang w:val="en-US"/>
        </w:rPr>
        <w:t>o. </w:t>
      </w:r>
      <w:r w:rsidRPr="00EE178F">
        <w:t>118</w:t>
      </w:r>
      <w:r>
        <w:t xml:space="preserve"> </w:t>
      </w:r>
      <w:r>
        <w:rPr>
          <w:lang w:val="en-US"/>
        </w:rPr>
        <w:t>(</w:t>
      </w:r>
      <w:r>
        <w:t>1</w:t>
      </w:r>
      <w:r w:rsidRPr="00EE178F">
        <w:t>6 Aug</w:t>
      </w:r>
      <w:r w:rsidRPr="003A3109">
        <w:rPr>
          <w:lang w:val="en-US"/>
        </w:rPr>
        <w:t>ust</w:t>
      </w:r>
      <w:r w:rsidRPr="00EE178F">
        <w:t xml:space="preserve"> 2006</w:t>
      </w:r>
      <w:r>
        <w:rPr>
          <w:lang w:val="en-US"/>
        </w:rPr>
        <w:t>)</w:t>
      </w:r>
      <w:r>
        <w:t xml:space="preserve">, available </w:t>
      </w:r>
      <w:r>
        <w:rPr>
          <w:lang w:val="en-US"/>
        </w:rPr>
        <w:t>from</w:t>
      </w:r>
      <w:r>
        <w:t xml:space="preserve"> </w:t>
      </w:r>
      <w:r w:rsidRPr="0066456D">
        <w:t>www.crisisgroup.org/en/regions/asia/central-asia/kyrgyzstan/</w:t>
      </w:r>
      <w:r>
        <w:rPr>
          <w:lang w:val="en-US"/>
        </w:rPr>
        <w:t>,</w:t>
      </w:r>
      <w:r>
        <w:t xml:space="preserve"> and to the report of the non-governmental organization Oasis</w:t>
      </w:r>
      <w:r>
        <w:rPr>
          <w:lang w:val="en-US"/>
        </w:rPr>
        <w:t>,</w:t>
      </w:r>
      <w:r>
        <w:t xml:space="preserve"> </w:t>
      </w:r>
      <w:r>
        <w:rPr>
          <w:lang w:val="en-US"/>
        </w:rPr>
        <w:t>“</w:t>
      </w:r>
      <w:r w:rsidRPr="003A3109">
        <w:rPr>
          <w:iCs/>
        </w:rPr>
        <w:t xml:space="preserve">Report of the </w:t>
      </w:r>
      <w:r w:rsidRPr="0066456D">
        <w:rPr>
          <w:iCs/>
        </w:rPr>
        <w:t xml:space="preserve">monitoring of human rights in the penitentiary facilities of the </w:t>
      </w:r>
      <w:r w:rsidRPr="003A3109">
        <w:rPr>
          <w:iCs/>
        </w:rPr>
        <w:t xml:space="preserve">Chuy Region of the Kyrgyz Republic: </w:t>
      </w:r>
      <w:r w:rsidRPr="0066456D">
        <w:rPr>
          <w:iCs/>
        </w:rPr>
        <w:t>respect of the right for protection from discrimination of sexual minorities and stigmatized groups among prisoners</w:t>
      </w:r>
      <w:r>
        <w:rPr>
          <w:iCs/>
          <w:lang w:val="en-US"/>
        </w:rPr>
        <w:t>”</w:t>
      </w:r>
      <w:r>
        <w:t xml:space="preserve"> </w:t>
      </w:r>
      <w:r>
        <w:rPr>
          <w:lang w:val="en-US"/>
        </w:rPr>
        <w:t>(</w:t>
      </w:r>
      <w:r>
        <w:t>Bishkek, 2004</w:t>
      </w:r>
      <w:r>
        <w:rPr>
          <w:lang w:val="en-US"/>
        </w:rPr>
        <w:t>)</w:t>
      </w:r>
      <w:r>
        <w:t>, copy provided by the author.</w:t>
      </w:r>
    </w:p>
  </w:footnote>
  <w:footnote w:id="14">
    <w:p w:rsidR="002358D7" w:rsidRPr="004E56B6" w:rsidRDefault="002358D7" w:rsidP="0084321E">
      <w:pPr>
        <w:pStyle w:val="FootnoteText"/>
      </w:pPr>
      <w:r w:rsidRPr="000633F4">
        <w:rPr>
          <w:lang w:val="en-GB"/>
        </w:rPr>
        <w:tab/>
      </w:r>
      <w:r>
        <w:rPr>
          <w:rStyle w:val="FootnoteReference"/>
        </w:rPr>
        <w:footnoteRef/>
      </w:r>
      <w:r w:rsidRPr="003A3109">
        <w:rPr>
          <w:lang w:val="en-US"/>
        </w:rPr>
        <w:tab/>
      </w:r>
      <w:r w:rsidRPr="004E56B6">
        <w:t>The author refers to communication No</w:t>
      </w:r>
      <w:r w:rsidRPr="003A3109">
        <w:rPr>
          <w:lang w:val="en-US"/>
        </w:rPr>
        <w:t>. </w:t>
      </w:r>
      <w:r w:rsidRPr="004E56B6">
        <w:t xml:space="preserve">1225/2003, </w:t>
      </w:r>
      <w:r w:rsidRPr="00E7627C">
        <w:rPr>
          <w:i/>
        </w:rPr>
        <w:t xml:space="preserve">Eshonov </w:t>
      </w:r>
      <w:r w:rsidRPr="003A3109">
        <w:rPr>
          <w:iCs/>
        </w:rPr>
        <w:t>v.</w:t>
      </w:r>
      <w:r w:rsidRPr="00E7627C">
        <w:rPr>
          <w:i/>
        </w:rPr>
        <w:t xml:space="preserve"> Uzbekistan</w:t>
      </w:r>
      <w:r>
        <w:t xml:space="preserve">, Views </w:t>
      </w:r>
      <w:r>
        <w:rPr>
          <w:lang w:val="en-US"/>
        </w:rPr>
        <w:t>adopted on</w:t>
      </w:r>
      <w:r>
        <w:t xml:space="preserve"> 22 July 2010, para</w:t>
      </w:r>
      <w:r w:rsidRPr="003A3109">
        <w:rPr>
          <w:lang w:val="en-US"/>
        </w:rPr>
        <w:t>. </w:t>
      </w:r>
      <w:r>
        <w:t>9.2.</w:t>
      </w:r>
    </w:p>
  </w:footnote>
  <w:footnote w:id="15">
    <w:p w:rsidR="002358D7" w:rsidRPr="00EB2F62" w:rsidRDefault="002358D7" w:rsidP="00621F44">
      <w:pPr>
        <w:pStyle w:val="FootnoteText"/>
        <w:rPr>
          <w:lang w:val="en-GB"/>
        </w:rPr>
      </w:pPr>
      <w:r w:rsidRPr="003A3109">
        <w:rPr>
          <w:lang w:val="en-US"/>
        </w:rPr>
        <w:tab/>
      </w:r>
      <w:r>
        <w:rPr>
          <w:rStyle w:val="FootnoteReference"/>
        </w:rPr>
        <w:footnoteRef/>
      </w:r>
      <w:r w:rsidRPr="003A3109">
        <w:rPr>
          <w:lang w:val="en-US"/>
        </w:rPr>
        <w:tab/>
      </w:r>
      <w:r w:rsidRPr="00EE178F">
        <w:rPr>
          <w:lang w:val="en-GB"/>
        </w:rPr>
        <w:t xml:space="preserve">The </w:t>
      </w:r>
      <w:r w:rsidRPr="0084321E">
        <w:t>author</w:t>
      </w:r>
      <w:r w:rsidRPr="00EE178F">
        <w:rPr>
          <w:lang w:val="en-GB"/>
        </w:rPr>
        <w:t xml:space="preserve"> refers to</w:t>
      </w:r>
      <w:r w:rsidRPr="00EB2F62">
        <w:t xml:space="preserve"> </w:t>
      </w:r>
      <w:r w:rsidRPr="00EB2F62">
        <w:rPr>
          <w:i/>
        </w:rPr>
        <w:t xml:space="preserve">Bleier </w:t>
      </w:r>
      <w:r w:rsidRPr="003A3109">
        <w:rPr>
          <w:iCs/>
        </w:rPr>
        <w:t>v.</w:t>
      </w:r>
      <w:r w:rsidRPr="00EB2F62">
        <w:rPr>
          <w:i/>
        </w:rPr>
        <w:t xml:space="preserve"> Uruguay</w:t>
      </w:r>
      <w:r w:rsidRPr="00EB2F62">
        <w:t>, para</w:t>
      </w:r>
      <w:r w:rsidRPr="003A3109">
        <w:rPr>
          <w:lang w:val="en-US"/>
        </w:rPr>
        <w:t>. </w:t>
      </w:r>
      <w:r w:rsidRPr="00EB2F62">
        <w:t>13.3</w:t>
      </w:r>
      <w:r>
        <w:rPr>
          <w:lang w:val="en-US"/>
        </w:rPr>
        <w:t>, and communication</w:t>
      </w:r>
      <w:r w:rsidRPr="00EB2F62">
        <w:rPr>
          <w:lang w:val="en-GB"/>
        </w:rPr>
        <w:t xml:space="preserve"> No</w:t>
      </w:r>
      <w:r>
        <w:rPr>
          <w:lang w:val="en-GB"/>
        </w:rPr>
        <w:t>. </w:t>
      </w:r>
      <w:r w:rsidRPr="00EB2F62">
        <w:rPr>
          <w:lang w:val="en-GB"/>
        </w:rPr>
        <w:t xml:space="preserve">458/1991, </w:t>
      </w:r>
      <w:r w:rsidRPr="00EB2F62">
        <w:rPr>
          <w:i/>
          <w:lang w:val="en-GB"/>
        </w:rPr>
        <w:t xml:space="preserve">Mukong </w:t>
      </w:r>
      <w:r w:rsidRPr="003A3109">
        <w:rPr>
          <w:iCs/>
          <w:lang w:val="en-GB"/>
        </w:rPr>
        <w:t>v.</w:t>
      </w:r>
      <w:r w:rsidRPr="00EB2F62">
        <w:rPr>
          <w:i/>
          <w:lang w:val="en-GB"/>
        </w:rPr>
        <w:t xml:space="preserve"> Cameroon</w:t>
      </w:r>
      <w:r w:rsidRPr="00EB2F62">
        <w:rPr>
          <w:lang w:val="en-GB"/>
        </w:rPr>
        <w:t xml:space="preserve">, Views </w:t>
      </w:r>
      <w:r>
        <w:rPr>
          <w:lang w:val="en-GB"/>
        </w:rPr>
        <w:t>adopted on</w:t>
      </w:r>
      <w:r w:rsidRPr="00EB2F62">
        <w:rPr>
          <w:lang w:val="en-GB"/>
        </w:rPr>
        <w:t xml:space="preserve"> 21 July 1994, para</w:t>
      </w:r>
      <w:r>
        <w:rPr>
          <w:lang w:val="en-GB"/>
        </w:rPr>
        <w:t>. </w:t>
      </w:r>
      <w:r w:rsidRPr="00EB2F62">
        <w:rPr>
          <w:lang w:val="en-GB"/>
        </w:rPr>
        <w:t>9.2.</w:t>
      </w:r>
    </w:p>
  </w:footnote>
  <w:footnote w:id="16">
    <w:p w:rsidR="002358D7" w:rsidRPr="0033240F" w:rsidRDefault="002358D7" w:rsidP="00DD0395">
      <w:pPr>
        <w:pStyle w:val="FootnoteText"/>
        <w:rPr>
          <w:lang w:val="en-GB"/>
        </w:rPr>
      </w:pPr>
      <w:r w:rsidRPr="003A3109">
        <w:rPr>
          <w:lang w:val="en-US"/>
        </w:rPr>
        <w:tab/>
      </w:r>
      <w:r w:rsidRPr="0033240F">
        <w:rPr>
          <w:rStyle w:val="FootnoteReference"/>
          <w:szCs w:val="18"/>
        </w:rPr>
        <w:footnoteRef/>
      </w:r>
      <w:r w:rsidRPr="003A3109">
        <w:rPr>
          <w:lang w:val="en-US"/>
        </w:rPr>
        <w:tab/>
      </w:r>
      <w:r w:rsidRPr="0033240F">
        <w:rPr>
          <w:lang w:val="en-GB"/>
        </w:rPr>
        <w:t>The au</w:t>
      </w:r>
      <w:r>
        <w:rPr>
          <w:lang w:val="en-GB"/>
        </w:rPr>
        <w:t xml:space="preserve">thor refers to the </w:t>
      </w:r>
      <w:r w:rsidRPr="00B7702F">
        <w:rPr>
          <w:lang w:val="en-GB"/>
        </w:rPr>
        <w:t>Committee’s general comment No. 31, para. 15</w:t>
      </w:r>
      <w:r>
        <w:rPr>
          <w:lang w:val="en-GB"/>
        </w:rPr>
        <w:t>;</w:t>
      </w:r>
      <w:r w:rsidRPr="0033240F">
        <w:rPr>
          <w:lang w:val="en-GB"/>
        </w:rPr>
        <w:t xml:space="preserve"> the </w:t>
      </w:r>
      <w:r w:rsidRPr="0033240F">
        <w:t xml:space="preserve">Principles on the Effective </w:t>
      </w:r>
      <w:r w:rsidRPr="006E279A">
        <w:t>Investigation</w:t>
      </w:r>
      <w:r w:rsidRPr="0033240F">
        <w:t xml:space="preserve"> and Documentation</w:t>
      </w:r>
      <w:r w:rsidRPr="0033240F">
        <w:rPr>
          <w:lang w:val="en-GB"/>
        </w:rPr>
        <w:t xml:space="preserve"> </w:t>
      </w:r>
      <w:r w:rsidRPr="0033240F">
        <w:t>of Torture and Other Cruel, Inhuman or Degrading</w:t>
      </w:r>
      <w:r w:rsidRPr="0033240F">
        <w:rPr>
          <w:lang w:val="en-GB"/>
        </w:rPr>
        <w:t xml:space="preserve"> Treatment or Punishment</w:t>
      </w:r>
      <w:r>
        <w:rPr>
          <w:lang w:val="en-GB"/>
        </w:rPr>
        <w:t>;</w:t>
      </w:r>
      <w:r w:rsidRPr="0033240F">
        <w:rPr>
          <w:lang w:val="en-GB"/>
        </w:rPr>
        <w:t xml:space="preserve"> </w:t>
      </w:r>
      <w:r w:rsidRPr="0033240F">
        <w:rPr>
          <w:iCs/>
          <w:lang w:val="en-GB"/>
        </w:rPr>
        <w:t xml:space="preserve">and the European Court </w:t>
      </w:r>
      <w:r>
        <w:rPr>
          <w:iCs/>
          <w:lang w:val="en-GB"/>
        </w:rPr>
        <w:t>of</w:t>
      </w:r>
      <w:r w:rsidRPr="0033240F">
        <w:rPr>
          <w:iCs/>
          <w:lang w:val="en-GB"/>
        </w:rPr>
        <w:t xml:space="preserve"> Human Rights</w:t>
      </w:r>
      <w:r w:rsidR="005D266B">
        <w:rPr>
          <w:iCs/>
          <w:lang w:val="en-GB"/>
        </w:rPr>
        <w:t>,</w:t>
      </w:r>
      <w:r w:rsidRPr="0033240F">
        <w:rPr>
          <w:iCs/>
          <w:lang w:val="en-GB"/>
        </w:rPr>
        <w:t xml:space="preserve"> </w:t>
      </w:r>
      <w:r w:rsidRPr="0033240F">
        <w:rPr>
          <w:i/>
          <w:iCs/>
          <w:lang w:val="en-GB"/>
        </w:rPr>
        <w:t xml:space="preserve">Bati and Others </w:t>
      </w:r>
      <w:r w:rsidRPr="003A3109">
        <w:rPr>
          <w:lang w:val="en-GB"/>
        </w:rPr>
        <w:t>v.</w:t>
      </w:r>
      <w:r w:rsidRPr="0033240F">
        <w:rPr>
          <w:i/>
          <w:iCs/>
          <w:lang w:val="en-GB"/>
        </w:rPr>
        <w:t xml:space="preserve"> Turkey</w:t>
      </w:r>
      <w:r w:rsidRPr="0033240F">
        <w:rPr>
          <w:iCs/>
          <w:lang w:val="en-GB"/>
        </w:rPr>
        <w:t xml:space="preserve">, Applications </w:t>
      </w:r>
      <w:r>
        <w:rPr>
          <w:iCs/>
          <w:lang w:val="en-GB"/>
        </w:rPr>
        <w:t>N</w:t>
      </w:r>
      <w:r w:rsidRPr="0033240F">
        <w:rPr>
          <w:iCs/>
          <w:lang w:val="en-GB"/>
        </w:rPr>
        <w:t>os.</w:t>
      </w:r>
      <w:r>
        <w:rPr>
          <w:iCs/>
          <w:lang w:val="en-GB"/>
        </w:rPr>
        <w:t> </w:t>
      </w:r>
      <w:hyperlink r:id="rId1" w:anchor="{&quot;appno&quot;:[&quot;33097/96&quot;]}" w:tgtFrame="_blank" w:history="1">
        <w:r w:rsidRPr="0033240F">
          <w:rPr>
            <w:rStyle w:val="Hyperlink"/>
            <w:bCs/>
            <w:iCs/>
            <w:szCs w:val="18"/>
            <w:lang w:val="en-GB"/>
          </w:rPr>
          <w:t>33097/96</w:t>
        </w:r>
      </w:hyperlink>
      <w:r w:rsidRPr="0033240F">
        <w:rPr>
          <w:iCs/>
          <w:lang w:val="en-GB"/>
        </w:rPr>
        <w:t xml:space="preserve"> and </w:t>
      </w:r>
      <w:hyperlink r:id="rId2" w:anchor="{&quot;appno&quot;:[&quot;57834/00&quot;]}" w:tgtFrame="_blank" w:history="1">
        <w:r w:rsidRPr="0033240F">
          <w:rPr>
            <w:rStyle w:val="Hyperlink"/>
            <w:bCs/>
            <w:iCs/>
            <w:szCs w:val="18"/>
            <w:lang w:val="en-GB"/>
          </w:rPr>
          <w:t>57834/00</w:t>
        </w:r>
      </w:hyperlink>
      <w:r w:rsidRPr="0033240F">
        <w:rPr>
          <w:iCs/>
          <w:lang w:val="en-GB"/>
        </w:rPr>
        <w:t>, judg</w:t>
      </w:r>
      <w:r>
        <w:rPr>
          <w:iCs/>
          <w:lang w:val="en-GB"/>
        </w:rPr>
        <w:t>e</w:t>
      </w:r>
      <w:r w:rsidRPr="0033240F">
        <w:rPr>
          <w:iCs/>
          <w:lang w:val="en-GB"/>
        </w:rPr>
        <w:t xml:space="preserve">ment of 3 </w:t>
      </w:r>
      <w:r w:rsidR="00DD0395">
        <w:rPr>
          <w:iCs/>
          <w:lang w:val="en-GB"/>
        </w:rPr>
        <w:t>June</w:t>
      </w:r>
      <w:r w:rsidR="00DD0395" w:rsidRPr="0033240F">
        <w:rPr>
          <w:iCs/>
          <w:lang w:val="en-GB"/>
        </w:rPr>
        <w:t xml:space="preserve"> </w:t>
      </w:r>
      <w:r w:rsidRPr="0033240F">
        <w:rPr>
          <w:iCs/>
          <w:lang w:val="en-GB"/>
        </w:rPr>
        <w:t>200</w:t>
      </w:r>
      <w:r w:rsidR="00DD0395">
        <w:rPr>
          <w:iCs/>
          <w:lang w:val="en-GB"/>
        </w:rPr>
        <w:t>4</w:t>
      </w:r>
      <w:r w:rsidRPr="0033240F">
        <w:rPr>
          <w:iCs/>
          <w:lang w:val="en-GB"/>
        </w:rPr>
        <w:t>, para</w:t>
      </w:r>
      <w:r>
        <w:rPr>
          <w:iCs/>
          <w:lang w:val="en-GB"/>
        </w:rPr>
        <w:t>. </w:t>
      </w:r>
      <w:r w:rsidRPr="0033240F">
        <w:rPr>
          <w:iCs/>
          <w:lang w:val="en-GB"/>
        </w:rPr>
        <w:t>135.</w:t>
      </w:r>
    </w:p>
  </w:footnote>
  <w:footnote w:id="17">
    <w:p w:rsidR="002358D7" w:rsidRPr="00725444" w:rsidRDefault="002358D7" w:rsidP="00F64D60">
      <w:pPr>
        <w:pStyle w:val="FootnoteText"/>
        <w:rPr>
          <w:lang w:val="en-GB"/>
        </w:rPr>
      </w:pPr>
      <w:r w:rsidRPr="003A3109">
        <w:rPr>
          <w:lang w:val="en-US"/>
        </w:rPr>
        <w:tab/>
      </w:r>
      <w:r>
        <w:rPr>
          <w:rStyle w:val="FootnoteReference"/>
        </w:rPr>
        <w:footnoteRef/>
      </w:r>
      <w:r w:rsidRPr="003A3109">
        <w:rPr>
          <w:lang w:val="en-US"/>
        </w:rPr>
        <w:tab/>
      </w:r>
      <w:r w:rsidRPr="00725444">
        <w:rPr>
          <w:lang w:val="en-GB"/>
        </w:rPr>
        <w:t xml:space="preserve">The author refers to </w:t>
      </w:r>
      <w:r w:rsidR="00F64D60">
        <w:rPr>
          <w:lang w:val="en-US"/>
        </w:rPr>
        <w:t>the s</w:t>
      </w:r>
      <w:r w:rsidRPr="00725444">
        <w:t xml:space="preserve">ummary prepared by the Office of the </w:t>
      </w:r>
      <w:r w:rsidR="00F64D60">
        <w:rPr>
          <w:lang w:val="en-US"/>
        </w:rPr>
        <w:t xml:space="preserve">United Nations </w:t>
      </w:r>
      <w:r w:rsidRPr="00725444">
        <w:t>High Commissioner</w:t>
      </w:r>
      <w:r w:rsidRPr="00725444">
        <w:rPr>
          <w:lang w:val="en-GB"/>
        </w:rPr>
        <w:t xml:space="preserve"> </w:t>
      </w:r>
      <w:r w:rsidRPr="00725444">
        <w:t xml:space="preserve">for Human Rights in accordance with </w:t>
      </w:r>
      <w:r>
        <w:t>paragraph </w:t>
      </w:r>
      <w:r w:rsidRPr="00725444">
        <w:t>15</w:t>
      </w:r>
      <w:r w:rsidRPr="003A3109">
        <w:rPr>
          <w:lang w:val="en-US"/>
        </w:rPr>
        <w:t> </w:t>
      </w:r>
      <w:r w:rsidRPr="00725444">
        <w:t>(c) of the</w:t>
      </w:r>
      <w:r w:rsidRPr="00725444">
        <w:rPr>
          <w:lang w:val="en-GB"/>
        </w:rPr>
        <w:t xml:space="preserve"> annex to Human Rights Council resolution 5/1</w:t>
      </w:r>
      <w:r w:rsidR="00F64D60">
        <w:rPr>
          <w:lang w:val="en-GB"/>
        </w:rPr>
        <w:t xml:space="preserve"> (</w:t>
      </w:r>
      <w:r w:rsidRPr="00725444">
        <w:rPr>
          <w:lang w:val="en-GB"/>
        </w:rPr>
        <w:t>A/HRC/WG.6/8/KGZ/3</w:t>
      </w:r>
      <w:r w:rsidR="00F64D60">
        <w:rPr>
          <w:lang w:val="en-GB"/>
        </w:rPr>
        <w:t>)</w:t>
      </w:r>
      <w:r w:rsidRPr="00725444">
        <w:rPr>
          <w:lang w:val="en-GB"/>
        </w:rPr>
        <w:t>, para</w:t>
      </w:r>
      <w:r>
        <w:rPr>
          <w:lang w:val="en-GB"/>
        </w:rPr>
        <w:t>. </w:t>
      </w:r>
      <w:r w:rsidRPr="00725444">
        <w:rPr>
          <w:lang w:val="en-GB"/>
        </w:rPr>
        <w:t>28.</w:t>
      </w:r>
    </w:p>
  </w:footnote>
  <w:footnote w:id="18">
    <w:p w:rsidR="002358D7" w:rsidRPr="008C0088" w:rsidRDefault="002358D7" w:rsidP="004526DA">
      <w:pPr>
        <w:pStyle w:val="FootnoteText"/>
      </w:pPr>
      <w:r>
        <w:rPr>
          <w:lang w:val="fr-CH"/>
        </w:rPr>
        <w:tab/>
      </w:r>
      <w:r>
        <w:rPr>
          <w:rStyle w:val="FootnoteReference"/>
        </w:rPr>
        <w:footnoteRef/>
      </w:r>
      <w:r w:rsidRPr="003A3109">
        <w:rPr>
          <w:lang w:val="en-US"/>
        </w:rPr>
        <w:tab/>
      </w:r>
      <w:r w:rsidRPr="008C0088">
        <w:t xml:space="preserve">The State party does not specify in its submission which law </w:t>
      </w:r>
      <w:r w:rsidR="004526DA">
        <w:rPr>
          <w:lang w:val="en-US"/>
        </w:rPr>
        <w:t>it is referring to with respect to the citation of article 28 (1.7)</w:t>
      </w:r>
      <w:r>
        <w:t>.</w:t>
      </w:r>
    </w:p>
  </w:footnote>
  <w:footnote w:id="19">
    <w:p w:rsidR="002358D7" w:rsidRPr="00F244AC" w:rsidRDefault="002358D7" w:rsidP="006E279A">
      <w:pPr>
        <w:pStyle w:val="FootnoteText"/>
      </w:pPr>
      <w:r w:rsidRPr="003A3109">
        <w:rPr>
          <w:lang w:val="en-US"/>
        </w:rPr>
        <w:tab/>
      </w:r>
      <w:r>
        <w:rPr>
          <w:rStyle w:val="FootnoteReference"/>
        </w:rPr>
        <w:footnoteRef/>
      </w:r>
      <w:r>
        <w:rPr>
          <w:lang w:val="fr-CH"/>
        </w:rPr>
        <w:tab/>
      </w:r>
      <w:r w:rsidRPr="00F244AC">
        <w:t>The State party’s submission does n</w:t>
      </w:r>
      <w:r>
        <w:t>ot specify which decision of the Prosecutor’s Office was under appeal.</w:t>
      </w:r>
    </w:p>
  </w:footnote>
  <w:footnote w:id="20">
    <w:p w:rsidR="002358D7" w:rsidRPr="0058477C" w:rsidRDefault="002358D7" w:rsidP="006E279A">
      <w:pPr>
        <w:pStyle w:val="FootnoteText"/>
        <w:rPr>
          <w:lang w:val="en-GB"/>
        </w:rPr>
      </w:pPr>
      <w:r>
        <w:rPr>
          <w:lang w:val="fr-CH"/>
        </w:rPr>
        <w:tab/>
      </w:r>
      <w:r>
        <w:rPr>
          <w:rStyle w:val="FootnoteReference"/>
        </w:rPr>
        <w:footnoteRef/>
      </w:r>
      <w:r>
        <w:rPr>
          <w:lang w:val="fr-CH"/>
        </w:rPr>
        <w:tab/>
      </w:r>
      <w:r>
        <w:rPr>
          <w:lang w:val="en-GB"/>
        </w:rPr>
        <w:t xml:space="preserve">The State </w:t>
      </w:r>
      <w:r w:rsidRPr="006E279A">
        <w:t>party</w:t>
      </w:r>
      <w:r w:rsidRPr="0058477C">
        <w:rPr>
          <w:lang w:val="en-GB"/>
        </w:rPr>
        <w:t xml:space="preserve"> does not specify what viol</w:t>
      </w:r>
      <w:r w:rsidRPr="00C95565">
        <w:rPr>
          <w:lang w:val="en-GB"/>
        </w:rPr>
        <w:t>ations had been committed by th</w:t>
      </w:r>
      <w:r w:rsidRPr="0058477C">
        <w:rPr>
          <w:lang w:val="en-GB"/>
        </w:rPr>
        <w:t>e</w:t>
      </w:r>
      <w:r>
        <w:rPr>
          <w:lang w:val="en-GB"/>
        </w:rPr>
        <w:t xml:space="preserve"> </w:t>
      </w:r>
      <w:r w:rsidRPr="0058477C">
        <w:rPr>
          <w:lang w:val="en-GB"/>
        </w:rPr>
        <w:t>police officers.</w:t>
      </w:r>
    </w:p>
  </w:footnote>
  <w:footnote w:id="21">
    <w:p w:rsidR="002358D7" w:rsidRPr="002358D7" w:rsidRDefault="002358D7" w:rsidP="00B00733">
      <w:pPr>
        <w:pStyle w:val="FootnoteText"/>
        <w:rPr>
          <w:lang w:val="en-GB"/>
        </w:rPr>
      </w:pPr>
      <w:r w:rsidRPr="003A3109">
        <w:rPr>
          <w:lang w:val="en-US"/>
        </w:rPr>
        <w:tab/>
      </w:r>
      <w:r>
        <w:rPr>
          <w:rStyle w:val="FootnoteReference"/>
        </w:rPr>
        <w:footnoteRef/>
      </w:r>
      <w:r w:rsidRPr="00B00733">
        <w:rPr>
          <w:lang w:val="en-US"/>
        </w:rPr>
        <w:tab/>
      </w:r>
      <w:r>
        <w:rPr>
          <w:lang w:val="bg-BG"/>
        </w:rPr>
        <w:t>See</w:t>
      </w:r>
      <w:r>
        <w:t xml:space="preserve"> </w:t>
      </w:r>
      <w:r w:rsidR="00B00733" w:rsidRPr="00B00733">
        <w:rPr>
          <w:lang w:val="en-US"/>
        </w:rPr>
        <w:t>c</w:t>
      </w:r>
      <w:r w:rsidRPr="002358D7">
        <w:t xml:space="preserve">ommunication </w:t>
      </w:r>
      <w:r w:rsidRPr="003A3109">
        <w:rPr>
          <w:lang w:val="en-US"/>
        </w:rPr>
        <w:t>No. </w:t>
      </w:r>
      <w:r w:rsidRPr="002358D7">
        <w:t>563/1993,</w:t>
      </w:r>
      <w:r w:rsidRPr="00B00733">
        <w:rPr>
          <w:i/>
          <w:iCs/>
          <w:lang w:val="en-US"/>
        </w:rPr>
        <w:t xml:space="preserve"> </w:t>
      </w:r>
      <w:r w:rsidR="00456C65">
        <w:rPr>
          <w:i/>
          <w:iCs/>
          <w:lang w:val="en-US"/>
        </w:rPr>
        <w:t xml:space="preserve">Bautista de </w:t>
      </w:r>
      <w:r w:rsidRPr="00B00733">
        <w:rPr>
          <w:i/>
          <w:iCs/>
          <w:lang w:val="en-US"/>
        </w:rPr>
        <w:t xml:space="preserve">Arellana </w:t>
      </w:r>
      <w:r w:rsidRPr="00B00733">
        <w:rPr>
          <w:lang w:val="en-US"/>
        </w:rPr>
        <w:t>v.</w:t>
      </w:r>
      <w:r w:rsidRPr="00B00733">
        <w:rPr>
          <w:i/>
          <w:iCs/>
          <w:lang w:val="en-US"/>
        </w:rPr>
        <w:t xml:space="preserve"> Colombia</w:t>
      </w:r>
      <w:r w:rsidRPr="00B00733">
        <w:rPr>
          <w:lang w:val="en-US"/>
        </w:rPr>
        <w:t xml:space="preserve">, </w:t>
      </w:r>
      <w:r w:rsidR="00B00733" w:rsidRPr="003A3109">
        <w:rPr>
          <w:lang w:val="en-US"/>
        </w:rPr>
        <w:t>Views adopted on</w:t>
      </w:r>
      <w:r w:rsidR="00456C65">
        <w:rPr>
          <w:lang w:val="en-US"/>
        </w:rPr>
        <w:t xml:space="preserve"> 27 October 1995,</w:t>
      </w:r>
      <w:r w:rsidR="00B00733" w:rsidRPr="003A3109">
        <w:rPr>
          <w:lang w:val="en-US"/>
        </w:rPr>
        <w:t xml:space="preserve"> </w:t>
      </w:r>
      <w:r w:rsidRPr="002358D7">
        <w:t>para</w:t>
      </w:r>
      <w:r w:rsidRPr="003A3109">
        <w:rPr>
          <w:lang w:val="en-US"/>
        </w:rPr>
        <w:t>. </w:t>
      </w:r>
      <w:r w:rsidR="00D52958">
        <w:rPr>
          <w:lang w:val="en-US"/>
        </w:rPr>
        <w:t>5.1</w:t>
      </w:r>
      <w:r w:rsidR="00B00733" w:rsidRPr="00456C65">
        <w:rPr>
          <w:lang w:val="en-US"/>
        </w:rPr>
        <w:t>,</w:t>
      </w:r>
      <w:r w:rsidRPr="002358D7">
        <w:t xml:space="preserve"> </w:t>
      </w:r>
      <w:r w:rsidR="00B00733" w:rsidRPr="00456C65">
        <w:rPr>
          <w:iCs/>
          <w:lang w:val="en-US"/>
        </w:rPr>
        <w:t>and c</w:t>
      </w:r>
      <w:r w:rsidRPr="00456C65">
        <w:rPr>
          <w:lang w:val="en-US"/>
        </w:rPr>
        <w:t xml:space="preserve">ommunication </w:t>
      </w:r>
      <w:r w:rsidRPr="003A3109">
        <w:rPr>
          <w:lang w:val="en-US"/>
        </w:rPr>
        <w:t>No. </w:t>
      </w:r>
      <w:r w:rsidRPr="002358D7">
        <w:t>612/1995,</w:t>
      </w:r>
      <w:r w:rsidR="00E65D7E">
        <w:rPr>
          <w:lang w:val="en-US"/>
        </w:rPr>
        <w:t xml:space="preserve"> </w:t>
      </w:r>
      <w:r w:rsidRPr="00456C65">
        <w:rPr>
          <w:i/>
          <w:iCs/>
          <w:lang w:val="en-US"/>
        </w:rPr>
        <w:t xml:space="preserve">Villafañe </w:t>
      </w:r>
      <w:r w:rsidR="00456C65">
        <w:rPr>
          <w:i/>
          <w:iCs/>
          <w:lang w:val="en-US"/>
        </w:rPr>
        <w:t xml:space="preserve">Chaparro </w:t>
      </w:r>
      <w:r w:rsidRPr="00456C65">
        <w:rPr>
          <w:i/>
          <w:iCs/>
          <w:lang w:val="en-US"/>
        </w:rPr>
        <w:t xml:space="preserve">et al. </w:t>
      </w:r>
      <w:r w:rsidRPr="00456C65">
        <w:rPr>
          <w:lang w:val="en-US"/>
        </w:rPr>
        <w:t>v.</w:t>
      </w:r>
      <w:r w:rsidRPr="003A3109">
        <w:rPr>
          <w:i/>
          <w:iCs/>
          <w:lang w:val="en-US"/>
        </w:rPr>
        <w:t xml:space="preserve"> </w:t>
      </w:r>
      <w:r w:rsidRPr="00456C65">
        <w:rPr>
          <w:i/>
          <w:iCs/>
          <w:lang w:val="en-US"/>
        </w:rPr>
        <w:t>Colombia</w:t>
      </w:r>
      <w:r w:rsidRPr="00456C65">
        <w:rPr>
          <w:lang w:val="en-US"/>
        </w:rPr>
        <w:t xml:space="preserve">, </w:t>
      </w:r>
      <w:r w:rsidR="00B00733" w:rsidRPr="003A3109">
        <w:rPr>
          <w:lang w:val="en-US"/>
        </w:rPr>
        <w:t xml:space="preserve">Views </w:t>
      </w:r>
      <w:r w:rsidR="00B00733" w:rsidRPr="00B00733">
        <w:rPr>
          <w:lang w:val="en-US"/>
        </w:rPr>
        <w:t xml:space="preserve">adopted on </w:t>
      </w:r>
      <w:r w:rsidR="00456C65">
        <w:rPr>
          <w:lang w:val="en-US"/>
        </w:rPr>
        <w:t xml:space="preserve">29 July 1997, </w:t>
      </w:r>
      <w:r w:rsidRPr="002358D7">
        <w:t>paras</w:t>
      </w:r>
      <w:r w:rsidRPr="003A3109">
        <w:rPr>
          <w:lang w:val="en-US"/>
        </w:rPr>
        <w:t>. </w:t>
      </w:r>
      <w:r w:rsidRPr="002358D7">
        <w:t>5.2, 8.8 and</w:t>
      </w:r>
      <w:r w:rsidRPr="003A3109">
        <w:rPr>
          <w:lang w:val="en-US"/>
        </w:rPr>
        <w:t> </w:t>
      </w:r>
      <w:r w:rsidRPr="002358D7">
        <w:t>10.</w:t>
      </w:r>
    </w:p>
  </w:footnote>
  <w:footnote w:id="22">
    <w:p w:rsidR="00835C7B" w:rsidRPr="00BA5006" w:rsidRDefault="00835C7B" w:rsidP="00835C7B">
      <w:pPr>
        <w:pStyle w:val="FootnoteText"/>
        <w:rPr>
          <w:lang w:val="en-US"/>
        </w:rPr>
      </w:pPr>
      <w:r w:rsidRPr="002358D7">
        <w:rPr>
          <w:lang w:val="en-US"/>
        </w:rPr>
        <w:tab/>
      </w:r>
      <w:r w:rsidRPr="002358D7">
        <w:rPr>
          <w:rStyle w:val="FootnoteReference"/>
        </w:rPr>
        <w:footnoteRef/>
      </w:r>
      <w:r w:rsidRPr="00BA5006">
        <w:rPr>
          <w:lang w:val="en-US"/>
        </w:rPr>
        <w:tab/>
      </w:r>
      <w:r w:rsidRPr="002358D7">
        <w:t xml:space="preserve">See </w:t>
      </w:r>
      <w:r>
        <w:rPr>
          <w:lang w:val="en-US"/>
        </w:rPr>
        <w:t>c</w:t>
      </w:r>
      <w:r w:rsidRPr="002358D7">
        <w:rPr>
          <w:lang w:val="en-US"/>
        </w:rPr>
        <w:t>ommunication</w:t>
      </w:r>
      <w:r>
        <w:rPr>
          <w:lang w:val="en-US"/>
        </w:rPr>
        <w:t>s</w:t>
      </w:r>
      <w:r w:rsidRPr="002358D7">
        <w:rPr>
          <w:lang w:val="en-US"/>
        </w:rPr>
        <w:t xml:space="preserve"> </w:t>
      </w:r>
      <w:r w:rsidRPr="00BA5006">
        <w:rPr>
          <w:lang w:val="en-US"/>
        </w:rPr>
        <w:t>No. </w:t>
      </w:r>
      <w:r w:rsidRPr="002358D7">
        <w:t xml:space="preserve">1560/2007, </w:t>
      </w:r>
      <w:r w:rsidRPr="002358D7">
        <w:rPr>
          <w:i/>
          <w:iCs/>
          <w:lang w:val="en-US"/>
        </w:rPr>
        <w:t xml:space="preserve">Marcellana and Gumanoy </w:t>
      </w:r>
      <w:r w:rsidRPr="00BA5006">
        <w:rPr>
          <w:lang w:val="en-US"/>
        </w:rPr>
        <w:t>v.</w:t>
      </w:r>
      <w:r w:rsidRPr="002358D7">
        <w:rPr>
          <w:i/>
          <w:iCs/>
          <w:lang w:val="en-US"/>
        </w:rPr>
        <w:t xml:space="preserve"> Philippines</w:t>
      </w:r>
      <w:r w:rsidRPr="002358D7">
        <w:rPr>
          <w:lang w:val="en-US"/>
        </w:rPr>
        <w:t>,</w:t>
      </w:r>
      <w:r w:rsidRPr="002358D7">
        <w:t xml:space="preserve"> </w:t>
      </w:r>
      <w:r>
        <w:rPr>
          <w:lang w:val="en-US"/>
        </w:rPr>
        <w:t xml:space="preserve">Views adopted on 30 October 2008, </w:t>
      </w:r>
      <w:r w:rsidRPr="002358D7">
        <w:t>para</w:t>
      </w:r>
      <w:r w:rsidRPr="00BA5006">
        <w:rPr>
          <w:lang w:val="en-US"/>
        </w:rPr>
        <w:t>. </w:t>
      </w:r>
      <w:r w:rsidRPr="002358D7">
        <w:t>6.2;</w:t>
      </w:r>
      <w:r w:rsidRPr="002358D7">
        <w:rPr>
          <w:lang w:val="en-US"/>
        </w:rPr>
        <w:t xml:space="preserve"> </w:t>
      </w:r>
      <w:r w:rsidRPr="00BA5006">
        <w:rPr>
          <w:lang w:val="en-US"/>
        </w:rPr>
        <w:t>No. </w:t>
      </w:r>
      <w:r w:rsidRPr="002358D7">
        <w:t xml:space="preserve">1250/2004, </w:t>
      </w:r>
      <w:r w:rsidRPr="002358D7">
        <w:rPr>
          <w:i/>
          <w:iCs/>
          <w:lang w:val="en-US"/>
        </w:rPr>
        <w:t xml:space="preserve">Rajapakse </w:t>
      </w:r>
      <w:r w:rsidRPr="00BA5006">
        <w:rPr>
          <w:lang w:val="en-US"/>
        </w:rPr>
        <w:t>v.</w:t>
      </w:r>
      <w:r w:rsidRPr="002358D7">
        <w:rPr>
          <w:i/>
          <w:iCs/>
          <w:lang w:val="en-US"/>
        </w:rPr>
        <w:t xml:space="preserve"> Sri Lanka</w:t>
      </w:r>
      <w:r w:rsidRPr="002358D7">
        <w:rPr>
          <w:lang w:val="en-US"/>
        </w:rPr>
        <w:t>,</w:t>
      </w:r>
      <w:r w:rsidRPr="002358D7">
        <w:t xml:space="preserve"> </w:t>
      </w:r>
      <w:r>
        <w:rPr>
          <w:lang w:val="en-US"/>
        </w:rPr>
        <w:t xml:space="preserve">Views adopted on 14 July 2006, </w:t>
      </w:r>
      <w:r w:rsidRPr="002358D7">
        <w:t>paras</w:t>
      </w:r>
      <w:r w:rsidRPr="00BA5006">
        <w:rPr>
          <w:lang w:val="en-US"/>
        </w:rPr>
        <w:t>. </w:t>
      </w:r>
      <w:r w:rsidRPr="002358D7">
        <w:t xml:space="preserve">6.1 and 6.2; </w:t>
      </w:r>
      <w:r>
        <w:rPr>
          <w:lang w:val="en-US"/>
        </w:rPr>
        <w:t>and</w:t>
      </w:r>
      <w:r w:rsidRPr="002358D7">
        <w:rPr>
          <w:lang w:val="en-US"/>
        </w:rPr>
        <w:t xml:space="preserve"> </w:t>
      </w:r>
      <w:r w:rsidRPr="00BA5006">
        <w:rPr>
          <w:lang w:val="en-US"/>
        </w:rPr>
        <w:t>No. </w:t>
      </w:r>
      <w:r w:rsidRPr="00BA5006">
        <w:t>992/2001</w:t>
      </w:r>
      <w:r w:rsidRPr="002358D7">
        <w:t xml:space="preserve">, </w:t>
      </w:r>
      <w:r w:rsidRPr="002358D7">
        <w:rPr>
          <w:i/>
          <w:iCs/>
          <w:lang w:val="en-US"/>
        </w:rPr>
        <w:t xml:space="preserve">Bousroual </w:t>
      </w:r>
      <w:r w:rsidRPr="00BA5006">
        <w:rPr>
          <w:lang w:val="en-US"/>
        </w:rPr>
        <w:t>v.</w:t>
      </w:r>
      <w:r w:rsidRPr="00AD6DE3">
        <w:rPr>
          <w:i/>
          <w:iCs/>
          <w:lang w:val="en-US"/>
        </w:rPr>
        <w:t xml:space="preserve"> </w:t>
      </w:r>
      <w:r>
        <w:rPr>
          <w:i/>
          <w:iCs/>
          <w:lang w:val="en-US"/>
        </w:rPr>
        <w:t>Algeria</w:t>
      </w:r>
      <w:r>
        <w:rPr>
          <w:lang w:val="en-US"/>
        </w:rPr>
        <w:t>,</w:t>
      </w:r>
      <w:r>
        <w:t xml:space="preserve"> </w:t>
      </w:r>
      <w:r>
        <w:rPr>
          <w:lang w:val="en-US"/>
        </w:rPr>
        <w:t xml:space="preserve">Views adopted on 30 March 2006, </w:t>
      </w:r>
      <w:r>
        <w:t>para</w:t>
      </w:r>
      <w:r w:rsidRPr="00BA5006">
        <w:rPr>
          <w:lang w:val="en-US"/>
        </w:rPr>
        <w:t>. </w:t>
      </w:r>
      <w:r>
        <w:t>8.3.</w:t>
      </w:r>
      <w:r w:rsidRPr="00BA5006">
        <w:rPr>
          <w:lang w:val="en-US"/>
        </w:rPr>
        <w:t xml:space="preserve"> </w:t>
      </w:r>
    </w:p>
  </w:footnote>
  <w:footnote w:id="23">
    <w:p w:rsidR="002358D7" w:rsidRDefault="002358D7" w:rsidP="003242C0">
      <w:pPr>
        <w:pStyle w:val="FootnoteText"/>
      </w:pPr>
      <w:r w:rsidRPr="003A3109">
        <w:rPr>
          <w:lang w:val="en-US"/>
        </w:rPr>
        <w:tab/>
      </w:r>
      <w:r>
        <w:rPr>
          <w:rStyle w:val="FootnoteReference"/>
          <w:szCs w:val="18"/>
        </w:rPr>
        <w:footnoteRef/>
      </w:r>
      <w:r w:rsidRPr="003A3109">
        <w:rPr>
          <w:lang w:val="en-US"/>
        </w:rPr>
        <w:tab/>
      </w:r>
      <w:r>
        <w:t xml:space="preserve">See </w:t>
      </w:r>
      <w:r w:rsidRPr="003242C0">
        <w:rPr>
          <w:i/>
          <w:iCs/>
        </w:rPr>
        <w:t>Lantsov</w:t>
      </w:r>
      <w:r w:rsidRPr="003242C0">
        <w:rPr>
          <w:i/>
          <w:iCs/>
          <w:lang w:val="en-GB"/>
        </w:rPr>
        <w:t>a</w:t>
      </w:r>
      <w:r w:rsidRPr="003242C0">
        <w:rPr>
          <w:i/>
          <w:iCs/>
        </w:rPr>
        <w:t xml:space="preserve"> </w:t>
      </w:r>
      <w:r w:rsidRPr="003242C0">
        <w:t>v.</w:t>
      </w:r>
      <w:r w:rsidRPr="003242C0">
        <w:rPr>
          <w:i/>
          <w:iCs/>
        </w:rPr>
        <w:t xml:space="preserve"> Russian Federation</w:t>
      </w:r>
      <w:r w:rsidRPr="003242C0">
        <w:t>, para. 9.2</w:t>
      </w:r>
      <w:r>
        <w:rPr>
          <w:lang w:val="en-GB"/>
        </w:rPr>
        <w:t xml:space="preserve">, and </w:t>
      </w:r>
      <w:r w:rsidR="003242C0">
        <w:rPr>
          <w:lang w:val="en-GB"/>
        </w:rPr>
        <w:t xml:space="preserve">communication </w:t>
      </w:r>
      <w:r>
        <w:rPr>
          <w:lang w:val="en-GB"/>
        </w:rPr>
        <w:t>No. </w:t>
      </w:r>
      <w:r w:rsidRPr="00676AB6">
        <w:rPr>
          <w:bCs/>
          <w:lang w:val="en-GB"/>
        </w:rPr>
        <w:t>1756/2008</w:t>
      </w:r>
      <w:r>
        <w:rPr>
          <w:bCs/>
          <w:lang w:val="en-GB"/>
        </w:rPr>
        <w:t xml:space="preserve">, </w:t>
      </w:r>
      <w:r w:rsidRPr="00AD6DE3">
        <w:rPr>
          <w:i/>
        </w:rPr>
        <w:t>Zhumbaeva</w:t>
      </w:r>
      <w:r w:rsidRPr="004C590D">
        <w:rPr>
          <w:i/>
          <w:lang w:val="en-GB"/>
        </w:rPr>
        <w:t xml:space="preserve"> </w:t>
      </w:r>
      <w:r w:rsidRPr="003A3109">
        <w:rPr>
          <w:iCs/>
          <w:lang w:val="en-GB"/>
        </w:rPr>
        <w:t>v.</w:t>
      </w:r>
      <w:r w:rsidRPr="00676AB6">
        <w:rPr>
          <w:i/>
          <w:lang w:val="en-GB"/>
        </w:rPr>
        <w:t xml:space="preserve"> Kyrgyzstan</w:t>
      </w:r>
      <w:r w:rsidRPr="003A3109">
        <w:rPr>
          <w:iCs/>
          <w:lang w:val="en-GB"/>
        </w:rPr>
        <w:t>,</w:t>
      </w:r>
      <w:r>
        <w:rPr>
          <w:i/>
          <w:lang w:val="en-GB"/>
        </w:rPr>
        <w:t xml:space="preserve"> </w:t>
      </w:r>
      <w:r>
        <w:rPr>
          <w:lang w:val="en-GB"/>
        </w:rPr>
        <w:t xml:space="preserve">Views </w:t>
      </w:r>
      <w:r w:rsidR="000C569E">
        <w:rPr>
          <w:lang w:val="en-GB"/>
        </w:rPr>
        <w:t>adopted on</w:t>
      </w:r>
      <w:r>
        <w:rPr>
          <w:lang w:val="en-GB"/>
        </w:rPr>
        <w:t xml:space="preserve"> </w:t>
      </w:r>
      <w:r w:rsidRPr="00676AB6">
        <w:rPr>
          <w:lang w:val="en-GB"/>
        </w:rPr>
        <w:t>19 July 2011</w:t>
      </w:r>
      <w:r>
        <w:rPr>
          <w:lang w:val="en-GB"/>
        </w:rPr>
        <w:t>, para. 8.6</w:t>
      </w:r>
      <w:r>
        <w:t>.</w:t>
      </w:r>
    </w:p>
  </w:footnote>
  <w:footnote w:id="24">
    <w:p w:rsidR="002358D7" w:rsidRPr="004A5E27" w:rsidRDefault="00040648" w:rsidP="008176A1">
      <w:pPr>
        <w:pStyle w:val="FootnoteText"/>
      </w:pPr>
      <w:r>
        <w:rPr>
          <w:lang w:val="en-US"/>
        </w:rPr>
        <w:tab/>
      </w:r>
      <w:r w:rsidR="002358D7">
        <w:rPr>
          <w:rStyle w:val="FootnoteReference"/>
        </w:rPr>
        <w:footnoteRef/>
      </w:r>
      <w:r w:rsidR="002358D7" w:rsidRPr="003A3109">
        <w:rPr>
          <w:lang w:val="en-US"/>
        </w:rPr>
        <w:tab/>
      </w:r>
      <w:r w:rsidR="00F479A0">
        <w:rPr>
          <w:lang w:val="en-US"/>
        </w:rPr>
        <w:t>See g</w:t>
      </w:r>
      <w:r>
        <w:rPr>
          <w:lang w:val="en-US"/>
        </w:rPr>
        <w:t>eneral commen</w:t>
      </w:r>
      <w:r w:rsidR="00A91CF0">
        <w:rPr>
          <w:lang w:val="en-US"/>
        </w:rPr>
        <w:t>t</w:t>
      </w:r>
      <w:r w:rsidR="002358D7">
        <w:t xml:space="preserve"> </w:t>
      </w:r>
      <w:r w:rsidR="00A91CF0">
        <w:rPr>
          <w:lang w:val="en-US"/>
        </w:rPr>
        <w:t>No. 20</w:t>
      </w:r>
      <w:r w:rsidR="008176A1">
        <w:rPr>
          <w:lang w:val="en-US"/>
        </w:rPr>
        <w:t xml:space="preserve"> </w:t>
      </w:r>
      <w:r w:rsidR="008176A1" w:rsidRPr="008176A1">
        <w:rPr>
          <w:lang w:val="en-GB"/>
        </w:rPr>
        <w:t>(1992) o</w:t>
      </w:r>
      <w:r w:rsidR="008176A1">
        <w:rPr>
          <w:lang w:val="en-GB"/>
        </w:rPr>
        <w:t>n the prohibition of torture or other</w:t>
      </w:r>
      <w:r w:rsidR="008176A1" w:rsidRPr="008176A1">
        <w:rPr>
          <w:lang w:val="en-GB"/>
        </w:rPr>
        <w:t xml:space="preserve"> cruel</w:t>
      </w:r>
      <w:r w:rsidR="008176A1">
        <w:rPr>
          <w:lang w:val="en-GB"/>
        </w:rPr>
        <w:t>, inhuman or degrading</w:t>
      </w:r>
      <w:r w:rsidR="008176A1" w:rsidRPr="008176A1">
        <w:rPr>
          <w:lang w:val="en-GB"/>
        </w:rPr>
        <w:t xml:space="preserve"> treatment or punishment</w:t>
      </w:r>
      <w:r w:rsidR="002358D7">
        <w:t>, para</w:t>
      </w:r>
      <w:r w:rsidR="002358D7" w:rsidRPr="003A3109">
        <w:rPr>
          <w:lang w:val="en-US"/>
        </w:rPr>
        <w:t>. </w:t>
      </w:r>
      <w:r w:rsidR="002358D7">
        <w:t>2.</w:t>
      </w:r>
    </w:p>
  </w:footnote>
  <w:footnote w:id="25">
    <w:p w:rsidR="002358D7" w:rsidRPr="002358D7" w:rsidRDefault="002358D7" w:rsidP="008176A1">
      <w:pPr>
        <w:pStyle w:val="FootnoteText"/>
      </w:pPr>
      <w:r w:rsidRPr="003A3109">
        <w:rPr>
          <w:lang w:val="en-US"/>
        </w:rPr>
        <w:tab/>
      </w:r>
      <w:r w:rsidRPr="002358D7">
        <w:rPr>
          <w:rStyle w:val="FootnoteReference"/>
        </w:rPr>
        <w:footnoteRef/>
      </w:r>
      <w:r w:rsidRPr="003A3109">
        <w:rPr>
          <w:lang w:val="en-US"/>
        </w:rPr>
        <w:tab/>
      </w:r>
      <w:r w:rsidRPr="002358D7">
        <w:t xml:space="preserve">See communication No. 907/2000, </w:t>
      </w:r>
      <w:r w:rsidRPr="002358D7">
        <w:rPr>
          <w:i/>
          <w:iCs/>
        </w:rPr>
        <w:t xml:space="preserve">Siragev </w:t>
      </w:r>
      <w:r w:rsidRPr="003A3109">
        <w:t>v.</w:t>
      </w:r>
      <w:r w:rsidRPr="002358D7">
        <w:rPr>
          <w:i/>
          <w:iCs/>
        </w:rPr>
        <w:t xml:space="preserve"> Uzbekistan</w:t>
      </w:r>
      <w:r w:rsidRPr="002358D7">
        <w:t xml:space="preserve">, Views </w:t>
      </w:r>
      <w:r w:rsidR="008F5A4B">
        <w:rPr>
          <w:lang w:val="en-US"/>
        </w:rPr>
        <w:t>adopted on</w:t>
      </w:r>
      <w:r w:rsidRPr="002358D7">
        <w:t xml:space="preserve"> 1 November 2005, para. 6.2;</w:t>
      </w:r>
      <w:r w:rsidR="00B96F15">
        <w:rPr>
          <w:lang w:val="en-US"/>
        </w:rPr>
        <w:t xml:space="preserve"> communication</w:t>
      </w:r>
      <w:r w:rsidRPr="002358D7">
        <w:t xml:space="preserve"> No. 889/1999, </w:t>
      </w:r>
      <w:r w:rsidRPr="002358D7">
        <w:rPr>
          <w:i/>
          <w:iCs/>
        </w:rPr>
        <w:t xml:space="preserve">Zheikov </w:t>
      </w:r>
      <w:r w:rsidRPr="003A3109">
        <w:t>v.</w:t>
      </w:r>
      <w:r w:rsidRPr="002358D7">
        <w:rPr>
          <w:i/>
          <w:iCs/>
        </w:rPr>
        <w:t xml:space="preserve"> Russian Federation</w:t>
      </w:r>
      <w:r w:rsidRPr="002358D7">
        <w:t xml:space="preserve">, Views </w:t>
      </w:r>
      <w:r w:rsidR="008F5A4B">
        <w:rPr>
          <w:lang w:val="en-US"/>
        </w:rPr>
        <w:t>adopted on</w:t>
      </w:r>
      <w:r w:rsidRPr="002358D7">
        <w:t xml:space="preserve"> 17 March 2006, para. 7.2</w:t>
      </w:r>
      <w:r w:rsidRPr="008176A1">
        <w:t xml:space="preserve">; </w:t>
      </w:r>
      <w:r w:rsidR="008F5A4B" w:rsidRPr="008176A1">
        <w:rPr>
          <w:lang w:val="en-US"/>
        </w:rPr>
        <w:t xml:space="preserve">and </w:t>
      </w:r>
      <w:r w:rsidRPr="008176A1">
        <w:rPr>
          <w:i/>
          <w:iCs/>
        </w:rPr>
        <w:t>Zhumbaeva v. Kyrgyzstan</w:t>
      </w:r>
      <w:r w:rsidRPr="008176A1">
        <w:t xml:space="preserve">, </w:t>
      </w:r>
      <w:r w:rsidRPr="00A14EA9">
        <w:t>para. 8.9.</w:t>
      </w:r>
    </w:p>
  </w:footnote>
  <w:footnote w:id="26">
    <w:p w:rsidR="002358D7" w:rsidRPr="003A3109" w:rsidRDefault="002358D7" w:rsidP="008176A1">
      <w:pPr>
        <w:pStyle w:val="FootnoteText"/>
        <w:rPr>
          <w:lang w:val="en-US"/>
        </w:rPr>
      </w:pPr>
      <w:r w:rsidRPr="003A3109">
        <w:rPr>
          <w:lang w:val="en-US"/>
        </w:rPr>
        <w:tab/>
      </w:r>
      <w:r>
        <w:rPr>
          <w:rStyle w:val="FootnoteReference"/>
          <w:szCs w:val="18"/>
        </w:rPr>
        <w:footnoteRef/>
      </w:r>
      <w:r w:rsidRPr="003A3109">
        <w:rPr>
          <w:lang w:val="en-US"/>
        </w:rPr>
        <w:tab/>
      </w:r>
      <w:r>
        <w:t>See general comment No. 20, para. 14</w:t>
      </w:r>
      <w:r>
        <w:rPr>
          <w:lang w:val="en-US"/>
        </w:rPr>
        <w:t xml:space="preserve"> </w:t>
      </w:r>
      <w:r w:rsidRPr="00A14EA9">
        <w:rPr>
          <w:lang w:val="en-US"/>
        </w:rPr>
        <w:t>and</w:t>
      </w:r>
      <w:r w:rsidRPr="00A14EA9">
        <w:t xml:space="preserve"> </w:t>
      </w:r>
      <w:r w:rsidRPr="00A14EA9">
        <w:rPr>
          <w:lang w:val="en-US"/>
        </w:rPr>
        <w:t>g</w:t>
      </w:r>
      <w:r w:rsidRPr="00A14EA9">
        <w:t xml:space="preserve">eneral </w:t>
      </w:r>
      <w:r w:rsidRPr="00A14EA9">
        <w:rPr>
          <w:lang w:val="en-US"/>
        </w:rPr>
        <w:t>c</w:t>
      </w:r>
      <w:r w:rsidRPr="00A14EA9">
        <w:t xml:space="preserve">omment No. 31, </w:t>
      </w:r>
      <w:r w:rsidRPr="003A3109">
        <w:rPr>
          <w:lang w:val="en-US"/>
        </w:rPr>
        <w:t>para. 15.</w:t>
      </w:r>
    </w:p>
  </w:footnote>
  <w:footnote w:id="27">
    <w:p w:rsidR="002358D7" w:rsidRPr="003A3109" w:rsidRDefault="002358D7" w:rsidP="00F479A0">
      <w:pPr>
        <w:pStyle w:val="FootnoteText"/>
        <w:rPr>
          <w:lang w:val="en-US"/>
        </w:rPr>
      </w:pPr>
      <w:r w:rsidRPr="00473E54">
        <w:rPr>
          <w:lang w:val="en-US"/>
        </w:rPr>
        <w:tab/>
      </w:r>
      <w:r w:rsidRPr="00AD6DE3">
        <w:rPr>
          <w:rStyle w:val="FootnoteReference"/>
        </w:rPr>
        <w:footnoteRef/>
      </w:r>
      <w:r w:rsidRPr="003A3109">
        <w:rPr>
          <w:lang w:val="en-US"/>
        </w:rPr>
        <w:tab/>
        <w:t>See</w:t>
      </w:r>
      <w:r w:rsidRPr="003A3109">
        <w:rPr>
          <w:i/>
          <w:iCs/>
          <w:lang w:val="en-US"/>
        </w:rPr>
        <w:t xml:space="preserve"> Eshonov </w:t>
      </w:r>
      <w:r w:rsidRPr="003A3109">
        <w:rPr>
          <w:lang w:val="en-US"/>
        </w:rPr>
        <w:t>v.</w:t>
      </w:r>
      <w:r w:rsidRPr="003A3109">
        <w:rPr>
          <w:i/>
          <w:iCs/>
          <w:lang w:val="en-US"/>
        </w:rPr>
        <w:t xml:space="preserve"> Uzbekistan</w:t>
      </w:r>
      <w:r w:rsidRPr="003A3109">
        <w:rPr>
          <w:lang w:val="en-US"/>
        </w:rPr>
        <w:t>, para. 9.6.</w:t>
      </w:r>
    </w:p>
  </w:footnote>
  <w:footnote w:id="28">
    <w:p w:rsidR="002358D7" w:rsidRPr="00357639" w:rsidRDefault="002358D7" w:rsidP="008176A1">
      <w:pPr>
        <w:pStyle w:val="FootnoteText"/>
      </w:pPr>
      <w:r w:rsidRPr="003A3109">
        <w:rPr>
          <w:lang w:val="en-US"/>
        </w:rPr>
        <w:tab/>
      </w:r>
      <w:r>
        <w:rPr>
          <w:rStyle w:val="FootnoteReference"/>
        </w:rPr>
        <w:footnoteRef/>
      </w:r>
      <w:r w:rsidRPr="003A3109">
        <w:rPr>
          <w:lang w:val="en-US"/>
        </w:rPr>
        <w:tab/>
      </w:r>
      <w:r w:rsidR="00EC0ECA">
        <w:rPr>
          <w:lang w:val="en-GB"/>
        </w:rPr>
        <w:t>Ibid</w:t>
      </w:r>
      <w:r w:rsidRPr="00072761">
        <w:rPr>
          <w:lang w:val="en-GB"/>
        </w:rPr>
        <w:t>.</w:t>
      </w:r>
    </w:p>
  </w:footnote>
  <w:footnote w:id="29">
    <w:p w:rsidR="002358D7" w:rsidRPr="00997AF5" w:rsidRDefault="002358D7" w:rsidP="008176A1">
      <w:pPr>
        <w:pStyle w:val="FootnoteText"/>
        <w:rPr>
          <w:szCs w:val="18"/>
          <w:lang w:val="en-GB"/>
        </w:rPr>
      </w:pPr>
      <w:r w:rsidRPr="000633F4">
        <w:rPr>
          <w:lang w:val="en-GB"/>
        </w:rPr>
        <w:tab/>
      </w:r>
      <w:r>
        <w:rPr>
          <w:rStyle w:val="FootnoteReference"/>
        </w:rPr>
        <w:footnoteRef/>
      </w:r>
      <w:r w:rsidRPr="003A3109">
        <w:rPr>
          <w:lang w:val="en-US"/>
        </w:rPr>
        <w:tab/>
      </w:r>
      <w:r w:rsidRPr="00997AF5">
        <w:rPr>
          <w:lang w:val="en-GB"/>
        </w:rPr>
        <w:t xml:space="preserve">See </w:t>
      </w:r>
      <w:r>
        <w:rPr>
          <w:lang w:val="en-GB"/>
        </w:rPr>
        <w:t xml:space="preserve">communication No. 1275/2004, </w:t>
      </w:r>
      <w:r w:rsidRPr="00386931">
        <w:rPr>
          <w:i/>
          <w:lang w:val="en-GB"/>
        </w:rPr>
        <w:t xml:space="preserve">Umetaliev and Tashtanbekova </w:t>
      </w:r>
      <w:r w:rsidRPr="003A3109">
        <w:rPr>
          <w:iCs/>
          <w:lang w:val="en-GB"/>
        </w:rPr>
        <w:t xml:space="preserve">v. </w:t>
      </w:r>
      <w:r w:rsidRPr="00386931">
        <w:rPr>
          <w:i/>
          <w:lang w:val="en-GB"/>
        </w:rPr>
        <w:t>Kyrgyzstan</w:t>
      </w:r>
      <w:r>
        <w:rPr>
          <w:lang w:val="en-GB"/>
        </w:rPr>
        <w:t xml:space="preserve">, Views </w:t>
      </w:r>
      <w:r w:rsidR="007F4A27">
        <w:rPr>
          <w:lang w:val="en-GB"/>
        </w:rPr>
        <w:t>adopted on</w:t>
      </w:r>
      <w:r>
        <w:rPr>
          <w:lang w:val="en-GB"/>
        </w:rPr>
        <w:t xml:space="preserve"> </w:t>
      </w:r>
      <w:r w:rsidRPr="00386931">
        <w:rPr>
          <w:lang w:val="en-GB"/>
        </w:rPr>
        <w:t>30 October 2008</w:t>
      </w:r>
      <w:r>
        <w:rPr>
          <w:lang w:val="en-GB"/>
        </w:rPr>
        <w:t>, para. 9.</w:t>
      </w:r>
      <w:r w:rsidRPr="00A14EA9">
        <w:rPr>
          <w:lang w:val="en-GB"/>
        </w:rPr>
        <w:t xml:space="preserve">6 and </w:t>
      </w:r>
      <w:r w:rsidRPr="00A14EA9">
        <w:rPr>
          <w:i/>
        </w:rPr>
        <w:t>Zhumbaeva</w:t>
      </w:r>
      <w:r w:rsidRPr="00A14EA9">
        <w:rPr>
          <w:i/>
          <w:lang w:val="en-GB"/>
        </w:rPr>
        <w:t xml:space="preserve"> v. Kyrgyzstan</w:t>
      </w:r>
      <w:r w:rsidRPr="00A14EA9">
        <w:rPr>
          <w:szCs w:val="18"/>
          <w:lang w:val="en-GB"/>
        </w:rPr>
        <w:t>,</w:t>
      </w:r>
      <w:r>
        <w:rPr>
          <w:szCs w:val="18"/>
          <w:lang w:val="en-GB"/>
        </w:rPr>
        <w:t xml:space="preserve"> para. 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D7" w:rsidRPr="00781C83" w:rsidRDefault="002358D7" w:rsidP="00781C83">
    <w:pPr>
      <w:pStyle w:val="Header"/>
    </w:pPr>
    <w:r>
      <w:t>CCPR/C/113/D/2054/2011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D7" w:rsidRPr="00781C83" w:rsidRDefault="002358D7" w:rsidP="00781C83">
    <w:pPr>
      <w:pStyle w:val="Header"/>
      <w:jc w:val="right"/>
    </w:pPr>
    <w:r>
      <w:t>CCPR/C/113/D/2054/2011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1CB8"/>
    <w:rsid w:val="000044E2"/>
    <w:rsid w:val="00007BA5"/>
    <w:rsid w:val="0001627B"/>
    <w:rsid w:val="000170C3"/>
    <w:rsid w:val="00020833"/>
    <w:rsid w:val="0002220F"/>
    <w:rsid w:val="00023024"/>
    <w:rsid w:val="00024522"/>
    <w:rsid w:val="00025D41"/>
    <w:rsid w:val="0002635B"/>
    <w:rsid w:val="000272B3"/>
    <w:rsid w:val="00030434"/>
    <w:rsid w:val="0003387B"/>
    <w:rsid w:val="00033CD0"/>
    <w:rsid w:val="00036F3F"/>
    <w:rsid w:val="000375E7"/>
    <w:rsid w:val="000377A5"/>
    <w:rsid w:val="00040648"/>
    <w:rsid w:val="0004092D"/>
    <w:rsid w:val="00041994"/>
    <w:rsid w:val="0005033E"/>
    <w:rsid w:val="00050F6B"/>
    <w:rsid w:val="00055FFE"/>
    <w:rsid w:val="0005782B"/>
    <w:rsid w:val="00057E97"/>
    <w:rsid w:val="00060C3A"/>
    <w:rsid w:val="000633F4"/>
    <w:rsid w:val="00066476"/>
    <w:rsid w:val="000673A3"/>
    <w:rsid w:val="00067CCE"/>
    <w:rsid w:val="000707D1"/>
    <w:rsid w:val="00072C8C"/>
    <w:rsid w:val="000733B5"/>
    <w:rsid w:val="0007642F"/>
    <w:rsid w:val="00081815"/>
    <w:rsid w:val="00081BF7"/>
    <w:rsid w:val="0008245C"/>
    <w:rsid w:val="00082F47"/>
    <w:rsid w:val="00090022"/>
    <w:rsid w:val="00090758"/>
    <w:rsid w:val="00091F15"/>
    <w:rsid w:val="000931C0"/>
    <w:rsid w:val="0009642A"/>
    <w:rsid w:val="000970C1"/>
    <w:rsid w:val="000A1B9B"/>
    <w:rsid w:val="000A2EE4"/>
    <w:rsid w:val="000A310C"/>
    <w:rsid w:val="000A5559"/>
    <w:rsid w:val="000A69CF"/>
    <w:rsid w:val="000B02C3"/>
    <w:rsid w:val="000B175B"/>
    <w:rsid w:val="000B1788"/>
    <w:rsid w:val="000B3A0F"/>
    <w:rsid w:val="000B4EF7"/>
    <w:rsid w:val="000C2AB9"/>
    <w:rsid w:val="000C2C03"/>
    <w:rsid w:val="000C2D2E"/>
    <w:rsid w:val="000C2E06"/>
    <w:rsid w:val="000C46B7"/>
    <w:rsid w:val="000C4DA0"/>
    <w:rsid w:val="000C569E"/>
    <w:rsid w:val="000C695D"/>
    <w:rsid w:val="000D0ABB"/>
    <w:rsid w:val="000D3B44"/>
    <w:rsid w:val="000D3D17"/>
    <w:rsid w:val="000D6E0C"/>
    <w:rsid w:val="000E0415"/>
    <w:rsid w:val="000E07B1"/>
    <w:rsid w:val="000E0E8E"/>
    <w:rsid w:val="000E20F8"/>
    <w:rsid w:val="000E29B9"/>
    <w:rsid w:val="000E3A23"/>
    <w:rsid w:val="000E4AC6"/>
    <w:rsid w:val="000F39F9"/>
    <w:rsid w:val="000F6A6B"/>
    <w:rsid w:val="000F7E69"/>
    <w:rsid w:val="00102617"/>
    <w:rsid w:val="001037D9"/>
    <w:rsid w:val="00105DBB"/>
    <w:rsid w:val="00107391"/>
    <w:rsid w:val="001103AA"/>
    <w:rsid w:val="00110F83"/>
    <w:rsid w:val="00112792"/>
    <w:rsid w:val="00112984"/>
    <w:rsid w:val="001133DB"/>
    <w:rsid w:val="0011580E"/>
    <w:rsid w:val="00117506"/>
    <w:rsid w:val="0011787A"/>
    <w:rsid w:val="00120966"/>
    <w:rsid w:val="001217E1"/>
    <w:rsid w:val="001223A2"/>
    <w:rsid w:val="00123712"/>
    <w:rsid w:val="001306DD"/>
    <w:rsid w:val="00130D48"/>
    <w:rsid w:val="0013113A"/>
    <w:rsid w:val="00131772"/>
    <w:rsid w:val="00131B64"/>
    <w:rsid w:val="0013235B"/>
    <w:rsid w:val="001340B3"/>
    <w:rsid w:val="00136DE8"/>
    <w:rsid w:val="00137249"/>
    <w:rsid w:val="00137393"/>
    <w:rsid w:val="001375A9"/>
    <w:rsid w:val="00142286"/>
    <w:rsid w:val="001462A8"/>
    <w:rsid w:val="00154DA5"/>
    <w:rsid w:val="00157820"/>
    <w:rsid w:val="00160960"/>
    <w:rsid w:val="00161364"/>
    <w:rsid w:val="00162DB2"/>
    <w:rsid w:val="00164C92"/>
    <w:rsid w:val="00165F3A"/>
    <w:rsid w:val="00166183"/>
    <w:rsid w:val="00170DDB"/>
    <w:rsid w:val="001721A9"/>
    <w:rsid w:val="00172644"/>
    <w:rsid w:val="0017277A"/>
    <w:rsid w:val="00174528"/>
    <w:rsid w:val="00174AE3"/>
    <w:rsid w:val="001756D6"/>
    <w:rsid w:val="001758E2"/>
    <w:rsid w:val="00176D6B"/>
    <w:rsid w:val="00181F7C"/>
    <w:rsid w:val="00183968"/>
    <w:rsid w:val="001844A0"/>
    <w:rsid w:val="0018481A"/>
    <w:rsid w:val="001905FB"/>
    <w:rsid w:val="001912DB"/>
    <w:rsid w:val="00191845"/>
    <w:rsid w:val="001965C0"/>
    <w:rsid w:val="00196CDF"/>
    <w:rsid w:val="001A09DE"/>
    <w:rsid w:val="001A1BF9"/>
    <w:rsid w:val="001A25B9"/>
    <w:rsid w:val="001A2C08"/>
    <w:rsid w:val="001A32CB"/>
    <w:rsid w:val="001A4429"/>
    <w:rsid w:val="001A6461"/>
    <w:rsid w:val="001A660B"/>
    <w:rsid w:val="001A6686"/>
    <w:rsid w:val="001A67B5"/>
    <w:rsid w:val="001A723C"/>
    <w:rsid w:val="001A7E43"/>
    <w:rsid w:val="001B1EAF"/>
    <w:rsid w:val="001B4041"/>
    <w:rsid w:val="001B4485"/>
    <w:rsid w:val="001B4A8B"/>
    <w:rsid w:val="001B4B04"/>
    <w:rsid w:val="001B7D22"/>
    <w:rsid w:val="001C2AF1"/>
    <w:rsid w:val="001C4471"/>
    <w:rsid w:val="001C5BED"/>
    <w:rsid w:val="001C657F"/>
    <w:rsid w:val="001C6663"/>
    <w:rsid w:val="001C7895"/>
    <w:rsid w:val="001C7D37"/>
    <w:rsid w:val="001D0C8C"/>
    <w:rsid w:val="001D26DF"/>
    <w:rsid w:val="001D3743"/>
    <w:rsid w:val="001D3A03"/>
    <w:rsid w:val="001D45BE"/>
    <w:rsid w:val="001D4B4B"/>
    <w:rsid w:val="001D6813"/>
    <w:rsid w:val="001E10EC"/>
    <w:rsid w:val="001E2B4C"/>
    <w:rsid w:val="001E4617"/>
    <w:rsid w:val="001E48A9"/>
    <w:rsid w:val="001E6148"/>
    <w:rsid w:val="001E68C7"/>
    <w:rsid w:val="001E718D"/>
    <w:rsid w:val="001E7AF9"/>
    <w:rsid w:val="001F0720"/>
    <w:rsid w:val="001F08A3"/>
    <w:rsid w:val="001F0F1A"/>
    <w:rsid w:val="001F11EA"/>
    <w:rsid w:val="001F669A"/>
    <w:rsid w:val="001F70BD"/>
    <w:rsid w:val="001F7F7E"/>
    <w:rsid w:val="00202DA8"/>
    <w:rsid w:val="002069CC"/>
    <w:rsid w:val="00211E0B"/>
    <w:rsid w:val="00213E21"/>
    <w:rsid w:val="00217D74"/>
    <w:rsid w:val="00220677"/>
    <w:rsid w:val="00222689"/>
    <w:rsid w:val="00224AED"/>
    <w:rsid w:val="0022501D"/>
    <w:rsid w:val="002256A1"/>
    <w:rsid w:val="00226C47"/>
    <w:rsid w:val="002314F8"/>
    <w:rsid w:val="0023210C"/>
    <w:rsid w:val="00232334"/>
    <w:rsid w:val="002327DA"/>
    <w:rsid w:val="00233707"/>
    <w:rsid w:val="002358D7"/>
    <w:rsid w:val="002361D0"/>
    <w:rsid w:val="00240564"/>
    <w:rsid w:val="00240F4B"/>
    <w:rsid w:val="00242EE0"/>
    <w:rsid w:val="0025162E"/>
    <w:rsid w:val="00253060"/>
    <w:rsid w:val="00253799"/>
    <w:rsid w:val="0025487E"/>
    <w:rsid w:val="00254D59"/>
    <w:rsid w:val="002550CB"/>
    <w:rsid w:val="00255D3E"/>
    <w:rsid w:val="00257307"/>
    <w:rsid w:val="002633B3"/>
    <w:rsid w:val="00263C52"/>
    <w:rsid w:val="002650C2"/>
    <w:rsid w:val="002656E9"/>
    <w:rsid w:val="00265CF8"/>
    <w:rsid w:val="00266EB7"/>
    <w:rsid w:val="00267F5F"/>
    <w:rsid w:val="00271484"/>
    <w:rsid w:val="00273B0F"/>
    <w:rsid w:val="00273B14"/>
    <w:rsid w:val="0027521A"/>
    <w:rsid w:val="00281144"/>
    <w:rsid w:val="00282899"/>
    <w:rsid w:val="0028489A"/>
    <w:rsid w:val="002863A9"/>
    <w:rsid w:val="00286B4D"/>
    <w:rsid w:val="00292F7D"/>
    <w:rsid w:val="0029365C"/>
    <w:rsid w:val="00293B90"/>
    <w:rsid w:val="002A0E62"/>
    <w:rsid w:val="002A1243"/>
    <w:rsid w:val="002A16EF"/>
    <w:rsid w:val="002A3CBA"/>
    <w:rsid w:val="002A4B67"/>
    <w:rsid w:val="002A5CD2"/>
    <w:rsid w:val="002A728F"/>
    <w:rsid w:val="002A7DCE"/>
    <w:rsid w:val="002B00D4"/>
    <w:rsid w:val="002B1DA1"/>
    <w:rsid w:val="002B3B76"/>
    <w:rsid w:val="002B3F1E"/>
    <w:rsid w:val="002B5269"/>
    <w:rsid w:val="002B7373"/>
    <w:rsid w:val="002C06BA"/>
    <w:rsid w:val="002C5BCD"/>
    <w:rsid w:val="002D18B7"/>
    <w:rsid w:val="002D3AF5"/>
    <w:rsid w:val="002D4CB1"/>
    <w:rsid w:val="002D76B1"/>
    <w:rsid w:val="002E1084"/>
    <w:rsid w:val="002E40FC"/>
    <w:rsid w:val="002E52B1"/>
    <w:rsid w:val="002E598D"/>
    <w:rsid w:val="002E5C99"/>
    <w:rsid w:val="002E69AE"/>
    <w:rsid w:val="002F039C"/>
    <w:rsid w:val="002F175C"/>
    <w:rsid w:val="002F1942"/>
    <w:rsid w:val="002F4557"/>
    <w:rsid w:val="002F5159"/>
    <w:rsid w:val="002F582A"/>
    <w:rsid w:val="0030138D"/>
    <w:rsid w:val="00306124"/>
    <w:rsid w:val="00307164"/>
    <w:rsid w:val="00310634"/>
    <w:rsid w:val="00310DFA"/>
    <w:rsid w:val="003134AC"/>
    <w:rsid w:val="00316763"/>
    <w:rsid w:val="0031721B"/>
    <w:rsid w:val="00317544"/>
    <w:rsid w:val="00317ADA"/>
    <w:rsid w:val="00320E07"/>
    <w:rsid w:val="0032230D"/>
    <w:rsid w:val="003229D8"/>
    <w:rsid w:val="00323632"/>
    <w:rsid w:val="003242C0"/>
    <w:rsid w:val="003266F5"/>
    <w:rsid w:val="00327502"/>
    <w:rsid w:val="0033114D"/>
    <w:rsid w:val="00331F5B"/>
    <w:rsid w:val="0033240F"/>
    <w:rsid w:val="003341EB"/>
    <w:rsid w:val="00340278"/>
    <w:rsid w:val="00340A69"/>
    <w:rsid w:val="00341E55"/>
    <w:rsid w:val="00345647"/>
    <w:rsid w:val="00350BB3"/>
    <w:rsid w:val="00351398"/>
    <w:rsid w:val="00352709"/>
    <w:rsid w:val="00354AA8"/>
    <w:rsid w:val="00361E8A"/>
    <w:rsid w:val="00363A98"/>
    <w:rsid w:val="0036645D"/>
    <w:rsid w:val="003667AD"/>
    <w:rsid w:val="00367567"/>
    <w:rsid w:val="003705C9"/>
    <w:rsid w:val="00371095"/>
    <w:rsid w:val="00371178"/>
    <w:rsid w:val="0037301C"/>
    <w:rsid w:val="003730DD"/>
    <w:rsid w:val="0037429D"/>
    <w:rsid w:val="00375119"/>
    <w:rsid w:val="00376720"/>
    <w:rsid w:val="00376A05"/>
    <w:rsid w:val="00376D99"/>
    <w:rsid w:val="00377828"/>
    <w:rsid w:val="003823CB"/>
    <w:rsid w:val="0038336C"/>
    <w:rsid w:val="00384F90"/>
    <w:rsid w:val="00386624"/>
    <w:rsid w:val="00386931"/>
    <w:rsid w:val="00387ECB"/>
    <w:rsid w:val="0039008D"/>
    <w:rsid w:val="003903FC"/>
    <w:rsid w:val="00392947"/>
    <w:rsid w:val="00392B8A"/>
    <w:rsid w:val="0039347E"/>
    <w:rsid w:val="003954DB"/>
    <w:rsid w:val="00397B8A"/>
    <w:rsid w:val="00397C39"/>
    <w:rsid w:val="003A1602"/>
    <w:rsid w:val="003A1BEA"/>
    <w:rsid w:val="003A3109"/>
    <w:rsid w:val="003A325A"/>
    <w:rsid w:val="003A6810"/>
    <w:rsid w:val="003A6EFA"/>
    <w:rsid w:val="003A70FC"/>
    <w:rsid w:val="003A7AF2"/>
    <w:rsid w:val="003B2D48"/>
    <w:rsid w:val="003C02AB"/>
    <w:rsid w:val="003C2CC4"/>
    <w:rsid w:val="003C67D6"/>
    <w:rsid w:val="003C730E"/>
    <w:rsid w:val="003D1C5A"/>
    <w:rsid w:val="003D2795"/>
    <w:rsid w:val="003D3E59"/>
    <w:rsid w:val="003D45CC"/>
    <w:rsid w:val="003D4B23"/>
    <w:rsid w:val="003D52B0"/>
    <w:rsid w:val="003D7581"/>
    <w:rsid w:val="003E2BA4"/>
    <w:rsid w:val="003E33F3"/>
    <w:rsid w:val="003E4173"/>
    <w:rsid w:val="003E5D6A"/>
    <w:rsid w:val="003E6A36"/>
    <w:rsid w:val="003E6F7E"/>
    <w:rsid w:val="003F4820"/>
    <w:rsid w:val="003F5E78"/>
    <w:rsid w:val="003F63C8"/>
    <w:rsid w:val="004004F7"/>
    <w:rsid w:val="004021AF"/>
    <w:rsid w:val="00405473"/>
    <w:rsid w:val="00406276"/>
    <w:rsid w:val="00410C89"/>
    <w:rsid w:val="00412979"/>
    <w:rsid w:val="00414931"/>
    <w:rsid w:val="00414B35"/>
    <w:rsid w:val="00414F92"/>
    <w:rsid w:val="00420488"/>
    <w:rsid w:val="004227C0"/>
    <w:rsid w:val="00426B9B"/>
    <w:rsid w:val="00427105"/>
    <w:rsid w:val="0043003F"/>
    <w:rsid w:val="00431396"/>
    <w:rsid w:val="004325CB"/>
    <w:rsid w:val="00436B33"/>
    <w:rsid w:val="00436E7E"/>
    <w:rsid w:val="00437253"/>
    <w:rsid w:val="0044118B"/>
    <w:rsid w:val="00442A83"/>
    <w:rsid w:val="00442C9D"/>
    <w:rsid w:val="00442EB6"/>
    <w:rsid w:val="0044303D"/>
    <w:rsid w:val="00445A57"/>
    <w:rsid w:val="00445B4E"/>
    <w:rsid w:val="00446652"/>
    <w:rsid w:val="00446ABC"/>
    <w:rsid w:val="00450D0E"/>
    <w:rsid w:val="004526DA"/>
    <w:rsid w:val="0045285D"/>
    <w:rsid w:val="0045495B"/>
    <w:rsid w:val="00455C43"/>
    <w:rsid w:val="00456C65"/>
    <w:rsid w:val="0045754E"/>
    <w:rsid w:val="00457839"/>
    <w:rsid w:val="004607BF"/>
    <w:rsid w:val="00461DD7"/>
    <w:rsid w:val="00462E5B"/>
    <w:rsid w:val="00464446"/>
    <w:rsid w:val="004653C7"/>
    <w:rsid w:val="00466B4C"/>
    <w:rsid w:val="00466FA4"/>
    <w:rsid w:val="00467A53"/>
    <w:rsid w:val="0047173A"/>
    <w:rsid w:val="00473963"/>
    <w:rsid w:val="00473E54"/>
    <w:rsid w:val="00476073"/>
    <w:rsid w:val="00481CB1"/>
    <w:rsid w:val="0048204A"/>
    <w:rsid w:val="004824DE"/>
    <w:rsid w:val="00484E4E"/>
    <w:rsid w:val="00487488"/>
    <w:rsid w:val="00487FB8"/>
    <w:rsid w:val="0049000F"/>
    <w:rsid w:val="004916A2"/>
    <w:rsid w:val="0049219B"/>
    <w:rsid w:val="00492FCD"/>
    <w:rsid w:val="0049418F"/>
    <w:rsid w:val="00495A34"/>
    <w:rsid w:val="00497CBC"/>
    <w:rsid w:val="004A2789"/>
    <w:rsid w:val="004A28A7"/>
    <w:rsid w:val="004A4E95"/>
    <w:rsid w:val="004A7CE7"/>
    <w:rsid w:val="004C323B"/>
    <w:rsid w:val="004C55DD"/>
    <w:rsid w:val="004C590D"/>
    <w:rsid w:val="004C6663"/>
    <w:rsid w:val="004D0446"/>
    <w:rsid w:val="004D5BD1"/>
    <w:rsid w:val="004E15CC"/>
    <w:rsid w:val="004E269D"/>
    <w:rsid w:val="004E42B3"/>
    <w:rsid w:val="004E56B6"/>
    <w:rsid w:val="004F1D45"/>
    <w:rsid w:val="004F5078"/>
    <w:rsid w:val="004F523E"/>
    <w:rsid w:val="004F56B6"/>
    <w:rsid w:val="00501D54"/>
    <w:rsid w:val="0050328D"/>
    <w:rsid w:val="00505D08"/>
    <w:rsid w:val="00505F5B"/>
    <w:rsid w:val="005125F0"/>
    <w:rsid w:val="00513AF8"/>
    <w:rsid w:val="005167F1"/>
    <w:rsid w:val="00520400"/>
    <w:rsid w:val="00520442"/>
    <w:rsid w:val="0052136D"/>
    <w:rsid w:val="005232E6"/>
    <w:rsid w:val="00525395"/>
    <w:rsid w:val="00526666"/>
    <w:rsid w:val="0052775E"/>
    <w:rsid w:val="00527A01"/>
    <w:rsid w:val="005316CE"/>
    <w:rsid w:val="00533FA3"/>
    <w:rsid w:val="005409DC"/>
    <w:rsid w:val="00540F02"/>
    <w:rsid w:val="0054109A"/>
    <w:rsid w:val="0054150C"/>
    <w:rsid w:val="005420F2"/>
    <w:rsid w:val="00542A82"/>
    <w:rsid w:val="00546665"/>
    <w:rsid w:val="00550D3B"/>
    <w:rsid w:val="0055329D"/>
    <w:rsid w:val="00555470"/>
    <w:rsid w:val="0055732A"/>
    <w:rsid w:val="00560BA5"/>
    <w:rsid w:val="0056108C"/>
    <w:rsid w:val="00561B68"/>
    <w:rsid w:val="005627B9"/>
    <w:rsid w:val="005628B6"/>
    <w:rsid w:val="00562C15"/>
    <w:rsid w:val="00563459"/>
    <w:rsid w:val="005640D1"/>
    <w:rsid w:val="00564714"/>
    <w:rsid w:val="00565BE7"/>
    <w:rsid w:val="0056624F"/>
    <w:rsid w:val="005722B3"/>
    <w:rsid w:val="0057585A"/>
    <w:rsid w:val="00575BA3"/>
    <w:rsid w:val="00577E84"/>
    <w:rsid w:val="00581C8C"/>
    <w:rsid w:val="0058477C"/>
    <w:rsid w:val="005848B3"/>
    <w:rsid w:val="00587C24"/>
    <w:rsid w:val="00590F87"/>
    <w:rsid w:val="00592C4A"/>
    <w:rsid w:val="005A0415"/>
    <w:rsid w:val="005A2ACD"/>
    <w:rsid w:val="005A3928"/>
    <w:rsid w:val="005B09AE"/>
    <w:rsid w:val="005B15AD"/>
    <w:rsid w:val="005B38A5"/>
    <w:rsid w:val="005B3CFF"/>
    <w:rsid w:val="005B3DB3"/>
    <w:rsid w:val="005B4F61"/>
    <w:rsid w:val="005B5D3B"/>
    <w:rsid w:val="005B6047"/>
    <w:rsid w:val="005C11C1"/>
    <w:rsid w:val="005C176E"/>
    <w:rsid w:val="005C1C11"/>
    <w:rsid w:val="005C2131"/>
    <w:rsid w:val="005C223E"/>
    <w:rsid w:val="005C413D"/>
    <w:rsid w:val="005C4A9E"/>
    <w:rsid w:val="005C5103"/>
    <w:rsid w:val="005D0679"/>
    <w:rsid w:val="005D266B"/>
    <w:rsid w:val="005D3F1B"/>
    <w:rsid w:val="005D5721"/>
    <w:rsid w:val="005D5AF5"/>
    <w:rsid w:val="005D7104"/>
    <w:rsid w:val="005D7CB5"/>
    <w:rsid w:val="005E021C"/>
    <w:rsid w:val="005E210E"/>
    <w:rsid w:val="005E2F71"/>
    <w:rsid w:val="005E5805"/>
    <w:rsid w:val="005E783D"/>
    <w:rsid w:val="005F4E9F"/>
    <w:rsid w:val="005F5699"/>
    <w:rsid w:val="005F7717"/>
    <w:rsid w:val="005F7B75"/>
    <w:rsid w:val="005F7F93"/>
    <w:rsid w:val="006001B0"/>
    <w:rsid w:val="006001EE"/>
    <w:rsid w:val="00605042"/>
    <w:rsid w:val="0060694E"/>
    <w:rsid w:val="00607BC1"/>
    <w:rsid w:val="0061038C"/>
    <w:rsid w:val="006108E0"/>
    <w:rsid w:val="00611FC4"/>
    <w:rsid w:val="00613FE0"/>
    <w:rsid w:val="006148AF"/>
    <w:rsid w:val="006160CB"/>
    <w:rsid w:val="006176FB"/>
    <w:rsid w:val="00621F44"/>
    <w:rsid w:val="006239C9"/>
    <w:rsid w:val="00623FD3"/>
    <w:rsid w:val="0062462D"/>
    <w:rsid w:val="0062630E"/>
    <w:rsid w:val="006274AD"/>
    <w:rsid w:val="00627FB0"/>
    <w:rsid w:val="00631C31"/>
    <w:rsid w:val="00632E25"/>
    <w:rsid w:val="0063379B"/>
    <w:rsid w:val="00635D67"/>
    <w:rsid w:val="00640B26"/>
    <w:rsid w:val="00640C76"/>
    <w:rsid w:val="00645379"/>
    <w:rsid w:val="00645949"/>
    <w:rsid w:val="00645B46"/>
    <w:rsid w:val="006507CD"/>
    <w:rsid w:val="00652D0A"/>
    <w:rsid w:val="00653DBF"/>
    <w:rsid w:val="00654447"/>
    <w:rsid w:val="00657C98"/>
    <w:rsid w:val="00660559"/>
    <w:rsid w:val="00662BB6"/>
    <w:rsid w:val="006637A4"/>
    <w:rsid w:val="0066456D"/>
    <w:rsid w:val="0066514C"/>
    <w:rsid w:val="00671948"/>
    <w:rsid w:val="00671FD2"/>
    <w:rsid w:val="00672110"/>
    <w:rsid w:val="006743E9"/>
    <w:rsid w:val="00674D65"/>
    <w:rsid w:val="006750DB"/>
    <w:rsid w:val="0067551B"/>
    <w:rsid w:val="00676AB6"/>
    <w:rsid w:val="00677030"/>
    <w:rsid w:val="00681702"/>
    <w:rsid w:val="00682284"/>
    <w:rsid w:val="00682DDC"/>
    <w:rsid w:val="006838C8"/>
    <w:rsid w:val="00684C21"/>
    <w:rsid w:val="00685FA6"/>
    <w:rsid w:val="0068743C"/>
    <w:rsid w:val="00691990"/>
    <w:rsid w:val="00692BBE"/>
    <w:rsid w:val="00694AE6"/>
    <w:rsid w:val="006954C6"/>
    <w:rsid w:val="00695991"/>
    <w:rsid w:val="0069763E"/>
    <w:rsid w:val="00697F3E"/>
    <w:rsid w:val="006A6F19"/>
    <w:rsid w:val="006B346D"/>
    <w:rsid w:val="006B4FA2"/>
    <w:rsid w:val="006B5065"/>
    <w:rsid w:val="006B58E5"/>
    <w:rsid w:val="006B7498"/>
    <w:rsid w:val="006C0435"/>
    <w:rsid w:val="006C05C1"/>
    <w:rsid w:val="006C1F0E"/>
    <w:rsid w:val="006C2DC6"/>
    <w:rsid w:val="006C3AD1"/>
    <w:rsid w:val="006C65A6"/>
    <w:rsid w:val="006C773F"/>
    <w:rsid w:val="006D37AF"/>
    <w:rsid w:val="006D51D0"/>
    <w:rsid w:val="006D53C0"/>
    <w:rsid w:val="006E212F"/>
    <w:rsid w:val="006E279A"/>
    <w:rsid w:val="006E564B"/>
    <w:rsid w:val="006E5A29"/>
    <w:rsid w:val="006E654E"/>
    <w:rsid w:val="006E7191"/>
    <w:rsid w:val="006E7196"/>
    <w:rsid w:val="006F30DF"/>
    <w:rsid w:val="006F3231"/>
    <w:rsid w:val="006F3667"/>
    <w:rsid w:val="006F464F"/>
    <w:rsid w:val="006F52C5"/>
    <w:rsid w:val="006F6515"/>
    <w:rsid w:val="00703577"/>
    <w:rsid w:val="007043C4"/>
    <w:rsid w:val="00705625"/>
    <w:rsid w:val="0071171F"/>
    <w:rsid w:val="00711E1F"/>
    <w:rsid w:val="00711F00"/>
    <w:rsid w:val="00713C74"/>
    <w:rsid w:val="00715DDD"/>
    <w:rsid w:val="00716EC7"/>
    <w:rsid w:val="00717ADC"/>
    <w:rsid w:val="0072328C"/>
    <w:rsid w:val="00725444"/>
    <w:rsid w:val="0072632A"/>
    <w:rsid w:val="00726A48"/>
    <w:rsid w:val="00727C31"/>
    <w:rsid w:val="00731AA3"/>
    <w:rsid w:val="007327D5"/>
    <w:rsid w:val="007347D4"/>
    <w:rsid w:val="00734ABE"/>
    <w:rsid w:val="00735CA1"/>
    <w:rsid w:val="00735F4E"/>
    <w:rsid w:val="00736EAD"/>
    <w:rsid w:val="007435F7"/>
    <w:rsid w:val="007449A6"/>
    <w:rsid w:val="00746750"/>
    <w:rsid w:val="00746D61"/>
    <w:rsid w:val="007509EB"/>
    <w:rsid w:val="00750A71"/>
    <w:rsid w:val="00750FC5"/>
    <w:rsid w:val="00752F86"/>
    <w:rsid w:val="0075395D"/>
    <w:rsid w:val="0075399C"/>
    <w:rsid w:val="00757837"/>
    <w:rsid w:val="00760B80"/>
    <w:rsid w:val="00762878"/>
    <w:rsid w:val="00762922"/>
    <w:rsid w:val="007629C8"/>
    <w:rsid w:val="00762E39"/>
    <w:rsid w:val="007635DF"/>
    <w:rsid w:val="00764972"/>
    <w:rsid w:val="007661CD"/>
    <w:rsid w:val="007734FC"/>
    <w:rsid w:val="007740F1"/>
    <w:rsid w:val="00776E5E"/>
    <w:rsid w:val="00777322"/>
    <w:rsid w:val="00780BE5"/>
    <w:rsid w:val="00781C83"/>
    <w:rsid w:val="00781CAC"/>
    <w:rsid w:val="0078300D"/>
    <w:rsid w:val="0078351B"/>
    <w:rsid w:val="00785DB2"/>
    <w:rsid w:val="0078601B"/>
    <w:rsid w:val="0078676D"/>
    <w:rsid w:val="00787E5D"/>
    <w:rsid w:val="0079034E"/>
    <w:rsid w:val="007919F7"/>
    <w:rsid w:val="00792116"/>
    <w:rsid w:val="0079681E"/>
    <w:rsid w:val="007A212F"/>
    <w:rsid w:val="007A346E"/>
    <w:rsid w:val="007A36C9"/>
    <w:rsid w:val="007A4752"/>
    <w:rsid w:val="007B0746"/>
    <w:rsid w:val="007B3302"/>
    <w:rsid w:val="007B6BA5"/>
    <w:rsid w:val="007C1241"/>
    <w:rsid w:val="007C1873"/>
    <w:rsid w:val="007C3341"/>
    <w:rsid w:val="007C3390"/>
    <w:rsid w:val="007C3FFB"/>
    <w:rsid w:val="007C4F4B"/>
    <w:rsid w:val="007C55BE"/>
    <w:rsid w:val="007C784F"/>
    <w:rsid w:val="007D00CF"/>
    <w:rsid w:val="007D2684"/>
    <w:rsid w:val="007D40A4"/>
    <w:rsid w:val="007D564F"/>
    <w:rsid w:val="007D5DF9"/>
    <w:rsid w:val="007E0B2D"/>
    <w:rsid w:val="007E0ED5"/>
    <w:rsid w:val="007E142C"/>
    <w:rsid w:val="007E4594"/>
    <w:rsid w:val="007E4BBE"/>
    <w:rsid w:val="007E533F"/>
    <w:rsid w:val="007E5EA4"/>
    <w:rsid w:val="007F098E"/>
    <w:rsid w:val="007F12FC"/>
    <w:rsid w:val="007F160A"/>
    <w:rsid w:val="007F2459"/>
    <w:rsid w:val="007F2D0D"/>
    <w:rsid w:val="007F3A2C"/>
    <w:rsid w:val="007F4853"/>
    <w:rsid w:val="007F4A27"/>
    <w:rsid w:val="007F620C"/>
    <w:rsid w:val="007F6611"/>
    <w:rsid w:val="0080767F"/>
    <w:rsid w:val="0081043C"/>
    <w:rsid w:val="008105B8"/>
    <w:rsid w:val="00811D06"/>
    <w:rsid w:val="008123D2"/>
    <w:rsid w:val="00812971"/>
    <w:rsid w:val="00813327"/>
    <w:rsid w:val="008146B2"/>
    <w:rsid w:val="00816972"/>
    <w:rsid w:val="00816E23"/>
    <w:rsid w:val="00816EE0"/>
    <w:rsid w:val="008176A1"/>
    <w:rsid w:val="00817A02"/>
    <w:rsid w:val="008216A5"/>
    <w:rsid w:val="00821799"/>
    <w:rsid w:val="00821A8D"/>
    <w:rsid w:val="00822FF6"/>
    <w:rsid w:val="008242D7"/>
    <w:rsid w:val="00824C73"/>
    <w:rsid w:val="00824FE2"/>
    <w:rsid w:val="00825659"/>
    <w:rsid w:val="008257B1"/>
    <w:rsid w:val="00830250"/>
    <w:rsid w:val="00830DFD"/>
    <w:rsid w:val="00830FF4"/>
    <w:rsid w:val="0083185A"/>
    <w:rsid w:val="008329F7"/>
    <w:rsid w:val="00833370"/>
    <w:rsid w:val="00835C7B"/>
    <w:rsid w:val="008379A8"/>
    <w:rsid w:val="008406D2"/>
    <w:rsid w:val="0084126F"/>
    <w:rsid w:val="0084321E"/>
    <w:rsid w:val="00843767"/>
    <w:rsid w:val="00846666"/>
    <w:rsid w:val="00847A32"/>
    <w:rsid w:val="00847B18"/>
    <w:rsid w:val="00851F2A"/>
    <w:rsid w:val="00856F01"/>
    <w:rsid w:val="008606CE"/>
    <w:rsid w:val="00861599"/>
    <w:rsid w:val="0086237A"/>
    <w:rsid w:val="00864797"/>
    <w:rsid w:val="008655A1"/>
    <w:rsid w:val="008679D9"/>
    <w:rsid w:val="00871051"/>
    <w:rsid w:val="00871750"/>
    <w:rsid w:val="00872F86"/>
    <w:rsid w:val="008730D5"/>
    <w:rsid w:val="008743E9"/>
    <w:rsid w:val="00875FE5"/>
    <w:rsid w:val="00880AF2"/>
    <w:rsid w:val="00881B36"/>
    <w:rsid w:val="00883BBF"/>
    <w:rsid w:val="00883CB5"/>
    <w:rsid w:val="00884FCB"/>
    <w:rsid w:val="0088719B"/>
    <w:rsid w:val="00887976"/>
    <w:rsid w:val="00891792"/>
    <w:rsid w:val="00891C2B"/>
    <w:rsid w:val="00891CB9"/>
    <w:rsid w:val="00893711"/>
    <w:rsid w:val="00894F53"/>
    <w:rsid w:val="00896597"/>
    <w:rsid w:val="00897990"/>
    <w:rsid w:val="008979B1"/>
    <w:rsid w:val="00897F0A"/>
    <w:rsid w:val="008A09B5"/>
    <w:rsid w:val="008A1DB2"/>
    <w:rsid w:val="008A3329"/>
    <w:rsid w:val="008A4B84"/>
    <w:rsid w:val="008A519C"/>
    <w:rsid w:val="008A6B25"/>
    <w:rsid w:val="008A6C4F"/>
    <w:rsid w:val="008B012F"/>
    <w:rsid w:val="008B2335"/>
    <w:rsid w:val="008B629E"/>
    <w:rsid w:val="008B71A8"/>
    <w:rsid w:val="008C0088"/>
    <w:rsid w:val="008C0D17"/>
    <w:rsid w:val="008C22CC"/>
    <w:rsid w:val="008C3223"/>
    <w:rsid w:val="008C3294"/>
    <w:rsid w:val="008C4009"/>
    <w:rsid w:val="008C4B5A"/>
    <w:rsid w:val="008C4EDC"/>
    <w:rsid w:val="008C6E58"/>
    <w:rsid w:val="008C77CB"/>
    <w:rsid w:val="008D0C03"/>
    <w:rsid w:val="008D1459"/>
    <w:rsid w:val="008D2A46"/>
    <w:rsid w:val="008E0678"/>
    <w:rsid w:val="008E0CFD"/>
    <w:rsid w:val="008E4C4F"/>
    <w:rsid w:val="008E5A83"/>
    <w:rsid w:val="008E5FF6"/>
    <w:rsid w:val="008E6067"/>
    <w:rsid w:val="008F0336"/>
    <w:rsid w:val="008F0E3C"/>
    <w:rsid w:val="008F16E4"/>
    <w:rsid w:val="008F1FA8"/>
    <w:rsid w:val="008F5A4B"/>
    <w:rsid w:val="008F6145"/>
    <w:rsid w:val="00900036"/>
    <w:rsid w:val="009002FE"/>
    <w:rsid w:val="00903876"/>
    <w:rsid w:val="009040CE"/>
    <w:rsid w:val="009062A7"/>
    <w:rsid w:val="0090637F"/>
    <w:rsid w:val="0090654B"/>
    <w:rsid w:val="00910F40"/>
    <w:rsid w:val="00912C08"/>
    <w:rsid w:val="00913616"/>
    <w:rsid w:val="0091377B"/>
    <w:rsid w:val="0091547F"/>
    <w:rsid w:val="00915DCE"/>
    <w:rsid w:val="009204C2"/>
    <w:rsid w:val="009223CA"/>
    <w:rsid w:val="00930548"/>
    <w:rsid w:val="009319C9"/>
    <w:rsid w:val="009377CE"/>
    <w:rsid w:val="00937F60"/>
    <w:rsid w:val="0094095A"/>
    <w:rsid w:val="00940F93"/>
    <w:rsid w:val="00946696"/>
    <w:rsid w:val="00950A34"/>
    <w:rsid w:val="00951EAC"/>
    <w:rsid w:val="0095347F"/>
    <w:rsid w:val="00953BD9"/>
    <w:rsid w:val="009568BE"/>
    <w:rsid w:val="00956E3A"/>
    <w:rsid w:val="0096073F"/>
    <w:rsid w:val="00960911"/>
    <w:rsid w:val="0096325D"/>
    <w:rsid w:val="009633D7"/>
    <w:rsid w:val="00967F59"/>
    <w:rsid w:val="009701C4"/>
    <w:rsid w:val="00972C38"/>
    <w:rsid w:val="00973436"/>
    <w:rsid w:val="009735A8"/>
    <w:rsid w:val="00973F26"/>
    <w:rsid w:val="00974EF5"/>
    <w:rsid w:val="009760F3"/>
    <w:rsid w:val="009800FA"/>
    <w:rsid w:val="00980EA8"/>
    <w:rsid w:val="0098156D"/>
    <w:rsid w:val="009817F4"/>
    <w:rsid w:val="009873ED"/>
    <w:rsid w:val="009909F5"/>
    <w:rsid w:val="00990FCA"/>
    <w:rsid w:val="0099515D"/>
    <w:rsid w:val="00997AF5"/>
    <w:rsid w:val="009A014A"/>
    <w:rsid w:val="009A0E8D"/>
    <w:rsid w:val="009A19F8"/>
    <w:rsid w:val="009B0FC5"/>
    <w:rsid w:val="009B15A4"/>
    <w:rsid w:val="009B26E7"/>
    <w:rsid w:val="009B452F"/>
    <w:rsid w:val="009C162C"/>
    <w:rsid w:val="009C23B5"/>
    <w:rsid w:val="009C4FB2"/>
    <w:rsid w:val="009C60EB"/>
    <w:rsid w:val="009C6DFE"/>
    <w:rsid w:val="009D1E8D"/>
    <w:rsid w:val="009E2F54"/>
    <w:rsid w:val="009E3D9F"/>
    <w:rsid w:val="009E51FD"/>
    <w:rsid w:val="009E64D2"/>
    <w:rsid w:val="009E7D26"/>
    <w:rsid w:val="009F03D3"/>
    <w:rsid w:val="009F2AC1"/>
    <w:rsid w:val="009F5182"/>
    <w:rsid w:val="009F7636"/>
    <w:rsid w:val="00A00A3F"/>
    <w:rsid w:val="00A01489"/>
    <w:rsid w:val="00A018AB"/>
    <w:rsid w:val="00A039A7"/>
    <w:rsid w:val="00A03ED0"/>
    <w:rsid w:val="00A0760C"/>
    <w:rsid w:val="00A07A01"/>
    <w:rsid w:val="00A07D5E"/>
    <w:rsid w:val="00A14EA9"/>
    <w:rsid w:val="00A165F9"/>
    <w:rsid w:val="00A206FC"/>
    <w:rsid w:val="00A230A0"/>
    <w:rsid w:val="00A232DB"/>
    <w:rsid w:val="00A31B81"/>
    <w:rsid w:val="00A338F1"/>
    <w:rsid w:val="00A343D0"/>
    <w:rsid w:val="00A377A8"/>
    <w:rsid w:val="00A41A5C"/>
    <w:rsid w:val="00A42B98"/>
    <w:rsid w:val="00A44487"/>
    <w:rsid w:val="00A44615"/>
    <w:rsid w:val="00A447CC"/>
    <w:rsid w:val="00A46837"/>
    <w:rsid w:val="00A4728C"/>
    <w:rsid w:val="00A47874"/>
    <w:rsid w:val="00A52FFA"/>
    <w:rsid w:val="00A5690B"/>
    <w:rsid w:val="00A6006A"/>
    <w:rsid w:val="00A6318C"/>
    <w:rsid w:val="00A647C7"/>
    <w:rsid w:val="00A65032"/>
    <w:rsid w:val="00A70EA1"/>
    <w:rsid w:val="00A71B77"/>
    <w:rsid w:val="00A72C70"/>
    <w:rsid w:val="00A72F22"/>
    <w:rsid w:val="00A7360F"/>
    <w:rsid w:val="00A748A6"/>
    <w:rsid w:val="00A75355"/>
    <w:rsid w:val="00A76648"/>
    <w:rsid w:val="00A769F4"/>
    <w:rsid w:val="00A776B4"/>
    <w:rsid w:val="00A777C5"/>
    <w:rsid w:val="00A777CF"/>
    <w:rsid w:val="00A77B8E"/>
    <w:rsid w:val="00A77E9F"/>
    <w:rsid w:val="00A81D4E"/>
    <w:rsid w:val="00A82CEE"/>
    <w:rsid w:val="00A85EA0"/>
    <w:rsid w:val="00A86DC1"/>
    <w:rsid w:val="00A8797C"/>
    <w:rsid w:val="00A9008E"/>
    <w:rsid w:val="00A90E74"/>
    <w:rsid w:val="00A91A32"/>
    <w:rsid w:val="00A91CF0"/>
    <w:rsid w:val="00A94361"/>
    <w:rsid w:val="00A96A94"/>
    <w:rsid w:val="00A96BCF"/>
    <w:rsid w:val="00AA293C"/>
    <w:rsid w:val="00AA2D0D"/>
    <w:rsid w:val="00AA56FB"/>
    <w:rsid w:val="00AA672A"/>
    <w:rsid w:val="00AA6FA4"/>
    <w:rsid w:val="00AA79BE"/>
    <w:rsid w:val="00AB0648"/>
    <w:rsid w:val="00AB0E5D"/>
    <w:rsid w:val="00AB19FA"/>
    <w:rsid w:val="00AB2855"/>
    <w:rsid w:val="00AB45A3"/>
    <w:rsid w:val="00AB46A3"/>
    <w:rsid w:val="00AB4CA5"/>
    <w:rsid w:val="00AB5030"/>
    <w:rsid w:val="00AC2B3E"/>
    <w:rsid w:val="00AC4B52"/>
    <w:rsid w:val="00AC505B"/>
    <w:rsid w:val="00AC60F0"/>
    <w:rsid w:val="00AC6A0A"/>
    <w:rsid w:val="00AD46B8"/>
    <w:rsid w:val="00AD63AD"/>
    <w:rsid w:val="00AD6DE3"/>
    <w:rsid w:val="00AE1CFF"/>
    <w:rsid w:val="00AE3A93"/>
    <w:rsid w:val="00AE4730"/>
    <w:rsid w:val="00AE50CE"/>
    <w:rsid w:val="00AE55CB"/>
    <w:rsid w:val="00AE673B"/>
    <w:rsid w:val="00AF0412"/>
    <w:rsid w:val="00AF0BB7"/>
    <w:rsid w:val="00AF0FF6"/>
    <w:rsid w:val="00AF1A44"/>
    <w:rsid w:val="00AF2531"/>
    <w:rsid w:val="00AF3148"/>
    <w:rsid w:val="00AF34D9"/>
    <w:rsid w:val="00AF5CCF"/>
    <w:rsid w:val="00AF7286"/>
    <w:rsid w:val="00B00733"/>
    <w:rsid w:val="00B00885"/>
    <w:rsid w:val="00B03884"/>
    <w:rsid w:val="00B03EF4"/>
    <w:rsid w:val="00B04543"/>
    <w:rsid w:val="00B100D6"/>
    <w:rsid w:val="00B10640"/>
    <w:rsid w:val="00B1156E"/>
    <w:rsid w:val="00B11BC2"/>
    <w:rsid w:val="00B13E9B"/>
    <w:rsid w:val="00B16852"/>
    <w:rsid w:val="00B174D5"/>
    <w:rsid w:val="00B2280C"/>
    <w:rsid w:val="00B23D94"/>
    <w:rsid w:val="00B24142"/>
    <w:rsid w:val="00B25D3D"/>
    <w:rsid w:val="00B2683D"/>
    <w:rsid w:val="00B30179"/>
    <w:rsid w:val="00B31825"/>
    <w:rsid w:val="00B339A7"/>
    <w:rsid w:val="00B33ABD"/>
    <w:rsid w:val="00B41A37"/>
    <w:rsid w:val="00B41ACB"/>
    <w:rsid w:val="00B42976"/>
    <w:rsid w:val="00B461B0"/>
    <w:rsid w:val="00B46514"/>
    <w:rsid w:val="00B467BE"/>
    <w:rsid w:val="00B46DF7"/>
    <w:rsid w:val="00B47DB8"/>
    <w:rsid w:val="00B503FD"/>
    <w:rsid w:val="00B5178C"/>
    <w:rsid w:val="00B55522"/>
    <w:rsid w:val="00B56BB3"/>
    <w:rsid w:val="00B56E4A"/>
    <w:rsid w:val="00B56E9C"/>
    <w:rsid w:val="00B60318"/>
    <w:rsid w:val="00B60748"/>
    <w:rsid w:val="00B61A0C"/>
    <w:rsid w:val="00B64B1F"/>
    <w:rsid w:val="00B6524C"/>
    <w:rsid w:val="00B6553F"/>
    <w:rsid w:val="00B66E5E"/>
    <w:rsid w:val="00B721F8"/>
    <w:rsid w:val="00B76950"/>
    <w:rsid w:val="00B7702F"/>
    <w:rsid w:val="00B77D05"/>
    <w:rsid w:val="00B81206"/>
    <w:rsid w:val="00B8190A"/>
    <w:rsid w:val="00B81E12"/>
    <w:rsid w:val="00B85756"/>
    <w:rsid w:val="00B85AF8"/>
    <w:rsid w:val="00B86C63"/>
    <w:rsid w:val="00B9067B"/>
    <w:rsid w:val="00B915E0"/>
    <w:rsid w:val="00B94491"/>
    <w:rsid w:val="00B94959"/>
    <w:rsid w:val="00B95A99"/>
    <w:rsid w:val="00B96623"/>
    <w:rsid w:val="00B968B5"/>
    <w:rsid w:val="00B96F15"/>
    <w:rsid w:val="00B97074"/>
    <w:rsid w:val="00B97AFE"/>
    <w:rsid w:val="00BA0869"/>
    <w:rsid w:val="00BA434C"/>
    <w:rsid w:val="00BA5934"/>
    <w:rsid w:val="00BA68ED"/>
    <w:rsid w:val="00BB22D5"/>
    <w:rsid w:val="00BB4165"/>
    <w:rsid w:val="00BB5F17"/>
    <w:rsid w:val="00BB6283"/>
    <w:rsid w:val="00BC01E3"/>
    <w:rsid w:val="00BC1448"/>
    <w:rsid w:val="00BC2A2E"/>
    <w:rsid w:val="00BC2C23"/>
    <w:rsid w:val="00BC48F3"/>
    <w:rsid w:val="00BC5363"/>
    <w:rsid w:val="00BC5986"/>
    <w:rsid w:val="00BC6E5E"/>
    <w:rsid w:val="00BC74E9"/>
    <w:rsid w:val="00BC7A21"/>
    <w:rsid w:val="00BD4143"/>
    <w:rsid w:val="00BD6CE9"/>
    <w:rsid w:val="00BD7BE0"/>
    <w:rsid w:val="00BE26B2"/>
    <w:rsid w:val="00BE2716"/>
    <w:rsid w:val="00BE4F3F"/>
    <w:rsid w:val="00BE62B5"/>
    <w:rsid w:val="00BF0311"/>
    <w:rsid w:val="00BF4613"/>
    <w:rsid w:val="00BF61C5"/>
    <w:rsid w:val="00BF68A8"/>
    <w:rsid w:val="00BF72FD"/>
    <w:rsid w:val="00C022AC"/>
    <w:rsid w:val="00C02E7A"/>
    <w:rsid w:val="00C03937"/>
    <w:rsid w:val="00C04639"/>
    <w:rsid w:val="00C065DB"/>
    <w:rsid w:val="00C11092"/>
    <w:rsid w:val="00C11207"/>
    <w:rsid w:val="00C11870"/>
    <w:rsid w:val="00C11A03"/>
    <w:rsid w:val="00C1281E"/>
    <w:rsid w:val="00C144EC"/>
    <w:rsid w:val="00C20A72"/>
    <w:rsid w:val="00C21A7F"/>
    <w:rsid w:val="00C2284D"/>
    <w:rsid w:val="00C278B1"/>
    <w:rsid w:val="00C34926"/>
    <w:rsid w:val="00C40A3A"/>
    <w:rsid w:val="00C418BB"/>
    <w:rsid w:val="00C42190"/>
    <w:rsid w:val="00C423C6"/>
    <w:rsid w:val="00C43DA5"/>
    <w:rsid w:val="00C44D49"/>
    <w:rsid w:val="00C463DD"/>
    <w:rsid w:val="00C46474"/>
    <w:rsid w:val="00C4724C"/>
    <w:rsid w:val="00C47927"/>
    <w:rsid w:val="00C50356"/>
    <w:rsid w:val="00C50ECF"/>
    <w:rsid w:val="00C53963"/>
    <w:rsid w:val="00C54100"/>
    <w:rsid w:val="00C55779"/>
    <w:rsid w:val="00C56114"/>
    <w:rsid w:val="00C57253"/>
    <w:rsid w:val="00C57A10"/>
    <w:rsid w:val="00C606D3"/>
    <w:rsid w:val="00C61C48"/>
    <w:rsid w:val="00C629A0"/>
    <w:rsid w:val="00C677F0"/>
    <w:rsid w:val="00C70AC9"/>
    <w:rsid w:val="00C73736"/>
    <w:rsid w:val="00C745C3"/>
    <w:rsid w:val="00C76890"/>
    <w:rsid w:val="00C7728B"/>
    <w:rsid w:val="00C80234"/>
    <w:rsid w:val="00C803EC"/>
    <w:rsid w:val="00C819E8"/>
    <w:rsid w:val="00C8504E"/>
    <w:rsid w:val="00C85113"/>
    <w:rsid w:val="00C85893"/>
    <w:rsid w:val="00C95565"/>
    <w:rsid w:val="00CA45C8"/>
    <w:rsid w:val="00CB351A"/>
    <w:rsid w:val="00CB6D80"/>
    <w:rsid w:val="00CB6E28"/>
    <w:rsid w:val="00CC0BB4"/>
    <w:rsid w:val="00CC1273"/>
    <w:rsid w:val="00CE2C29"/>
    <w:rsid w:val="00CE4A8F"/>
    <w:rsid w:val="00CE64BD"/>
    <w:rsid w:val="00CE6795"/>
    <w:rsid w:val="00CE736B"/>
    <w:rsid w:val="00CF08B6"/>
    <w:rsid w:val="00CF1984"/>
    <w:rsid w:val="00CF2621"/>
    <w:rsid w:val="00CF39B7"/>
    <w:rsid w:val="00CF76D6"/>
    <w:rsid w:val="00D00555"/>
    <w:rsid w:val="00D02C2A"/>
    <w:rsid w:val="00D0422F"/>
    <w:rsid w:val="00D06AB9"/>
    <w:rsid w:val="00D06B7E"/>
    <w:rsid w:val="00D104F7"/>
    <w:rsid w:val="00D12158"/>
    <w:rsid w:val="00D1315B"/>
    <w:rsid w:val="00D13268"/>
    <w:rsid w:val="00D141CF"/>
    <w:rsid w:val="00D2031B"/>
    <w:rsid w:val="00D23303"/>
    <w:rsid w:val="00D257E7"/>
    <w:rsid w:val="00D25FE2"/>
    <w:rsid w:val="00D262D1"/>
    <w:rsid w:val="00D2637A"/>
    <w:rsid w:val="00D3001F"/>
    <w:rsid w:val="00D30034"/>
    <w:rsid w:val="00D334EC"/>
    <w:rsid w:val="00D35B7F"/>
    <w:rsid w:val="00D35FCA"/>
    <w:rsid w:val="00D36F37"/>
    <w:rsid w:val="00D403D6"/>
    <w:rsid w:val="00D43252"/>
    <w:rsid w:val="00D43E06"/>
    <w:rsid w:val="00D46C27"/>
    <w:rsid w:val="00D47EEA"/>
    <w:rsid w:val="00D501D0"/>
    <w:rsid w:val="00D509AE"/>
    <w:rsid w:val="00D51D6E"/>
    <w:rsid w:val="00D52833"/>
    <w:rsid w:val="00D52958"/>
    <w:rsid w:val="00D53BAD"/>
    <w:rsid w:val="00D543C9"/>
    <w:rsid w:val="00D6148A"/>
    <w:rsid w:val="00D6529E"/>
    <w:rsid w:val="00D729E4"/>
    <w:rsid w:val="00D73CB8"/>
    <w:rsid w:val="00D77140"/>
    <w:rsid w:val="00D80716"/>
    <w:rsid w:val="00D80EDF"/>
    <w:rsid w:val="00D864CC"/>
    <w:rsid w:val="00D874AC"/>
    <w:rsid w:val="00D90F93"/>
    <w:rsid w:val="00D913B0"/>
    <w:rsid w:val="00D9259F"/>
    <w:rsid w:val="00D94BB8"/>
    <w:rsid w:val="00D94CDD"/>
    <w:rsid w:val="00D95303"/>
    <w:rsid w:val="00D96E57"/>
    <w:rsid w:val="00D97597"/>
    <w:rsid w:val="00D975A7"/>
    <w:rsid w:val="00D978C6"/>
    <w:rsid w:val="00DA3111"/>
    <w:rsid w:val="00DA3C1C"/>
    <w:rsid w:val="00DA4BBB"/>
    <w:rsid w:val="00DA7099"/>
    <w:rsid w:val="00DB0C79"/>
    <w:rsid w:val="00DB2CE7"/>
    <w:rsid w:val="00DB2DBD"/>
    <w:rsid w:val="00DB5B2F"/>
    <w:rsid w:val="00DB5CFC"/>
    <w:rsid w:val="00DC0714"/>
    <w:rsid w:val="00DC14FC"/>
    <w:rsid w:val="00DC465A"/>
    <w:rsid w:val="00DC66DE"/>
    <w:rsid w:val="00DD0395"/>
    <w:rsid w:val="00DD2848"/>
    <w:rsid w:val="00DD471E"/>
    <w:rsid w:val="00DD55E6"/>
    <w:rsid w:val="00DD593B"/>
    <w:rsid w:val="00DD6DC8"/>
    <w:rsid w:val="00DE1DF6"/>
    <w:rsid w:val="00DE2D43"/>
    <w:rsid w:val="00DE79A8"/>
    <w:rsid w:val="00DE7F59"/>
    <w:rsid w:val="00DF0799"/>
    <w:rsid w:val="00DF528D"/>
    <w:rsid w:val="00E142AF"/>
    <w:rsid w:val="00E15CC1"/>
    <w:rsid w:val="00E16A70"/>
    <w:rsid w:val="00E171AC"/>
    <w:rsid w:val="00E17C73"/>
    <w:rsid w:val="00E209FD"/>
    <w:rsid w:val="00E21400"/>
    <w:rsid w:val="00E25E54"/>
    <w:rsid w:val="00E27346"/>
    <w:rsid w:val="00E31E79"/>
    <w:rsid w:val="00E34156"/>
    <w:rsid w:val="00E40A07"/>
    <w:rsid w:val="00E41BFE"/>
    <w:rsid w:val="00E41F7A"/>
    <w:rsid w:val="00E4363C"/>
    <w:rsid w:val="00E53D02"/>
    <w:rsid w:val="00E6074E"/>
    <w:rsid w:val="00E61088"/>
    <w:rsid w:val="00E632CC"/>
    <w:rsid w:val="00E64123"/>
    <w:rsid w:val="00E65396"/>
    <w:rsid w:val="00E65D7E"/>
    <w:rsid w:val="00E67325"/>
    <w:rsid w:val="00E71BC8"/>
    <w:rsid w:val="00E7260F"/>
    <w:rsid w:val="00E7310E"/>
    <w:rsid w:val="00E74206"/>
    <w:rsid w:val="00E7627C"/>
    <w:rsid w:val="00E76B4C"/>
    <w:rsid w:val="00E77185"/>
    <w:rsid w:val="00E779FC"/>
    <w:rsid w:val="00E8005B"/>
    <w:rsid w:val="00E81CBF"/>
    <w:rsid w:val="00E848D3"/>
    <w:rsid w:val="00E849B2"/>
    <w:rsid w:val="00E85728"/>
    <w:rsid w:val="00E86349"/>
    <w:rsid w:val="00E921CF"/>
    <w:rsid w:val="00E94466"/>
    <w:rsid w:val="00E96630"/>
    <w:rsid w:val="00EA0822"/>
    <w:rsid w:val="00EA31F7"/>
    <w:rsid w:val="00EB11F3"/>
    <w:rsid w:val="00EB1947"/>
    <w:rsid w:val="00EB2581"/>
    <w:rsid w:val="00EB2EC3"/>
    <w:rsid w:val="00EB2F62"/>
    <w:rsid w:val="00EB311E"/>
    <w:rsid w:val="00EB36C2"/>
    <w:rsid w:val="00EB4F28"/>
    <w:rsid w:val="00EB5373"/>
    <w:rsid w:val="00EC0ECA"/>
    <w:rsid w:val="00EC14EF"/>
    <w:rsid w:val="00EC4B91"/>
    <w:rsid w:val="00ED00FD"/>
    <w:rsid w:val="00ED64DF"/>
    <w:rsid w:val="00ED6970"/>
    <w:rsid w:val="00ED7A2A"/>
    <w:rsid w:val="00ED7E6E"/>
    <w:rsid w:val="00EE178F"/>
    <w:rsid w:val="00EE448F"/>
    <w:rsid w:val="00EE5C7E"/>
    <w:rsid w:val="00EE6929"/>
    <w:rsid w:val="00EF0235"/>
    <w:rsid w:val="00EF0C54"/>
    <w:rsid w:val="00EF1B91"/>
    <w:rsid w:val="00EF1D7A"/>
    <w:rsid w:val="00EF1D7F"/>
    <w:rsid w:val="00EF3514"/>
    <w:rsid w:val="00EF560D"/>
    <w:rsid w:val="00EF6703"/>
    <w:rsid w:val="00F01F3B"/>
    <w:rsid w:val="00F03190"/>
    <w:rsid w:val="00F035EA"/>
    <w:rsid w:val="00F03A99"/>
    <w:rsid w:val="00F0403F"/>
    <w:rsid w:val="00F04CDE"/>
    <w:rsid w:val="00F075CC"/>
    <w:rsid w:val="00F17BD5"/>
    <w:rsid w:val="00F20C3D"/>
    <w:rsid w:val="00F21FE3"/>
    <w:rsid w:val="00F22E3E"/>
    <w:rsid w:val="00F244AC"/>
    <w:rsid w:val="00F24F92"/>
    <w:rsid w:val="00F2653D"/>
    <w:rsid w:val="00F27EB2"/>
    <w:rsid w:val="00F3026E"/>
    <w:rsid w:val="00F31056"/>
    <w:rsid w:val="00F31242"/>
    <w:rsid w:val="00F34D48"/>
    <w:rsid w:val="00F35149"/>
    <w:rsid w:val="00F373CD"/>
    <w:rsid w:val="00F41576"/>
    <w:rsid w:val="00F41B9F"/>
    <w:rsid w:val="00F41F7D"/>
    <w:rsid w:val="00F4204E"/>
    <w:rsid w:val="00F4374D"/>
    <w:rsid w:val="00F43E9E"/>
    <w:rsid w:val="00F44820"/>
    <w:rsid w:val="00F479A0"/>
    <w:rsid w:val="00F52BE2"/>
    <w:rsid w:val="00F53964"/>
    <w:rsid w:val="00F53F5C"/>
    <w:rsid w:val="00F543E1"/>
    <w:rsid w:val="00F546EA"/>
    <w:rsid w:val="00F57604"/>
    <w:rsid w:val="00F576D8"/>
    <w:rsid w:val="00F60C3B"/>
    <w:rsid w:val="00F64D60"/>
    <w:rsid w:val="00F70D30"/>
    <w:rsid w:val="00F715CE"/>
    <w:rsid w:val="00F72A4B"/>
    <w:rsid w:val="00F748B6"/>
    <w:rsid w:val="00F80990"/>
    <w:rsid w:val="00F823BD"/>
    <w:rsid w:val="00F82653"/>
    <w:rsid w:val="00F82F23"/>
    <w:rsid w:val="00F8467B"/>
    <w:rsid w:val="00F85733"/>
    <w:rsid w:val="00F86121"/>
    <w:rsid w:val="00F8772A"/>
    <w:rsid w:val="00F87ECB"/>
    <w:rsid w:val="00F9057C"/>
    <w:rsid w:val="00F906D7"/>
    <w:rsid w:val="00F908D7"/>
    <w:rsid w:val="00F90FD3"/>
    <w:rsid w:val="00F91EEE"/>
    <w:rsid w:val="00F93781"/>
    <w:rsid w:val="00F9653B"/>
    <w:rsid w:val="00F9682C"/>
    <w:rsid w:val="00F96BA5"/>
    <w:rsid w:val="00FA1718"/>
    <w:rsid w:val="00FA7679"/>
    <w:rsid w:val="00FB0FFB"/>
    <w:rsid w:val="00FB148B"/>
    <w:rsid w:val="00FB2690"/>
    <w:rsid w:val="00FB2745"/>
    <w:rsid w:val="00FB4423"/>
    <w:rsid w:val="00FB45D9"/>
    <w:rsid w:val="00FB5EB5"/>
    <w:rsid w:val="00FB613B"/>
    <w:rsid w:val="00FB7390"/>
    <w:rsid w:val="00FB78D7"/>
    <w:rsid w:val="00FC0622"/>
    <w:rsid w:val="00FC07E1"/>
    <w:rsid w:val="00FC08C9"/>
    <w:rsid w:val="00FC65A0"/>
    <w:rsid w:val="00FC68B7"/>
    <w:rsid w:val="00FD0381"/>
    <w:rsid w:val="00FD28AF"/>
    <w:rsid w:val="00FD44EB"/>
    <w:rsid w:val="00FD4F04"/>
    <w:rsid w:val="00FD4FB8"/>
    <w:rsid w:val="00FD61DA"/>
    <w:rsid w:val="00FD7CD0"/>
    <w:rsid w:val="00FE0161"/>
    <w:rsid w:val="00FE106A"/>
    <w:rsid w:val="00FE2460"/>
    <w:rsid w:val="00FE2B82"/>
    <w:rsid w:val="00FE312E"/>
    <w:rsid w:val="00FE5BA0"/>
    <w:rsid w:val="00FF0000"/>
    <w:rsid w:val="00FF4B37"/>
    <w:rsid w:val="00FF4BF4"/>
    <w:rsid w:val="00FF5924"/>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46151-EF91-48AA-BFE3-7703398A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CB6D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08366123">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10728181">
      <w:bodyDiv w:val="1"/>
      <w:marLeft w:val="0"/>
      <w:marRight w:val="0"/>
      <w:marTop w:val="0"/>
      <w:marBottom w:val="0"/>
      <w:divBdr>
        <w:top w:val="none" w:sz="0" w:space="0" w:color="auto"/>
        <w:left w:val="none" w:sz="0" w:space="0" w:color="auto"/>
        <w:bottom w:val="none" w:sz="0" w:space="0" w:color="auto"/>
        <w:right w:val="none" w:sz="0" w:space="0" w:color="auto"/>
      </w:divBdr>
      <w:divsChild>
        <w:div w:id="396174036">
          <w:marLeft w:val="0"/>
          <w:marRight w:val="0"/>
          <w:marTop w:val="0"/>
          <w:marBottom w:val="0"/>
          <w:divBdr>
            <w:top w:val="none" w:sz="0" w:space="0" w:color="auto"/>
            <w:left w:val="none" w:sz="0" w:space="0" w:color="auto"/>
            <w:bottom w:val="none" w:sz="0" w:space="0" w:color="auto"/>
            <w:right w:val="none" w:sz="0" w:space="0" w:color="auto"/>
          </w:divBdr>
          <w:divsChild>
            <w:div w:id="1742485722">
              <w:marLeft w:val="0"/>
              <w:marRight w:val="0"/>
              <w:marTop w:val="0"/>
              <w:marBottom w:val="0"/>
              <w:divBdr>
                <w:top w:val="none" w:sz="0" w:space="0" w:color="auto"/>
                <w:left w:val="none" w:sz="0" w:space="0" w:color="auto"/>
                <w:bottom w:val="none" w:sz="0" w:space="0" w:color="auto"/>
                <w:right w:val="none" w:sz="0" w:space="0" w:color="auto"/>
              </w:divBdr>
              <w:divsChild>
                <w:div w:id="1582904973">
                  <w:marLeft w:val="0"/>
                  <w:marRight w:val="0"/>
                  <w:marTop w:val="0"/>
                  <w:marBottom w:val="0"/>
                  <w:divBdr>
                    <w:top w:val="none" w:sz="0" w:space="0" w:color="auto"/>
                    <w:left w:val="none" w:sz="0" w:space="0" w:color="auto"/>
                    <w:bottom w:val="none" w:sz="0" w:space="0" w:color="auto"/>
                    <w:right w:val="none" w:sz="0" w:space="0" w:color="auto"/>
                  </w:divBdr>
                  <w:divsChild>
                    <w:div w:id="399980534">
                      <w:marLeft w:val="0"/>
                      <w:marRight w:val="0"/>
                      <w:marTop w:val="0"/>
                      <w:marBottom w:val="0"/>
                      <w:divBdr>
                        <w:top w:val="none" w:sz="0" w:space="0" w:color="auto"/>
                        <w:left w:val="none" w:sz="0" w:space="0" w:color="auto"/>
                        <w:bottom w:val="none" w:sz="0" w:space="0" w:color="auto"/>
                        <w:right w:val="none" w:sz="0" w:space="0" w:color="auto"/>
                      </w:divBdr>
                      <w:divsChild>
                        <w:div w:id="2110225671">
                          <w:marLeft w:val="0"/>
                          <w:marRight w:val="0"/>
                          <w:marTop w:val="0"/>
                          <w:marBottom w:val="0"/>
                          <w:divBdr>
                            <w:top w:val="none" w:sz="0" w:space="0" w:color="auto"/>
                            <w:left w:val="none" w:sz="0" w:space="0" w:color="auto"/>
                            <w:bottom w:val="single" w:sz="6" w:space="0" w:color="FFFFFF"/>
                            <w:right w:val="none" w:sz="0" w:space="0" w:color="auto"/>
                          </w:divBdr>
                          <w:divsChild>
                            <w:div w:id="2087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41751392">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675842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57125242">
      <w:bodyDiv w:val="1"/>
      <w:marLeft w:val="0"/>
      <w:marRight w:val="0"/>
      <w:marTop w:val="0"/>
      <w:marBottom w:val="0"/>
      <w:divBdr>
        <w:top w:val="none" w:sz="0" w:space="0" w:color="auto"/>
        <w:left w:val="none" w:sz="0" w:space="0" w:color="auto"/>
        <w:bottom w:val="none" w:sz="0" w:space="0" w:color="auto"/>
        <w:right w:val="none" w:sz="0" w:space="0" w:color="auto"/>
      </w:divBdr>
    </w:div>
    <w:div w:id="1065836472">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45203722">
      <w:bodyDiv w:val="1"/>
      <w:marLeft w:val="0"/>
      <w:marRight w:val="0"/>
      <w:marTop w:val="0"/>
      <w:marBottom w:val="0"/>
      <w:divBdr>
        <w:top w:val="none" w:sz="0" w:space="0" w:color="auto"/>
        <w:left w:val="none" w:sz="0" w:space="0" w:color="auto"/>
        <w:bottom w:val="none" w:sz="0" w:space="0" w:color="auto"/>
        <w:right w:val="none" w:sz="0" w:space="0" w:color="auto"/>
      </w:divBdr>
    </w:div>
    <w:div w:id="1401750105">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25751748">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20306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hudoc.echr.coe.int/sites/eng/Pages/search.aspx" TargetMode="External"/><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8A7D-39B7-4242-B2E1-9890811B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12</Pages>
  <Words>5464</Words>
  <Characters>31151</Characters>
  <Application>Microsoft Office Word</Application>
  <DocSecurity>0</DocSecurity>
  <Lines>259</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36542</CharactersWithSpaces>
  <SharedDoc>false</SharedDoc>
  <HLinks>
    <vt:vector size="12" baseType="variant">
      <vt:variant>
        <vt:i4>5439570</vt:i4>
      </vt:variant>
      <vt:variant>
        <vt:i4>3</vt:i4>
      </vt:variant>
      <vt:variant>
        <vt:i4>0</vt:i4>
      </vt:variant>
      <vt:variant>
        <vt:i4>5</vt:i4>
      </vt:variant>
      <vt:variant>
        <vt:lpwstr>http://hudoc.echr.coe.int/sites/eng/Pages/search.aspx</vt:lpwstr>
      </vt:variant>
      <vt:variant>
        <vt:lpwstr>{"appno":["57834/00"]}</vt:lpwstr>
      </vt:variant>
      <vt:variant>
        <vt:i4>5701722</vt:i4>
      </vt:variant>
      <vt:variant>
        <vt:i4>0</vt:i4>
      </vt:variant>
      <vt:variant>
        <vt:i4>0</vt:i4>
      </vt:variant>
      <vt:variant>
        <vt:i4>5</vt:i4>
      </vt:variant>
      <vt:variant>
        <vt:lpwstr>http://hudoc.echr.coe.int/sites/eng/Pages/search.aspx</vt:lpwstr>
      </vt:variant>
      <vt:variant>
        <vt:lpwstr>{"appno":["33097/96"]}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2015-05-07T14:01:00Z</cp:lastPrinted>
  <dcterms:created xsi:type="dcterms:W3CDTF">2017-01-24T22:42:00Z</dcterms:created>
  <dcterms:modified xsi:type="dcterms:W3CDTF">2017-01-24T22:42:00Z</dcterms:modified>
</cp:coreProperties>
</file>