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5402B" w:rsidRPr="00DB58B5" w14:paraId="2D1D6242" w14:textId="77777777" w:rsidTr="00375ECD">
        <w:trPr>
          <w:trHeight w:hRule="exact" w:val="851"/>
        </w:trPr>
        <w:tc>
          <w:tcPr>
            <w:tcW w:w="1276" w:type="dxa"/>
            <w:tcBorders>
              <w:bottom w:val="single" w:sz="4" w:space="0" w:color="auto"/>
            </w:tcBorders>
          </w:tcPr>
          <w:p w14:paraId="3F306C92" w14:textId="77777777" w:rsidR="00F5402B" w:rsidRPr="00DB58B5" w:rsidRDefault="00F5402B" w:rsidP="00F5402B">
            <w:bookmarkStart w:id="0" w:name="_GoBack"/>
            <w:bookmarkEnd w:id="0"/>
          </w:p>
        </w:tc>
        <w:tc>
          <w:tcPr>
            <w:tcW w:w="2268" w:type="dxa"/>
            <w:tcBorders>
              <w:bottom w:val="single" w:sz="4" w:space="0" w:color="auto"/>
            </w:tcBorders>
            <w:vAlign w:val="bottom"/>
          </w:tcPr>
          <w:p w14:paraId="3FC1FDEC" w14:textId="77777777" w:rsidR="00F5402B" w:rsidRPr="00DB58B5" w:rsidRDefault="00F5402B" w:rsidP="00F5402B">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0371B42" w14:textId="334FA2D6" w:rsidR="00F5402B" w:rsidRPr="009E64C9" w:rsidRDefault="009E64C9" w:rsidP="009E64C9">
            <w:pPr>
              <w:jc w:val="right"/>
            </w:pPr>
            <w:r w:rsidRPr="009E64C9">
              <w:rPr>
                <w:sz w:val="40"/>
                <w:szCs w:val="40"/>
              </w:rPr>
              <w:t>CAT</w:t>
            </w:r>
            <w:r>
              <w:rPr>
                <w:szCs w:val="40"/>
              </w:rPr>
              <w:t>/C/62/D/675/2015</w:t>
            </w:r>
          </w:p>
        </w:tc>
      </w:tr>
      <w:tr w:rsidR="00F5402B" w:rsidRPr="00DB58B5" w14:paraId="71FEAE91" w14:textId="77777777" w:rsidTr="00375ECD">
        <w:trPr>
          <w:trHeight w:hRule="exact" w:val="2835"/>
        </w:trPr>
        <w:tc>
          <w:tcPr>
            <w:tcW w:w="1276" w:type="dxa"/>
            <w:tcBorders>
              <w:top w:val="single" w:sz="4" w:space="0" w:color="auto"/>
              <w:bottom w:val="single" w:sz="12" w:space="0" w:color="auto"/>
            </w:tcBorders>
          </w:tcPr>
          <w:p w14:paraId="5B4F490E" w14:textId="6484BD6D" w:rsidR="00F5402B" w:rsidRPr="00DB58B5" w:rsidRDefault="00666F48" w:rsidP="00F5402B">
            <w:pPr>
              <w:spacing w:before="120"/>
              <w:jc w:val="center"/>
            </w:pPr>
            <w:r>
              <w:rPr>
                <w:noProof/>
                <w:lang w:val="en-US"/>
              </w:rPr>
              <w:drawing>
                <wp:inline distT="0" distB="0" distL="0" distR="0" wp14:anchorId="39BEDB91" wp14:editId="70CF8741">
                  <wp:extent cx="714375" cy="59055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B27814" w14:textId="77777777" w:rsidR="00F5402B" w:rsidRPr="00740562" w:rsidRDefault="00F5402B" w:rsidP="00F5402B">
            <w:pPr>
              <w:spacing w:before="120" w:line="380" w:lineRule="exact"/>
              <w:rPr>
                <w:b/>
                <w:sz w:val="40"/>
                <w:szCs w:val="40"/>
              </w:rPr>
            </w:pPr>
            <w:r w:rsidRPr="0027083C">
              <w:rPr>
                <w:b/>
                <w:sz w:val="34"/>
                <w:szCs w:val="34"/>
              </w:rPr>
              <w:t>Convention contre</w:t>
            </w:r>
            <w:r w:rsidRPr="0027083C">
              <w:rPr>
                <w:b/>
                <w:sz w:val="34"/>
                <w:szCs w:val="34"/>
              </w:rPr>
              <w:br/>
              <w:t>la torture et autres peines</w:t>
            </w:r>
            <w:r w:rsidRPr="0027083C">
              <w:rPr>
                <w:b/>
                <w:sz w:val="34"/>
                <w:szCs w:val="34"/>
              </w:rPr>
              <w:br/>
              <w:t>ou traitements cruels,</w:t>
            </w:r>
            <w:r w:rsidRPr="0027083C">
              <w:rPr>
                <w:b/>
                <w:sz w:val="34"/>
                <w:szCs w:val="34"/>
              </w:rPr>
              <w:br/>
              <w:t>inhumains ou dégradants</w:t>
            </w:r>
          </w:p>
        </w:tc>
        <w:tc>
          <w:tcPr>
            <w:tcW w:w="2835" w:type="dxa"/>
            <w:tcBorders>
              <w:top w:val="single" w:sz="4" w:space="0" w:color="auto"/>
              <w:bottom w:val="single" w:sz="12" w:space="0" w:color="auto"/>
            </w:tcBorders>
          </w:tcPr>
          <w:p w14:paraId="58B55082" w14:textId="072EF1A9" w:rsidR="00F5402B" w:rsidRDefault="00F5402B" w:rsidP="00F5402B">
            <w:pPr>
              <w:spacing w:before="240"/>
            </w:pPr>
            <w:r>
              <w:t xml:space="preserve">Distr. </w:t>
            </w:r>
            <w:r w:rsidR="00C20A27">
              <w:t>g</w:t>
            </w:r>
            <w:r w:rsidR="00E16280">
              <w:t>énérale</w:t>
            </w:r>
          </w:p>
          <w:p w14:paraId="3EDE82BD" w14:textId="1C51FFF0" w:rsidR="00F5402B" w:rsidRDefault="00D7210C" w:rsidP="00F5402B">
            <w:pPr>
              <w:spacing w:line="240" w:lineRule="exact"/>
            </w:pPr>
            <w:r>
              <w:t>22</w:t>
            </w:r>
            <w:r w:rsidR="00271371">
              <w:t xml:space="preserve"> </w:t>
            </w:r>
            <w:r w:rsidR="00B004DB">
              <w:t xml:space="preserve">janvier </w:t>
            </w:r>
            <w:r w:rsidR="00CD1F86">
              <w:t>201</w:t>
            </w:r>
            <w:r w:rsidR="00B004DB">
              <w:t>8</w:t>
            </w:r>
            <w:r w:rsidR="00CD1F86">
              <w:t xml:space="preserve"> </w:t>
            </w:r>
          </w:p>
          <w:p w14:paraId="720C22EC" w14:textId="77777777" w:rsidR="00747D9C" w:rsidRDefault="00747D9C" w:rsidP="00F5402B">
            <w:pPr>
              <w:spacing w:line="240" w:lineRule="exact"/>
            </w:pPr>
          </w:p>
          <w:p w14:paraId="34AA40ED" w14:textId="77777777" w:rsidR="00F5402B" w:rsidRDefault="00247024" w:rsidP="00F5402B">
            <w:pPr>
              <w:spacing w:line="240" w:lineRule="exact"/>
            </w:pPr>
            <w:r>
              <w:t>Original : français</w:t>
            </w:r>
          </w:p>
          <w:p w14:paraId="02898D4F" w14:textId="10D4644B" w:rsidR="00F5402B" w:rsidRPr="00DB58B5" w:rsidRDefault="00F5402B" w:rsidP="00F5402B">
            <w:pPr>
              <w:spacing w:line="240" w:lineRule="exact"/>
            </w:pPr>
          </w:p>
        </w:tc>
      </w:tr>
    </w:tbl>
    <w:p w14:paraId="527BEA96" w14:textId="77777777" w:rsidR="00F5402B" w:rsidRDefault="00F5402B" w:rsidP="00F5402B">
      <w:pPr>
        <w:spacing w:before="120" w:line="240" w:lineRule="exact"/>
        <w:rPr>
          <w:b/>
          <w:sz w:val="24"/>
          <w:szCs w:val="24"/>
        </w:rPr>
      </w:pPr>
      <w:r w:rsidRPr="00FD511F">
        <w:rPr>
          <w:b/>
          <w:sz w:val="24"/>
          <w:szCs w:val="24"/>
        </w:rPr>
        <w:t xml:space="preserve">Comité </w:t>
      </w:r>
      <w:r>
        <w:rPr>
          <w:b/>
          <w:sz w:val="24"/>
          <w:szCs w:val="24"/>
        </w:rPr>
        <w:t>contre la torture</w:t>
      </w:r>
    </w:p>
    <w:p w14:paraId="4E5C8D85" w14:textId="77B3071C" w:rsidR="00F5402B" w:rsidRPr="007C602A" w:rsidRDefault="00F5402B" w:rsidP="00801166">
      <w:pPr>
        <w:pStyle w:val="HChG"/>
      </w:pPr>
      <w:r w:rsidRPr="007C602A">
        <w:rPr>
          <w:lang w:val="fr-FR"/>
        </w:rPr>
        <w:tab/>
      </w:r>
      <w:r w:rsidRPr="007C602A">
        <w:rPr>
          <w:lang w:val="fr-FR"/>
        </w:rPr>
        <w:tab/>
      </w:r>
      <w:r w:rsidR="008E1DF4">
        <w:rPr>
          <w:lang w:val="fr-FR"/>
        </w:rPr>
        <w:tab/>
      </w:r>
      <w:r w:rsidR="00002D23" w:rsidRPr="006D3995">
        <w:rPr>
          <w:lang w:val="fr-FR"/>
        </w:rPr>
        <w:t xml:space="preserve">Décision adoptée par le Comité </w:t>
      </w:r>
      <w:r w:rsidR="00CF087D">
        <w:rPr>
          <w:lang w:val="fr-FR"/>
        </w:rPr>
        <w:t xml:space="preserve">au titre de l’article 22 de la Convention, concernant la communication </w:t>
      </w:r>
      <w:r w:rsidR="00CF087D" w:rsidRPr="007C602A">
        <w:rPr>
          <w:lang w:val="fr-FR"/>
        </w:rPr>
        <w:t>n</w:t>
      </w:r>
      <w:r w:rsidR="00CF087D" w:rsidRPr="007C602A">
        <w:rPr>
          <w:vertAlign w:val="superscript"/>
          <w:lang w:val="fr-FR"/>
        </w:rPr>
        <w:t>o</w:t>
      </w:r>
      <w:r w:rsidR="00CF087D">
        <w:rPr>
          <w:lang w:val="fr-FR"/>
        </w:rPr>
        <w:t> 675/2015</w:t>
      </w:r>
      <w:r w:rsidR="00D5517A" w:rsidRPr="00801166">
        <w:rPr>
          <w:rStyle w:val="FootnoteReference"/>
          <w:b w:val="0"/>
          <w:sz w:val="20"/>
          <w:vertAlign w:val="baseline"/>
        </w:rPr>
        <w:footnoteReference w:customMarkFollows="1" w:id="2"/>
        <w:t>*</w:t>
      </w:r>
      <w:r w:rsidR="007817C1" w:rsidRPr="00801166">
        <w:rPr>
          <w:b w:val="0"/>
          <w:position w:val="4"/>
          <w:sz w:val="20"/>
        </w:rPr>
        <w:t>,</w:t>
      </w:r>
      <w:r w:rsidR="00CF087D" w:rsidRPr="00801166">
        <w:rPr>
          <w:b w:val="0"/>
          <w:sz w:val="20"/>
          <w:lang w:val="fr-FR"/>
        </w:rPr>
        <w:t xml:space="preserve"> </w:t>
      </w:r>
      <w:r w:rsidR="007817C1" w:rsidRPr="00801166">
        <w:rPr>
          <w:rStyle w:val="FootnoteReference"/>
          <w:b w:val="0"/>
          <w:sz w:val="20"/>
          <w:vertAlign w:val="baseline"/>
        </w:rPr>
        <w:footnoteReference w:customMarkFollows="1" w:id="3"/>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F5402B" w14:paraId="1A5C068A" w14:textId="77777777" w:rsidTr="00801166">
        <w:tc>
          <w:tcPr>
            <w:tcW w:w="3402" w:type="dxa"/>
          </w:tcPr>
          <w:p w14:paraId="4FAE10BD" w14:textId="77777777" w:rsidR="00F5402B" w:rsidRDefault="00F5402B" w:rsidP="00747D9C">
            <w:pPr>
              <w:pStyle w:val="SingleTxtG"/>
              <w:tabs>
                <w:tab w:val="left" w:pos="549"/>
                <w:tab w:val="left" w:pos="1104"/>
              </w:tabs>
              <w:ind w:left="0" w:right="0"/>
              <w:jc w:val="left"/>
              <w:rPr>
                <w:i/>
              </w:rPr>
            </w:pPr>
            <w:r>
              <w:rPr>
                <w:i/>
              </w:rPr>
              <w:t>Communication p</w:t>
            </w:r>
            <w:r w:rsidRPr="00FD511F">
              <w:rPr>
                <w:i/>
              </w:rPr>
              <w:t>résentée par</w:t>
            </w:r>
            <w:r>
              <w:t> :</w:t>
            </w:r>
          </w:p>
        </w:tc>
        <w:tc>
          <w:tcPr>
            <w:tcW w:w="3969" w:type="dxa"/>
          </w:tcPr>
          <w:p w14:paraId="63C5124D" w14:textId="2A24A89F" w:rsidR="00F5402B" w:rsidRPr="00AE68FC" w:rsidRDefault="00F132A5">
            <w:pPr>
              <w:pStyle w:val="SingleTxtG"/>
              <w:ind w:left="0" w:right="0"/>
              <w:jc w:val="left"/>
            </w:pPr>
            <w:r>
              <w:rPr>
                <w:lang w:val="fr-FR"/>
              </w:rPr>
              <w:t>Mikel Kabikoitz Carrera Sarobe</w:t>
            </w:r>
            <w:r w:rsidR="002B2088">
              <w:rPr>
                <w:lang w:val="fr-FR"/>
              </w:rPr>
              <w:t xml:space="preserve"> (représenté par M</w:t>
            </w:r>
            <w:r w:rsidR="004F1AB9" w:rsidRPr="00801166">
              <w:rPr>
                <w:vertAlign w:val="superscript"/>
                <w:lang w:val="fr-FR"/>
              </w:rPr>
              <w:t>e</w:t>
            </w:r>
            <w:r w:rsidR="004F1AB9">
              <w:rPr>
                <w:lang w:val="fr-FR"/>
              </w:rPr>
              <w:t> </w:t>
            </w:r>
            <w:r w:rsidR="002B2088">
              <w:rPr>
                <w:lang w:val="fr-FR"/>
              </w:rPr>
              <w:t>Xantiana Cachenaut)</w:t>
            </w:r>
          </w:p>
        </w:tc>
      </w:tr>
      <w:tr w:rsidR="00F5402B" w14:paraId="2E92C394" w14:textId="77777777" w:rsidTr="00801166">
        <w:tc>
          <w:tcPr>
            <w:tcW w:w="3402" w:type="dxa"/>
          </w:tcPr>
          <w:p w14:paraId="5773AB8E" w14:textId="77777777" w:rsidR="00F5402B" w:rsidRPr="00FD511F" w:rsidRDefault="00F5402B" w:rsidP="00F5402B">
            <w:pPr>
              <w:pStyle w:val="SingleTxtG"/>
              <w:ind w:left="0" w:right="0"/>
              <w:jc w:val="left"/>
              <w:rPr>
                <w:i/>
              </w:rPr>
            </w:pPr>
            <w:r w:rsidRPr="00FD511F">
              <w:rPr>
                <w:i/>
              </w:rPr>
              <w:t>Au nom de</w:t>
            </w:r>
            <w:r>
              <w:t> :</w:t>
            </w:r>
          </w:p>
        </w:tc>
        <w:tc>
          <w:tcPr>
            <w:tcW w:w="3969" w:type="dxa"/>
          </w:tcPr>
          <w:p w14:paraId="0B89551C" w14:textId="5B65A185" w:rsidR="00F5402B" w:rsidRDefault="00AE4F23" w:rsidP="00AE4F23">
            <w:pPr>
              <w:pStyle w:val="SingleTxtG"/>
              <w:ind w:left="0" w:right="0"/>
              <w:jc w:val="left"/>
            </w:pPr>
            <w:r>
              <w:rPr>
                <w:lang w:val="fr-FR"/>
              </w:rPr>
              <w:t>Le requérant</w:t>
            </w:r>
          </w:p>
        </w:tc>
      </w:tr>
      <w:tr w:rsidR="00F5402B" w14:paraId="65D5F487" w14:textId="77777777" w:rsidTr="00801166">
        <w:tc>
          <w:tcPr>
            <w:tcW w:w="3402" w:type="dxa"/>
          </w:tcPr>
          <w:p w14:paraId="4F65C547" w14:textId="77777777" w:rsidR="00F5402B" w:rsidRPr="00FD511F" w:rsidRDefault="00F5402B" w:rsidP="00F5402B">
            <w:pPr>
              <w:pStyle w:val="SingleTxtG"/>
              <w:ind w:left="0" w:right="0"/>
              <w:jc w:val="left"/>
              <w:rPr>
                <w:i/>
              </w:rPr>
            </w:pPr>
            <w:r w:rsidRPr="00FD511F">
              <w:rPr>
                <w:i/>
              </w:rPr>
              <w:t>État partie</w:t>
            </w:r>
            <w:r>
              <w:t> :</w:t>
            </w:r>
          </w:p>
        </w:tc>
        <w:tc>
          <w:tcPr>
            <w:tcW w:w="3969" w:type="dxa"/>
          </w:tcPr>
          <w:p w14:paraId="0E4E1DB2" w14:textId="77777777" w:rsidR="00F5402B" w:rsidRDefault="00245786" w:rsidP="00FE6F4F">
            <w:pPr>
              <w:pStyle w:val="SingleTxtG"/>
              <w:ind w:left="0" w:right="0"/>
              <w:jc w:val="left"/>
            </w:pPr>
            <w:r>
              <w:rPr>
                <w:lang w:val="fr-FR"/>
              </w:rPr>
              <w:t>France</w:t>
            </w:r>
          </w:p>
        </w:tc>
      </w:tr>
      <w:tr w:rsidR="00F5402B" w14:paraId="3F7A8820" w14:textId="77777777" w:rsidTr="00801166">
        <w:tc>
          <w:tcPr>
            <w:tcW w:w="3402" w:type="dxa"/>
          </w:tcPr>
          <w:p w14:paraId="5C12C817" w14:textId="77777777" w:rsidR="00F5402B" w:rsidRPr="00FD511F" w:rsidRDefault="00F5402B" w:rsidP="00F5402B">
            <w:pPr>
              <w:pStyle w:val="SingleTxtG"/>
              <w:ind w:left="0" w:right="0"/>
              <w:jc w:val="left"/>
              <w:rPr>
                <w:i/>
              </w:rPr>
            </w:pPr>
            <w:r w:rsidRPr="00FD511F">
              <w:rPr>
                <w:i/>
              </w:rPr>
              <w:t xml:space="preserve">Date de la </w:t>
            </w:r>
            <w:r>
              <w:rPr>
                <w:i/>
              </w:rPr>
              <w:t>requête</w:t>
            </w:r>
            <w:r>
              <w:t> :</w:t>
            </w:r>
          </w:p>
        </w:tc>
        <w:tc>
          <w:tcPr>
            <w:tcW w:w="3969" w:type="dxa"/>
          </w:tcPr>
          <w:p w14:paraId="57930D85" w14:textId="77777777" w:rsidR="00F5402B" w:rsidRDefault="00F132A5" w:rsidP="00F132A5">
            <w:pPr>
              <w:pStyle w:val="SingleTxtG"/>
              <w:ind w:left="0" w:right="0"/>
              <w:jc w:val="left"/>
            </w:pPr>
            <w:r>
              <w:rPr>
                <w:lang w:val="fr-FR"/>
              </w:rPr>
              <w:t xml:space="preserve">24 février 2015 </w:t>
            </w:r>
            <w:r w:rsidR="00F5402B" w:rsidRPr="007C602A">
              <w:rPr>
                <w:lang w:val="fr-FR"/>
              </w:rPr>
              <w:t>(date de la lettre initiale)</w:t>
            </w:r>
          </w:p>
        </w:tc>
      </w:tr>
      <w:tr w:rsidR="00F5402B" w14:paraId="4F2A243D" w14:textId="77777777" w:rsidTr="00801166">
        <w:tc>
          <w:tcPr>
            <w:tcW w:w="3402" w:type="dxa"/>
          </w:tcPr>
          <w:p w14:paraId="5AC5012D" w14:textId="77777777" w:rsidR="00F5402B" w:rsidRPr="00FD511F" w:rsidRDefault="00F5402B" w:rsidP="00F5402B">
            <w:pPr>
              <w:pStyle w:val="SingleTxtG"/>
              <w:ind w:left="0" w:right="0"/>
              <w:jc w:val="left"/>
              <w:rPr>
                <w:i/>
              </w:rPr>
            </w:pPr>
            <w:r w:rsidRPr="00FD511F">
              <w:rPr>
                <w:i/>
              </w:rPr>
              <w:t xml:space="preserve">Date de </w:t>
            </w:r>
            <w:r>
              <w:rPr>
                <w:i/>
              </w:rPr>
              <w:t>la présente décision</w:t>
            </w:r>
            <w:r>
              <w:t> :</w:t>
            </w:r>
          </w:p>
        </w:tc>
        <w:tc>
          <w:tcPr>
            <w:tcW w:w="3969" w:type="dxa"/>
            <w:vAlign w:val="bottom"/>
          </w:tcPr>
          <w:p w14:paraId="52CAF51C" w14:textId="3DF1FA17" w:rsidR="00F5402B" w:rsidRDefault="00002D23" w:rsidP="001C43C9">
            <w:pPr>
              <w:pStyle w:val="SingleTxtG"/>
              <w:ind w:left="0" w:right="0"/>
              <w:jc w:val="left"/>
            </w:pPr>
            <w:r>
              <w:rPr>
                <w:lang w:val="fr-FR"/>
              </w:rPr>
              <w:t>10 novembre</w:t>
            </w:r>
            <w:r w:rsidRPr="007C602A">
              <w:rPr>
                <w:lang w:val="fr-FR"/>
              </w:rPr>
              <w:t xml:space="preserve"> </w:t>
            </w:r>
            <w:r w:rsidR="00F5402B" w:rsidRPr="007C602A">
              <w:rPr>
                <w:lang w:val="fr-FR"/>
              </w:rPr>
              <w:t>2017</w:t>
            </w:r>
          </w:p>
        </w:tc>
      </w:tr>
      <w:tr w:rsidR="00F5402B" w14:paraId="180BF385" w14:textId="77777777" w:rsidTr="00801166">
        <w:tc>
          <w:tcPr>
            <w:tcW w:w="3402" w:type="dxa"/>
          </w:tcPr>
          <w:p w14:paraId="1EBD15AC" w14:textId="77777777" w:rsidR="00F5402B" w:rsidRPr="00E472B5" w:rsidRDefault="00F5402B" w:rsidP="00F5402B">
            <w:pPr>
              <w:pStyle w:val="SingleTxtG"/>
              <w:ind w:left="0" w:right="0"/>
              <w:jc w:val="left"/>
            </w:pPr>
            <w:r>
              <w:rPr>
                <w:i/>
              </w:rPr>
              <w:t>Objet</w:t>
            </w:r>
            <w:r>
              <w:t> :</w:t>
            </w:r>
          </w:p>
        </w:tc>
        <w:tc>
          <w:tcPr>
            <w:tcW w:w="3969" w:type="dxa"/>
            <w:vAlign w:val="bottom"/>
          </w:tcPr>
          <w:p w14:paraId="56F53555" w14:textId="77777777" w:rsidR="00F5402B" w:rsidRDefault="00C62B56" w:rsidP="00F5402B">
            <w:pPr>
              <w:pStyle w:val="SingleTxtG"/>
              <w:ind w:left="0" w:right="0"/>
              <w:jc w:val="left"/>
            </w:pPr>
            <w:r>
              <w:rPr>
                <w:lang w:val="fr-FR"/>
              </w:rPr>
              <w:t>Remise aux autorités espagnoles dans le cadre d’un mandat d’arrêt européen</w:t>
            </w:r>
          </w:p>
        </w:tc>
      </w:tr>
      <w:tr w:rsidR="00F5402B" w14:paraId="43306D6C" w14:textId="77777777" w:rsidTr="00801166">
        <w:tc>
          <w:tcPr>
            <w:tcW w:w="3402" w:type="dxa"/>
          </w:tcPr>
          <w:p w14:paraId="1D89EF8A" w14:textId="77777777" w:rsidR="00F5402B" w:rsidRPr="00E472B5" w:rsidRDefault="00F5402B" w:rsidP="00F5402B">
            <w:pPr>
              <w:pStyle w:val="SingleTxtG"/>
              <w:ind w:left="0" w:right="0"/>
              <w:jc w:val="left"/>
            </w:pPr>
            <w:r w:rsidRPr="007C602A">
              <w:rPr>
                <w:i/>
                <w:lang w:val="fr-FR"/>
              </w:rPr>
              <w:t>Question(s) de procédure</w:t>
            </w:r>
            <w:r>
              <w:rPr>
                <w:lang w:val="fr-FR"/>
              </w:rPr>
              <w:t> </w:t>
            </w:r>
            <w:r>
              <w:t>:</w:t>
            </w:r>
          </w:p>
        </w:tc>
        <w:tc>
          <w:tcPr>
            <w:tcW w:w="3969" w:type="dxa"/>
            <w:vAlign w:val="bottom"/>
          </w:tcPr>
          <w:p w14:paraId="4FB739C7" w14:textId="07142145" w:rsidR="00F5402B" w:rsidRDefault="001C43C9" w:rsidP="00F5402B">
            <w:pPr>
              <w:pStyle w:val="SingleTxtG"/>
              <w:ind w:left="0" w:right="0"/>
              <w:jc w:val="left"/>
            </w:pPr>
            <w:r>
              <w:t>Litispendance internationale</w:t>
            </w:r>
          </w:p>
        </w:tc>
      </w:tr>
      <w:tr w:rsidR="00F5402B" w14:paraId="35EB1285" w14:textId="77777777" w:rsidTr="00801166">
        <w:tc>
          <w:tcPr>
            <w:tcW w:w="3402" w:type="dxa"/>
          </w:tcPr>
          <w:p w14:paraId="33E291D1" w14:textId="77777777" w:rsidR="00F5402B" w:rsidRPr="00E472B5" w:rsidRDefault="00F5402B" w:rsidP="00F5402B">
            <w:pPr>
              <w:pStyle w:val="SingleTxtG"/>
              <w:ind w:left="0" w:right="0"/>
              <w:jc w:val="left"/>
            </w:pPr>
            <w:r w:rsidRPr="007C602A">
              <w:rPr>
                <w:i/>
                <w:lang w:val="fr-FR"/>
              </w:rPr>
              <w:t>Question(s) de fond</w:t>
            </w:r>
            <w:r>
              <w:rPr>
                <w:lang w:val="fr-FR"/>
              </w:rPr>
              <w:t> </w:t>
            </w:r>
            <w:r>
              <w:t>:</w:t>
            </w:r>
          </w:p>
        </w:tc>
        <w:tc>
          <w:tcPr>
            <w:tcW w:w="3969" w:type="dxa"/>
            <w:vAlign w:val="bottom"/>
          </w:tcPr>
          <w:p w14:paraId="1600C0A4" w14:textId="77777777" w:rsidR="00F5402B" w:rsidRDefault="00C62B56" w:rsidP="00C62B56">
            <w:pPr>
              <w:pStyle w:val="SingleTxtG"/>
              <w:ind w:left="0" w:right="0"/>
              <w:jc w:val="left"/>
            </w:pPr>
            <w:r>
              <w:t xml:space="preserve">Inculpation basée </w:t>
            </w:r>
            <w:r w:rsidR="00612157">
              <w:t>sur des déclarations prétendument obtenues par la torture</w:t>
            </w:r>
          </w:p>
        </w:tc>
      </w:tr>
      <w:tr w:rsidR="00F5402B" w14:paraId="726D3DE5" w14:textId="77777777" w:rsidTr="00801166">
        <w:tc>
          <w:tcPr>
            <w:tcW w:w="3402" w:type="dxa"/>
          </w:tcPr>
          <w:p w14:paraId="163241F9" w14:textId="77777777" w:rsidR="00F5402B" w:rsidRPr="00E472B5" w:rsidRDefault="00F5402B" w:rsidP="00F5402B">
            <w:pPr>
              <w:pStyle w:val="SingleTxtG"/>
              <w:ind w:left="0" w:right="0"/>
              <w:jc w:val="left"/>
            </w:pPr>
            <w:r>
              <w:rPr>
                <w:i/>
              </w:rPr>
              <w:t>Article(s) de la Convention</w:t>
            </w:r>
            <w:r>
              <w:t> :</w:t>
            </w:r>
          </w:p>
        </w:tc>
        <w:tc>
          <w:tcPr>
            <w:tcW w:w="3969" w:type="dxa"/>
            <w:vAlign w:val="bottom"/>
          </w:tcPr>
          <w:p w14:paraId="2119B624" w14:textId="77777777" w:rsidR="00F5402B" w:rsidRDefault="00612157" w:rsidP="00F5402B">
            <w:pPr>
              <w:pStyle w:val="SingleTxtG"/>
              <w:ind w:left="0" w:right="0"/>
              <w:jc w:val="left"/>
            </w:pPr>
            <w:r>
              <w:t>15</w:t>
            </w:r>
          </w:p>
        </w:tc>
      </w:tr>
    </w:tbl>
    <w:p w14:paraId="7FC1C1A6" w14:textId="77777777" w:rsidR="00AF2F1C" w:rsidRDefault="00976C08" w:rsidP="00621F65">
      <w:pPr>
        <w:pStyle w:val="HChG"/>
        <w:ind w:left="0" w:firstLine="0"/>
      </w:pPr>
      <w:r w:rsidRPr="00F5402B">
        <w:br w:type="page"/>
      </w:r>
    </w:p>
    <w:p w14:paraId="6EC36CF0" w14:textId="739F6175" w:rsidR="007D3EF8" w:rsidRPr="007D3EF8" w:rsidRDefault="00513D9B" w:rsidP="00747D9C">
      <w:pPr>
        <w:pStyle w:val="SingleTxtG"/>
        <w:tabs>
          <w:tab w:val="left" w:pos="1701"/>
        </w:tabs>
        <w:rPr>
          <w:lang w:val="fr-FR"/>
        </w:rPr>
      </w:pPr>
      <w:r>
        <w:rPr>
          <w:lang w:val="fr-FR"/>
        </w:rPr>
        <w:lastRenderedPageBreak/>
        <w:t>1.</w:t>
      </w:r>
      <w:r>
        <w:rPr>
          <w:lang w:val="fr-FR"/>
        </w:rPr>
        <w:tab/>
        <w:t xml:space="preserve">Le requérant, Mikel Kabikoitz Carrera Sarobe, </w:t>
      </w:r>
      <w:r w:rsidR="007D3EF8" w:rsidRPr="007D3EF8">
        <w:rPr>
          <w:lang w:val="fr-FR"/>
        </w:rPr>
        <w:t xml:space="preserve">est un ressortissant </w:t>
      </w:r>
      <w:r w:rsidR="00CB3718">
        <w:rPr>
          <w:lang w:val="fr-FR"/>
        </w:rPr>
        <w:t>e</w:t>
      </w:r>
      <w:r>
        <w:rPr>
          <w:lang w:val="fr-FR"/>
        </w:rPr>
        <w:t>spagnol</w:t>
      </w:r>
      <w:r w:rsidR="00D03021">
        <w:rPr>
          <w:lang w:val="fr-FR"/>
        </w:rPr>
        <w:t xml:space="preserve"> né</w:t>
      </w:r>
      <w:r w:rsidR="00C87ACC">
        <w:rPr>
          <w:lang w:val="fr-FR"/>
        </w:rPr>
        <w:t xml:space="preserve"> </w:t>
      </w:r>
      <w:r>
        <w:rPr>
          <w:lang w:val="fr-FR"/>
        </w:rPr>
        <w:t>le 30</w:t>
      </w:r>
      <w:r w:rsidR="00D85020">
        <w:rPr>
          <w:lang w:val="fr-FR"/>
        </w:rPr>
        <w:t> </w:t>
      </w:r>
      <w:r>
        <w:rPr>
          <w:lang w:val="fr-FR"/>
        </w:rPr>
        <w:t>mai 1972 à Pampelune</w:t>
      </w:r>
      <w:r w:rsidR="007D3EF8" w:rsidRPr="007D3EF8">
        <w:rPr>
          <w:lang w:val="fr-FR"/>
        </w:rPr>
        <w:t>.</w:t>
      </w:r>
      <w:r>
        <w:rPr>
          <w:lang w:val="fr-FR"/>
        </w:rPr>
        <w:t xml:space="preserve"> Il prétend être victime d’une violation par la France de l’article</w:t>
      </w:r>
      <w:r w:rsidR="00617B93">
        <w:rPr>
          <w:lang w:val="fr-FR"/>
        </w:rPr>
        <w:t> </w:t>
      </w:r>
      <w:r>
        <w:rPr>
          <w:lang w:val="fr-FR"/>
        </w:rPr>
        <w:t>15 de la Convention contre la torture et autres peines ou traitements cruels, inhumains ou dégradants. Il est représenté par un conseil</w:t>
      </w:r>
      <w:r w:rsidR="007D3EF8" w:rsidRPr="007D3EF8">
        <w:rPr>
          <w:lang w:val="fr-FR"/>
        </w:rPr>
        <w:t>.</w:t>
      </w:r>
      <w:r w:rsidR="00247024" w:rsidRPr="00D140AE">
        <w:rPr>
          <w:rFonts w:eastAsia="Calibri"/>
          <w:lang w:val="fr-FR"/>
        </w:rPr>
        <w:t xml:space="preserve"> </w:t>
      </w:r>
      <w:r w:rsidR="00247024">
        <w:rPr>
          <w:lang w:val="fr-FR"/>
        </w:rPr>
        <w:t xml:space="preserve">La France </w:t>
      </w:r>
      <w:r w:rsidR="00247024" w:rsidRPr="00247024">
        <w:rPr>
          <w:lang w:val="fr-FR"/>
        </w:rPr>
        <w:t xml:space="preserve">a fait la déclaration prévue à l’article 22 de la </w:t>
      </w:r>
      <w:r w:rsidR="00247024">
        <w:rPr>
          <w:lang w:val="fr-FR"/>
        </w:rPr>
        <w:t xml:space="preserve">Convention le </w:t>
      </w:r>
      <w:r w:rsidR="00247024" w:rsidRPr="00FE1274">
        <w:rPr>
          <w:lang w:val="fr-FR"/>
        </w:rPr>
        <w:t>23 juin 1988</w:t>
      </w:r>
      <w:r w:rsidR="00247024">
        <w:rPr>
          <w:lang w:val="fr-FR"/>
        </w:rPr>
        <w:t>.</w:t>
      </w:r>
    </w:p>
    <w:p w14:paraId="5A371B09" w14:textId="4F6ECB32" w:rsidR="007D3EF8" w:rsidRPr="007D3EF8" w:rsidRDefault="00A60EAB" w:rsidP="00A60EAB">
      <w:pPr>
        <w:pStyle w:val="H23G"/>
        <w:rPr>
          <w:lang w:val="fr-FR"/>
        </w:rPr>
      </w:pPr>
      <w:r>
        <w:rPr>
          <w:lang w:val="fr-FR"/>
        </w:rPr>
        <w:tab/>
      </w:r>
      <w:r>
        <w:rPr>
          <w:lang w:val="fr-FR"/>
        </w:rPr>
        <w:tab/>
      </w:r>
      <w:r w:rsidR="00A92109">
        <w:rPr>
          <w:lang w:val="fr-FR"/>
        </w:rPr>
        <w:t xml:space="preserve">Rappel </w:t>
      </w:r>
      <w:r>
        <w:rPr>
          <w:lang w:val="fr-FR"/>
        </w:rPr>
        <w:t>des faits</w:t>
      </w:r>
      <w:r w:rsidR="00ED35CA">
        <w:rPr>
          <w:lang w:val="fr-FR"/>
        </w:rPr>
        <w:t xml:space="preserve"> présentés par le requérant</w:t>
      </w:r>
    </w:p>
    <w:p w14:paraId="0F151F2F" w14:textId="6090998E" w:rsidR="00117817" w:rsidRDefault="00512F1B" w:rsidP="00512F1B">
      <w:pPr>
        <w:pStyle w:val="SingleTxtG"/>
      </w:pPr>
      <w:r>
        <w:t>2.1</w:t>
      </w:r>
      <w:r>
        <w:tab/>
      </w:r>
      <w:r w:rsidR="0037391E" w:rsidRPr="005B2B32">
        <w:t xml:space="preserve">Le 12 février 2013, </w:t>
      </w:r>
      <w:r w:rsidR="007301DB">
        <w:t xml:space="preserve">le </w:t>
      </w:r>
      <w:r w:rsidR="00243A4A">
        <w:t>t</w:t>
      </w:r>
      <w:r w:rsidR="007301DB">
        <w:t>ribunal c</w:t>
      </w:r>
      <w:r w:rsidR="0037391E" w:rsidRPr="005B2B32">
        <w:t>entral d</w:t>
      </w:r>
      <w:r w:rsidR="007301DB">
        <w:t>’i</w:t>
      </w:r>
      <w:r w:rsidR="0037391E" w:rsidRPr="005B2B32">
        <w:t xml:space="preserve">nstruction </w:t>
      </w:r>
      <w:r w:rsidR="00D35B23">
        <w:t>n</w:t>
      </w:r>
      <w:r w:rsidR="00D35B23" w:rsidRPr="00A74D44">
        <w:rPr>
          <w:vertAlign w:val="superscript"/>
        </w:rPr>
        <w:t>o</w:t>
      </w:r>
      <w:r w:rsidR="00D35B23">
        <w:t> </w:t>
      </w:r>
      <w:r w:rsidR="0037391E" w:rsidRPr="005B2B32">
        <w:t>4 de l’A</w:t>
      </w:r>
      <w:r w:rsidR="005B2B32" w:rsidRPr="005B2B32">
        <w:t>udienc</w:t>
      </w:r>
      <w:r w:rsidR="000739AA">
        <w:t xml:space="preserve">ia Nacional </w:t>
      </w:r>
      <w:r w:rsidR="00243A4A">
        <w:t xml:space="preserve">a </w:t>
      </w:r>
      <w:r w:rsidR="005B2B32" w:rsidRPr="005B2B32">
        <w:t>émi</w:t>
      </w:r>
      <w:r w:rsidR="00243A4A">
        <w:t>s</w:t>
      </w:r>
      <w:r w:rsidR="0037391E" w:rsidRPr="005B2B32">
        <w:t xml:space="preserve"> un mandat d’arrêt européen à l’encontre du requérant</w:t>
      </w:r>
      <w:r w:rsidR="0054444F">
        <w:rPr>
          <w:rStyle w:val="FootnoteReference"/>
        </w:rPr>
        <w:footnoteReference w:id="4"/>
      </w:r>
      <w:r w:rsidR="001C2DC1">
        <w:t>.</w:t>
      </w:r>
      <w:r w:rsidR="0037391E" w:rsidRPr="005B2B32">
        <w:t xml:space="preserve"> </w:t>
      </w:r>
      <w:r w:rsidR="00621591">
        <w:t>Le mandat avait pour objet l’exercice de poursuites pénales fondées sur une ordonnance décrétant son incarcération dans une procédure d’instruction où il était accusé d</w:t>
      </w:r>
      <w:r w:rsidR="00117817" w:rsidRPr="005B2B32">
        <w:t>es infractions suivantes : participation à une organisation ou groupe terroriste</w:t>
      </w:r>
      <w:r w:rsidR="00117817">
        <w:t> ;</w:t>
      </w:r>
      <w:r w:rsidR="00117817" w:rsidRPr="005B2B32">
        <w:t xml:space="preserve"> 118 tentatives d’assassinat et coups et blessures terroristes</w:t>
      </w:r>
      <w:r w:rsidR="00117817">
        <w:t> ;</w:t>
      </w:r>
      <w:r w:rsidR="00117817" w:rsidRPr="005B2B32">
        <w:t xml:space="preserve"> et dépôt d’armes ou munitions, détention d’engins explosifs, inflammables, incendiaires ou asphyxiants ou de leurs composants, ou leur pose.</w:t>
      </w:r>
      <w:r w:rsidR="00621591">
        <w:t xml:space="preserve"> Ces accusations concernaient l’attentat </w:t>
      </w:r>
      <w:r w:rsidR="00243A4A">
        <w:t xml:space="preserve">à la voiture </w:t>
      </w:r>
      <w:r w:rsidR="00621591" w:rsidRPr="005B2B32">
        <w:t>piégé</w:t>
      </w:r>
      <w:r w:rsidR="00243A4A">
        <w:t xml:space="preserve">e, du 28 juillet 2009, </w:t>
      </w:r>
      <w:r w:rsidR="00621591" w:rsidRPr="005B2B32">
        <w:t xml:space="preserve">contre la caserne de la Garde </w:t>
      </w:r>
      <w:r w:rsidR="00D30064">
        <w:t>c</w:t>
      </w:r>
      <w:r w:rsidR="00621591" w:rsidRPr="005B2B32">
        <w:t xml:space="preserve">ivile à Burgos dans le but de provoquer la mort de toutes les personnes se trouvant à l’intérieur dudit casernement. L’attentat </w:t>
      </w:r>
      <w:r w:rsidR="00621591">
        <w:t>a été revendiqué par l’</w:t>
      </w:r>
      <w:r w:rsidR="00234D47">
        <w:t xml:space="preserve">organisation terroriste </w:t>
      </w:r>
      <w:r w:rsidR="00F368D9">
        <w:t>Euskadi Ta Askatasuna (</w:t>
      </w:r>
      <w:r w:rsidR="00621591" w:rsidRPr="005B2B32">
        <w:t>ETA</w:t>
      </w:r>
      <w:r w:rsidR="00F368D9">
        <w:t>)</w:t>
      </w:r>
      <w:r w:rsidR="00621591" w:rsidRPr="005B2B32">
        <w:t xml:space="preserve"> quelques jours plus tard.</w:t>
      </w:r>
    </w:p>
    <w:p w14:paraId="385A0BAB" w14:textId="2ED94749" w:rsidR="007D3EF8" w:rsidRPr="005B2B32" w:rsidRDefault="00512F1B" w:rsidP="00512F1B">
      <w:pPr>
        <w:pStyle w:val="SingleTxtG"/>
      </w:pPr>
      <w:r w:rsidRPr="005B2B32">
        <w:t>2.2</w:t>
      </w:r>
      <w:r w:rsidRPr="005B2B32">
        <w:tab/>
      </w:r>
      <w:r w:rsidR="006B39EB" w:rsidRPr="005B2B32">
        <w:t>D’après l</w:t>
      </w:r>
      <w:r w:rsidR="005B2B32" w:rsidRPr="005B2B32">
        <w:t>e mandat d</w:t>
      </w:r>
      <w:r w:rsidR="006B39EB" w:rsidRPr="005B2B32">
        <w:t xml:space="preserve">’arrêt, il y aurait dans l’enquête menée par le </w:t>
      </w:r>
      <w:r w:rsidR="00243A4A">
        <w:t>t</w:t>
      </w:r>
      <w:r w:rsidR="006B39EB" w:rsidRPr="005B2B32">
        <w:t>ribunal</w:t>
      </w:r>
      <w:r w:rsidR="00BF6B06">
        <w:t xml:space="preserve"> central</w:t>
      </w:r>
      <w:r w:rsidR="006B39EB" w:rsidRPr="005B2B32">
        <w:t xml:space="preserve"> d</w:t>
      </w:r>
      <w:r w:rsidR="00BF6B06">
        <w:t>’i</w:t>
      </w:r>
      <w:r w:rsidR="006B39EB" w:rsidRPr="005B2B32">
        <w:t>nstruction des indices rationnels et suffisants</w:t>
      </w:r>
      <w:r w:rsidR="008C386D">
        <w:t>,</w:t>
      </w:r>
      <w:r w:rsidR="006B39EB" w:rsidRPr="005B2B32">
        <w:t xml:space="preserve"> sur la base des déclarations faites par l</w:t>
      </w:r>
      <w:r w:rsidR="00234D47">
        <w:t>’inculpé</w:t>
      </w:r>
      <w:r w:rsidR="006B39EB" w:rsidRPr="005B2B32">
        <w:t xml:space="preserve"> Iñigo Zapirain Romano sur l’implication du requérant</w:t>
      </w:r>
      <w:r w:rsidR="005B2B32" w:rsidRPr="005B2B32">
        <w:t>,</w:t>
      </w:r>
      <w:r w:rsidR="006B39EB" w:rsidRPr="005B2B32">
        <w:t xml:space="preserve"> et ces données auraient été confirmées par les déclarations </w:t>
      </w:r>
      <w:r w:rsidR="00243A4A">
        <w:t xml:space="preserve">de </w:t>
      </w:r>
      <w:r w:rsidR="006B39EB" w:rsidRPr="005B2B32">
        <w:t>Beatriz Etxeb</w:t>
      </w:r>
      <w:r w:rsidR="00DA4EE1">
        <w:t>a</w:t>
      </w:r>
      <w:r w:rsidR="006B39EB" w:rsidRPr="005B2B32">
        <w:t>rr</w:t>
      </w:r>
      <w:r w:rsidR="00F27BDD">
        <w:t>i</w:t>
      </w:r>
      <w:r w:rsidR="006B39EB" w:rsidRPr="005B2B32">
        <w:t>a Caballero</w:t>
      </w:r>
      <w:r w:rsidR="00234D47">
        <w:t>, également inculpée</w:t>
      </w:r>
      <w:r w:rsidR="006B39EB" w:rsidRPr="005B2B32">
        <w:t>.</w:t>
      </w:r>
      <w:r w:rsidR="00C33CDE" w:rsidRPr="005B2B32">
        <w:t xml:space="preserve"> </w:t>
      </w:r>
    </w:p>
    <w:p w14:paraId="717E5E6F" w14:textId="3E5A7222" w:rsidR="008C386D" w:rsidRDefault="00512F1B" w:rsidP="00512F1B">
      <w:pPr>
        <w:pStyle w:val="SingleTxtG"/>
      </w:pPr>
      <w:r>
        <w:t>2.3</w:t>
      </w:r>
      <w:r>
        <w:tab/>
      </w:r>
      <w:r w:rsidR="00BF74A8">
        <w:t xml:space="preserve">Le requérant précise que </w:t>
      </w:r>
      <w:r w:rsidR="005F5755">
        <w:t>M</w:t>
      </w:r>
      <w:r w:rsidR="005F5755" w:rsidRPr="00801166">
        <w:rPr>
          <w:vertAlign w:val="superscript"/>
        </w:rPr>
        <w:t>me</w:t>
      </w:r>
      <w:r w:rsidR="005F5755">
        <w:t xml:space="preserve"> </w:t>
      </w:r>
      <w:r w:rsidR="00BF74A8">
        <w:t>Etxeb</w:t>
      </w:r>
      <w:r w:rsidR="00DA4EE1">
        <w:t>a</w:t>
      </w:r>
      <w:r w:rsidR="00BF74A8">
        <w:t>rr</w:t>
      </w:r>
      <w:r w:rsidR="00F27BDD">
        <w:t>i</w:t>
      </w:r>
      <w:r w:rsidR="00BF74A8">
        <w:t xml:space="preserve">a Caballero et </w:t>
      </w:r>
      <w:r w:rsidR="005F5755">
        <w:t xml:space="preserve">M. </w:t>
      </w:r>
      <w:r w:rsidR="00BF74A8">
        <w:t xml:space="preserve">Zapirain Romano </w:t>
      </w:r>
      <w:r w:rsidR="005B2B32">
        <w:t>avaient</w:t>
      </w:r>
      <w:r w:rsidR="00BF74A8">
        <w:t xml:space="preserve"> été interpellés le 1</w:t>
      </w:r>
      <w:r w:rsidR="00BF74A8" w:rsidRPr="008C386D">
        <w:rPr>
          <w:vertAlign w:val="superscript"/>
        </w:rPr>
        <w:t>er</w:t>
      </w:r>
      <w:r w:rsidR="00BF74A8">
        <w:t xml:space="preserve"> mars 2011 et </w:t>
      </w:r>
      <w:r w:rsidR="00503BF7">
        <w:t>placés</w:t>
      </w:r>
      <w:r w:rsidR="00BF74A8">
        <w:t xml:space="preserve"> immédiatement au </w:t>
      </w:r>
      <w:r w:rsidR="00986C67">
        <w:t>régime</w:t>
      </w:r>
      <w:r w:rsidR="00375ECD">
        <w:t xml:space="preserve"> </w:t>
      </w:r>
      <w:r w:rsidR="00CE21E1" w:rsidRPr="005B2B32">
        <w:t>de détention au secret</w:t>
      </w:r>
      <w:r w:rsidR="008C386D">
        <w:t>.</w:t>
      </w:r>
      <w:r w:rsidR="008C386D" w:rsidRPr="008C386D">
        <w:t xml:space="preserve"> </w:t>
      </w:r>
      <w:r w:rsidR="008C386D">
        <w:t>Sous ce régime, prévu dans le cadre de la législation antiterroriste, le détenu est placé en isolement, privé de la possibilité d’être assisté par un avocat de son choix. L</w:t>
      </w:r>
      <w:r w:rsidR="00BF74A8">
        <w:t>e couple était régulièrement présenté devant un médecin</w:t>
      </w:r>
      <w:r w:rsidR="00243A4A">
        <w:t xml:space="preserve"> </w:t>
      </w:r>
      <w:r w:rsidR="00BF74A8">
        <w:t>légiste</w:t>
      </w:r>
      <w:r w:rsidR="003A446B">
        <w:rPr>
          <w:rStyle w:val="FootnoteReference"/>
        </w:rPr>
        <w:footnoteReference w:id="5"/>
      </w:r>
      <w:r w:rsidR="001C2DC1">
        <w:t>.</w:t>
      </w:r>
      <w:r w:rsidR="00BF74A8">
        <w:t xml:space="preserve"> Dans son rapport du 2</w:t>
      </w:r>
      <w:r w:rsidR="00243A4A">
        <w:t> </w:t>
      </w:r>
      <w:r w:rsidR="00BF74A8">
        <w:t>mars 2011</w:t>
      </w:r>
      <w:r w:rsidR="00243A4A">
        <w:t>,</w:t>
      </w:r>
      <w:r w:rsidR="00BF74A8">
        <w:t xml:space="preserve"> le médecin légiste </w:t>
      </w:r>
      <w:r w:rsidR="00243A4A">
        <w:t xml:space="preserve">indiquait </w:t>
      </w:r>
      <w:r w:rsidR="00BF74A8">
        <w:t xml:space="preserve">que </w:t>
      </w:r>
      <w:r w:rsidR="005F5755">
        <w:t>M</w:t>
      </w:r>
      <w:r w:rsidR="005F5755" w:rsidRPr="00801166">
        <w:rPr>
          <w:vertAlign w:val="superscript"/>
        </w:rPr>
        <w:t>me</w:t>
      </w:r>
      <w:r w:rsidR="005F5755">
        <w:t xml:space="preserve"> </w:t>
      </w:r>
      <w:r w:rsidR="00BF74A8">
        <w:t>Etxeb</w:t>
      </w:r>
      <w:r w:rsidR="00DA4EE1">
        <w:t>a</w:t>
      </w:r>
      <w:r w:rsidR="00BF74A8">
        <w:t>rr</w:t>
      </w:r>
      <w:r w:rsidR="00F27BDD">
        <w:t>i</w:t>
      </w:r>
      <w:r w:rsidR="00BF74A8">
        <w:t>a Caballero</w:t>
      </w:r>
      <w:r w:rsidR="00243A4A">
        <w:t xml:space="preserve"> avait déclaré</w:t>
      </w:r>
      <w:r w:rsidR="001D04C0">
        <w:t xml:space="preserve"> qu’elle a</w:t>
      </w:r>
      <w:r w:rsidR="00243A4A">
        <w:t>vait</w:t>
      </w:r>
      <w:r w:rsidR="001D04C0">
        <w:t xml:space="preserve"> </w:t>
      </w:r>
      <w:r w:rsidR="00243A4A">
        <w:t xml:space="preserve">subi </w:t>
      </w:r>
      <w:r w:rsidR="005B2B32">
        <w:t>de mauvais traitement</w:t>
      </w:r>
      <w:r w:rsidR="00D63044">
        <w:t>s</w:t>
      </w:r>
      <w:r w:rsidR="005B2B32">
        <w:t xml:space="preserve">, qu’ils </w:t>
      </w:r>
      <w:r w:rsidR="00243A4A">
        <w:t>avaient</w:t>
      </w:r>
      <w:r w:rsidR="001D04C0">
        <w:t xml:space="preserve"> tenté de lui introduire un manche à balai dans le vagin, sans atteindre la pénétration, qu’ils lui </w:t>
      </w:r>
      <w:r w:rsidR="00243A4A">
        <w:t>avaient</w:t>
      </w:r>
      <w:r w:rsidR="001D04C0">
        <w:t xml:space="preserve"> mis un sac en plastique sur la tête (</w:t>
      </w:r>
      <w:r w:rsidR="00243A4A">
        <w:t xml:space="preserve">dont </w:t>
      </w:r>
      <w:r w:rsidR="001D04C0">
        <w:t xml:space="preserve">elle ne </w:t>
      </w:r>
      <w:r w:rsidR="00243A4A">
        <w:t xml:space="preserve">connaissait </w:t>
      </w:r>
      <w:r w:rsidR="00D85020">
        <w:t xml:space="preserve">pas </w:t>
      </w:r>
      <w:r w:rsidR="00243A4A">
        <w:t xml:space="preserve">la </w:t>
      </w:r>
      <w:r w:rsidR="001D04C0">
        <w:t>couleur car elle portait un masque), qu’elle n’a</w:t>
      </w:r>
      <w:r w:rsidR="00243A4A">
        <w:t>vait</w:t>
      </w:r>
      <w:r w:rsidR="001D04C0">
        <w:t xml:space="preserve"> pas perdu connaissance et qu’ils lui </w:t>
      </w:r>
      <w:r w:rsidR="00243A4A">
        <w:t xml:space="preserve">avaient </w:t>
      </w:r>
      <w:r w:rsidR="001D04C0">
        <w:t>jeté de l’eau sur le corps pour lui appliquer des électrodes, mais qu’ils ne l’</w:t>
      </w:r>
      <w:r w:rsidR="00243A4A">
        <w:t xml:space="preserve">avaient </w:t>
      </w:r>
      <w:r w:rsidR="001D04C0">
        <w:t xml:space="preserve">pas fait (elle </w:t>
      </w:r>
      <w:r w:rsidR="00243A4A">
        <w:t xml:space="preserve">savait </w:t>
      </w:r>
      <w:r w:rsidR="001D04C0">
        <w:t xml:space="preserve">qu’il s’agissait d’électrodes parce qu’ils </w:t>
      </w:r>
      <w:r w:rsidR="00243A4A">
        <w:t xml:space="preserve">le </w:t>
      </w:r>
      <w:r w:rsidR="001D04C0">
        <w:t xml:space="preserve">lui </w:t>
      </w:r>
      <w:r w:rsidR="00243A4A">
        <w:t xml:space="preserve">avaient </w:t>
      </w:r>
      <w:r w:rsidR="001D04C0">
        <w:t>dit).</w:t>
      </w:r>
      <w:r w:rsidR="00B82390">
        <w:t xml:space="preserve"> </w:t>
      </w:r>
      <w:r w:rsidR="005F5755">
        <w:t>Le 5</w:t>
      </w:r>
      <w:r w:rsidR="00243A4A">
        <w:t> </w:t>
      </w:r>
      <w:r w:rsidR="005F5755">
        <w:t>mars 2011</w:t>
      </w:r>
      <w:r w:rsidR="00243A4A">
        <w:t>,</w:t>
      </w:r>
      <w:r w:rsidR="005F5755">
        <w:t xml:space="preserve"> M</w:t>
      </w:r>
      <w:r w:rsidR="005F5755" w:rsidRPr="00801166">
        <w:rPr>
          <w:vertAlign w:val="superscript"/>
        </w:rPr>
        <w:t>me</w:t>
      </w:r>
      <w:r w:rsidR="005F5755">
        <w:t xml:space="preserve"> Etxeb</w:t>
      </w:r>
      <w:r w:rsidR="00DA4EE1">
        <w:t>a</w:t>
      </w:r>
      <w:r w:rsidR="005F5755">
        <w:t>rr</w:t>
      </w:r>
      <w:r w:rsidR="00F27BDD">
        <w:t>i</w:t>
      </w:r>
      <w:r w:rsidR="005F5755">
        <w:t xml:space="preserve">a Caballero </w:t>
      </w:r>
      <w:r w:rsidR="00243A4A">
        <w:t xml:space="preserve">a </w:t>
      </w:r>
      <w:r w:rsidR="005F5755">
        <w:t>déclar</w:t>
      </w:r>
      <w:r w:rsidR="00243A4A">
        <w:t xml:space="preserve">é </w:t>
      </w:r>
      <w:r w:rsidR="005F5755">
        <w:t>devant le magistrat instructeur de l’</w:t>
      </w:r>
      <w:r w:rsidR="000739AA" w:rsidRPr="005B2B32">
        <w:t>Audienc</w:t>
      </w:r>
      <w:r w:rsidR="000739AA">
        <w:t xml:space="preserve">ia Nacional </w:t>
      </w:r>
      <w:r w:rsidR="005F5755">
        <w:t xml:space="preserve">qu’elle ne ratifiait pas ses déclarations, </w:t>
      </w:r>
      <w:r w:rsidR="00243A4A">
        <w:t xml:space="preserve">car celles-ci n’avaient </w:t>
      </w:r>
      <w:r w:rsidR="005F5755">
        <w:t>pas été effectuées dans des conditions normales</w:t>
      </w:r>
      <w:r w:rsidR="008C386D">
        <w:t xml:space="preserve"> ; elle a </w:t>
      </w:r>
      <w:r w:rsidR="006558C1">
        <w:t>décrit le traitement auquel elle a</w:t>
      </w:r>
      <w:r w:rsidR="00243A4A">
        <w:t>vait</w:t>
      </w:r>
      <w:r w:rsidR="006558C1">
        <w:t xml:space="preserve"> été soumise ; elle a </w:t>
      </w:r>
      <w:r w:rsidR="00243A4A">
        <w:t xml:space="preserve">indiqué </w:t>
      </w:r>
      <w:r w:rsidR="006558C1">
        <w:t>que le médecin légiste lui a</w:t>
      </w:r>
      <w:r w:rsidR="00243A4A">
        <w:t>vait</w:t>
      </w:r>
      <w:r w:rsidR="006558C1">
        <w:t xml:space="preserve"> proposé de l’examiner mais </w:t>
      </w:r>
      <w:r w:rsidR="00243A4A">
        <w:t>qu’</w:t>
      </w:r>
      <w:r w:rsidR="006558C1">
        <w:t>elle n’a</w:t>
      </w:r>
      <w:r w:rsidR="00243A4A">
        <w:t>vait</w:t>
      </w:r>
      <w:r w:rsidR="006558C1">
        <w:t xml:space="preserve"> pas accepté.</w:t>
      </w:r>
      <w:r w:rsidR="00B34A74">
        <w:t xml:space="preserve"> </w:t>
      </w:r>
    </w:p>
    <w:p w14:paraId="17F9B4D3" w14:textId="16CC8015" w:rsidR="006558C1" w:rsidRDefault="00512F1B" w:rsidP="00512F1B">
      <w:pPr>
        <w:pStyle w:val="SingleTxtG"/>
        <w:tabs>
          <w:tab w:val="left" w:pos="1701"/>
        </w:tabs>
      </w:pPr>
      <w:r>
        <w:t>2.4</w:t>
      </w:r>
      <w:r>
        <w:tab/>
      </w:r>
      <w:r w:rsidR="00B34A74">
        <w:t xml:space="preserve">M. Zapirain Romano </w:t>
      </w:r>
      <w:r w:rsidR="00243A4A">
        <w:t xml:space="preserve">a </w:t>
      </w:r>
      <w:r w:rsidR="00B34A74">
        <w:t>fait de même le 20 février 2012</w:t>
      </w:r>
      <w:r w:rsidR="00243A4A">
        <w:t>,</w:t>
      </w:r>
      <w:r w:rsidR="00B34A74">
        <w:t xml:space="preserve"> </w:t>
      </w:r>
      <w:r w:rsidR="005B2B32">
        <w:t>dénonçant</w:t>
      </w:r>
      <w:r w:rsidR="006558C1">
        <w:t xml:space="preserve"> devant le magistrat instructeur</w:t>
      </w:r>
      <w:r w:rsidR="00B34A74">
        <w:t xml:space="preserve"> qu’il avait </w:t>
      </w:r>
      <w:r w:rsidR="00243A4A">
        <w:t xml:space="preserve">fait ses déclarations </w:t>
      </w:r>
      <w:r w:rsidR="00B34A74">
        <w:t xml:space="preserve">sous la torture. </w:t>
      </w:r>
    </w:p>
    <w:p w14:paraId="619AB6BA" w14:textId="79F3BDFD" w:rsidR="006558C1" w:rsidRDefault="00512F1B" w:rsidP="00512F1B">
      <w:pPr>
        <w:pStyle w:val="SingleTxtG"/>
      </w:pPr>
      <w:r>
        <w:t>2.5</w:t>
      </w:r>
      <w:r>
        <w:tab/>
      </w:r>
      <w:r w:rsidR="00243A4A">
        <w:t>Les deux accusés ont déposé plainte,</w:t>
      </w:r>
      <w:r w:rsidR="005B2B32">
        <w:t xml:space="preserve"> respectivement</w:t>
      </w:r>
      <w:r w:rsidR="00B34A74">
        <w:t xml:space="preserve"> </w:t>
      </w:r>
      <w:r w:rsidR="002F1914">
        <w:t xml:space="preserve">le </w:t>
      </w:r>
      <w:r w:rsidR="00243A4A">
        <w:t>15</w:t>
      </w:r>
      <w:r w:rsidR="002F1914">
        <w:t> </w:t>
      </w:r>
      <w:r w:rsidR="00243A4A">
        <w:t>mars et le 27</w:t>
      </w:r>
      <w:r w:rsidR="002F1914">
        <w:t> </w:t>
      </w:r>
      <w:r w:rsidR="00243A4A">
        <w:t xml:space="preserve">avril 2011, </w:t>
      </w:r>
      <w:r w:rsidR="005F5755">
        <w:t xml:space="preserve">auprès du </w:t>
      </w:r>
      <w:r w:rsidR="00243A4A">
        <w:t>t</w:t>
      </w:r>
      <w:r w:rsidR="005F5755">
        <w:t xml:space="preserve">ribunal de garde de Bilbao pour tortures et mauvais traitements subis </w:t>
      </w:r>
      <w:r w:rsidR="00BF6B06" w:rsidRPr="005B2B32">
        <w:t>aux mains</w:t>
      </w:r>
      <w:r w:rsidR="00BF6B06">
        <w:t xml:space="preserve"> de la Garde </w:t>
      </w:r>
      <w:r w:rsidR="00D30064">
        <w:t>c</w:t>
      </w:r>
      <w:r w:rsidR="00BF6B06">
        <w:t xml:space="preserve">ivile </w:t>
      </w:r>
      <w:r w:rsidR="005F5755">
        <w:t xml:space="preserve">lors de </w:t>
      </w:r>
      <w:r w:rsidR="00B34A74">
        <w:t>leur</w:t>
      </w:r>
      <w:r w:rsidR="005F5755">
        <w:t xml:space="preserve"> </w:t>
      </w:r>
      <w:r w:rsidR="00CE21E1" w:rsidRPr="005B2B32">
        <w:t>détention au secret</w:t>
      </w:r>
      <w:r w:rsidR="005F5755">
        <w:t>.</w:t>
      </w:r>
      <w:r w:rsidR="00D74646">
        <w:t xml:space="preserve"> </w:t>
      </w:r>
      <w:r w:rsidR="004C28D5">
        <w:t>M. Zapirain Romano</w:t>
      </w:r>
      <w:r w:rsidR="006558C1">
        <w:t xml:space="preserve"> a décrit des actes de torture répétés, y compris des menaces, des coups incessants, de longues séances de flexion et </w:t>
      </w:r>
      <w:r w:rsidR="002F1914">
        <w:t xml:space="preserve">la pratique consistant à lui couvrir la tête d’un </w:t>
      </w:r>
      <w:r w:rsidR="006558C1">
        <w:t xml:space="preserve">sac </w:t>
      </w:r>
      <w:r w:rsidR="002F1914">
        <w:t xml:space="preserve">en </w:t>
      </w:r>
      <w:r w:rsidR="006558C1">
        <w:t xml:space="preserve">plastique. Sa plainte a été examinée </w:t>
      </w:r>
      <w:r w:rsidR="001A467B">
        <w:t xml:space="preserve">par le </w:t>
      </w:r>
      <w:r w:rsidR="00243A4A">
        <w:t>t</w:t>
      </w:r>
      <w:r w:rsidR="001A467B">
        <w:t>ribunal d’instruction n</w:t>
      </w:r>
      <w:r w:rsidR="007C5200" w:rsidRPr="00801166">
        <w:rPr>
          <w:vertAlign w:val="superscript"/>
        </w:rPr>
        <w:t>o</w:t>
      </w:r>
      <w:r w:rsidR="00243A4A">
        <w:t> </w:t>
      </w:r>
      <w:r w:rsidR="001A467B">
        <w:t>4 de Bilbao.</w:t>
      </w:r>
    </w:p>
    <w:p w14:paraId="0760E0A1" w14:textId="66738CF7" w:rsidR="005F5755" w:rsidRDefault="00512F1B" w:rsidP="00512F1B">
      <w:pPr>
        <w:pStyle w:val="SingleTxtG"/>
        <w:tabs>
          <w:tab w:val="left" w:pos="1701"/>
        </w:tabs>
      </w:pPr>
      <w:r>
        <w:t>2.6</w:t>
      </w:r>
      <w:r>
        <w:tab/>
      </w:r>
      <w:r w:rsidR="00750D4D">
        <w:t>La plainte de M</w:t>
      </w:r>
      <w:r w:rsidR="00750D4D" w:rsidRPr="00801166">
        <w:rPr>
          <w:vertAlign w:val="superscript"/>
        </w:rPr>
        <w:t>me</w:t>
      </w:r>
      <w:r w:rsidR="00750D4D">
        <w:t xml:space="preserve"> Etxeb</w:t>
      </w:r>
      <w:r w:rsidR="00DA4EE1">
        <w:t>a</w:t>
      </w:r>
      <w:r w:rsidR="00750D4D">
        <w:t>rria Caballero</w:t>
      </w:r>
      <w:r w:rsidR="00D30064">
        <w:t xml:space="preserve"> </w:t>
      </w:r>
      <w:r w:rsidR="001A467B">
        <w:t>a été d’abord classée sans suite, puis son appel a été</w:t>
      </w:r>
      <w:r w:rsidR="00750D4D">
        <w:t xml:space="preserve"> rejeté</w:t>
      </w:r>
      <w:r w:rsidR="001A467B">
        <w:t xml:space="preserve"> par l’</w:t>
      </w:r>
      <w:r w:rsidR="003502C2">
        <w:t xml:space="preserve">Audiencia Provincial </w:t>
      </w:r>
      <w:r w:rsidR="001A467B">
        <w:t xml:space="preserve">de </w:t>
      </w:r>
      <w:r w:rsidR="009C07C1">
        <w:t xml:space="preserve">Biscaye </w:t>
      </w:r>
      <w:r w:rsidR="001A467B">
        <w:t>le 28</w:t>
      </w:r>
      <w:r w:rsidR="009C07C1">
        <w:t> </w:t>
      </w:r>
      <w:r w:rsidR="001A467B">
        <w:t xml:space="preserve">septembre 2011. </w:t>
      </w:r>
      <w:r w:rsidR="00B82C8E">
        <w:t>Enfin,</w:t>
      </w:r>
      <w:r w:rsidR="00750D4D">
        <w:t xml:space="preserve"> le 10</w:t>
      </w:r>
      <w:r w:rsidR="009C07C1">
        <w:t> </w:t>
      </w:r>
      <w:r w:rsidR="00750D4D">
        <w:t>mai 2012</w:t>
      </w:r>
      <w:r w:rsidR="009C07C1">
        <w:t>,</w:t>
      </w:r>
      <w:r w:rsidR="00750D4D">
        <w:t xml:space="preserve"> </w:t>
      </w:r>
      <w:r w:rsidR="001A467B">
        <w:t xml:space="preserve">la Cour </w:t>
      </w:r>
      <w:r w:rsidR="009C07C1">
        <w:t>c</w:t>
      </w:r>
      <w:r w:rsidR="001A467B">
        <w:t xml:space="preserve">onstitutionnelle a </w:t>
      </w:r>
      <w:r w:rsidR="001A467B" w:rsidRPr="00335F9E">
        <w:t>rejeté son recours de protection</w:t>
      </w:r>
      <w:r w:rsidR="003A446B" w:rsidRPr="00335F9E">
        <w:t xml:space="preserve"> (</w:t>
      </w:r>
      <w:r w:rsidR="00D2653E" w:rsidRPr="00335F9E">
        <w:rPr>
          <w:i/>
        </w:rPr>
        <w:t>amparo</w:t>
      </w:r>
      <w:r w:rsidR="003A446B" w:rsidRPr="00335F9E">
        <w:t>)</w:t>
      </w:r>
      <w:r w:rsidR="001A467B" w:rsidRPr="00335F9E">
        <w:t xml:space="preserve">. </w:t>
      </w:r>
      <w:r w:rsidR="00D63044" w:rsidRPr="00335F9E">
        <w:t>Elle</w:t>
      </w:r>
      <w:r w:rsidR="00D63044">
        <w:t xml:space="preserve"> a par la </w:t>
      </w:r>
      <w:r w:rsidR="00B82C8E">
        <w:t>suite déposé une plainte devant</w:t>
      </w:r>
      <w:r w:rsidR="00750D4D">
        <w:t xml:space="preserve"> la Cour européenne des droits de l’homme.</w:t>
      </w:r>
    </w:p>
    <w:p w14:paraId="2A9638E9" w14:textId="34922A75" w:rsidR="00BE76FD" w:rsidRDefault="00512F1B" w:rsidP="00512F1B">
      <w:pPr>
        <w:pStyle w:val="SingleTxtG"/>
      </w:pPr>
      <w:r>
        <w:lastRenderedPageBreak/>
        <w:t>2.7</w:t>
      </w:r>
      <w:r>
        <w:tab/>
      </w:r>
      <w:r w:rsidR="00BE76FD">
        <w:t xml:space="preserve">Le requérant se réfère également </w:t>
      </w:r>
      <w:r w:rsidR="002A61C8">
        <w:t xml:space="preserve">au rapport du Comité européen pour la prévention de la torture </w:t>
      </w:r>
      <w:r w:rsidR="00F1384D">
        <w:t>et des peines ou traitements inhumains ou dégradants</w:t>
      </w:r>
      <w:r w:rsidR="002A61C8">
        <w:t xml:space="preserve">, du 30 avril 2013, sur sa visite en Espagne. </w:t>
      </w:r>
      <w:r w:rsidR="008C5B3F">
        <w:t xml:space="preserve">Ce comité </w:t>
      </w:r>
      <w:r w:rsidR="002A61C8">
        <w:t xml:space="preserve">fait état d’allégations crédibles et consistantes de mauvais traitements de la part de personnes </w:t>
      </w:r>
      <w:r w:rsidR="00617B93">
        <w:t xml:space="preserve">ayant </w:t>
      </w:r>
      <w:r w:rsidR="002A61C8">
        <w:t xml:space="preserve">été détenues en régime d’isolement </w:t>
      </w:r>
      <w:r w:rsidR="008C5B3F">
        <w:t xml:space="preserve">dans le </w:t>
      </w:r>
      <w:r w:rsidR="002A61C8">
        <w:t>but de l</w:t>
      </w:r>
      <w:r w:rsidR="00D85020">
        <w:t xml:space="preserve">eur </w:t>
      </w:r>
      <w:r w:rsidR="002A61C8">
        <w:t>faire signer des confessions.</w:t>
      </w:r>
    </w:p>
    <w:p w14:paraId="601213DD" w14:textId="6F769DD7" w:rsidR="002D3B83" w:rsidRDefault="00512F1B" w:rsidP="00512F1B">
      <w:pPr>
        <w:pStyle w:val="SingleTxtG"/>
      </w:pPr>
      <w:r>
        <w:t>2.8</w:t>
      </w:r>
      <w:r>
        <w:tab/>
      </w:r>
      <w:r w:rsidR="00721735">
        <w:t>Le 4 février</w:t>
      </w:r>
      <w:r w:rsidR="002D3B83">
        <w:t xml:space="preserve"> 2014, l’</w:t>
      </w:r>
      <w:r w:rsidR="00D84B50">
        <w:t>a</w:t>
      </w:r>
      <w:r w:rsidR="002D3B83">
        <w:t xml:space="preserve">vocat </w:t>
      </w:r>
      <w:r w:rsidR="00D84B50">
        <w:t>g</w:t>
      </w:r>
      <w:r w:rsidR="002D3B83">
        <w:t xml:space="preserve">énéral près la </w:t>
      </w:r>
      <w:r w:rsidR="00D84B50">
        <w:t>c</w:t>
      </w:r>
      <w:r w:rsidR="002D3B83">
        <w:t xml:space="preserve">our d’appel de Paris </w:t>
      </w:r>
      <w:r w:rsidR="008C5B3F">
        <w:t xml:space="preserve">a </w:t>
      </w:r>
      <w:r w:rsidR="002D3B83">
        <w:t>notifi</w:t>
      </w:r>
      <w:r w:rsidR="008C5B3F">
        <w:t xml:space="preserve">é </w:t>
      </w:r>
      <w:r w:rsidR="002D3B83">
        <w:t>au requérant</w:t>
      </w:r>
      <w:r w:rsidR="00B82C8E">
        <w:t>,</w:t>
      </w:r>
      <w:r w:rsidR="00303D89">
        <w:t xml:space="preserve"> détenu depuis le 25 mai 2010</w:t>
      </w:r>
      <w:r w:rsidR="00B82390">
        <w:t xml:space="preserve"> </w:t>
      </w:r>
      <w:r w:rsidR="00303D89">
        <w:t xml:space="preserve">au centre pénitentiaire sud francilien de Réau en </w:t>
      </w:r>
      <w:r w:rsidR="00BF6B06">
        <w:t>France</w:t>
      </w:r>
      <w:r w:rsidR="00303D89">
        <w:t>,</w:t>
      </w:r>
      <w:r w:rsidR="002D3B83">
        <w:t xml:space="preserve"> </w:t>
      </w:r>
      <w:r w:rsidR="00D84B50">
        <w:t xml:space="preserve">le </w:t>
      </w:r>
      <w:r w:rsidR="002D3B83">
        <w:t xml:space="preserve">mandat d’arrêt européen émis à son encontre. </w:t>
      </w:r>
      <w:r w:rsidR="00721735">
        <w:t>Dans le cadre de la pr</w:t>
      </w:r>
      <w:r w:rsidR="00282656">
        <w:t>o</w:t>
      </w:r>
      <w:r w:rsidR="00721735">
        <w:t xml:space="preserve">cédure de </w:t>
      </w:r>
      <w:r w:rsidR="005A447C">
        <w:t>suivi</w:t>
      </w:r>
      <w:r w:rsidR="00721735">
        <w:t xml:space="preserve"> devant la </w:t>
      </w:r>
      <w:r w:rsidR="00D84B50">
        <w:t>c</w:t>
      </w:r>
      <w:r w:rsidR="00721735">
        <w:t xml:space="preserve">hambre de l’instruction de la </w:t>
      </w:r>
      <w:r w:rsidR="00D84B50">
        <w:t>c</w:t>
      </w:r>
      <w:r w:rsidR="00721735">
        <w:t xml:space="preserve">our d’appel de Paris, le requérant </w:t>
      </w:r>
      <w:r w:rsidR="00617B93">
        <w:t xml:space="preserve">a </w:t>
      </w:r>
      <w:r w:rsidR="00721735">
        <w:t>indiqu</w:t>
      </w:r>
      <w:r w:rsidR="00617B93">
        <w:t>é</w:t>
      </w:r>
      <w:r w:rsidR="00721735">
        <w:t xml:space="preserve"> ne pas consentir à sa remise aux autorités espagnoles et </w:t>
      </w:r>
      <w:r w:rsidR="00617B93">
        <w:t xml:space="preserve">a </w:t>
      </w:r>
      <w:r w:rsidR="00721735">
        <w:t>fait valoir que les déclarations de M.</w:t>
      </w:r>
      <w:r w:rsidR="00D30064">
        <w:t> </w:t>
      </w:r>
      <w:r w:rsidR="00721735">
        <w:t>Zapirain Romano et M</w:t>
      </w:r>
      <w:r w:rsidR="00721735" w:rsidRPr="00801166">
        <w:rPr>
          <w:vertAlign w:val="superscript"/>
        </w:rPr>
        <w:t>me</w:t>
      </w:r>
      <w:r w:rsidR="00721735">
        <w:t xml:space="preserve"> Etxeb</w:t>
      </w:r>
      <w:r w:rsidR="00DA4EE1">
        <w:t>a</w:t>
      </w:r>
      <w:r w:rsidR="00721735">
        <w:t>rr</w:t>
      </w:r>
      <w:r w:rsidR="00D378A2">
        <w:t>i</w:t>
      </w:r>
      <w:r w:rsidR="00721735">
        <w:t xml:space="preserve">a Caballero avaient été obtenues sous la torture. Par décision du </w:t>
      </w:r>
      <w:r w:rsidR="00721735" w:rsidRPr="00EB54C5">
        <w:t>2</w:t>
      </w:r>
      <w:r w:rsidR="00D84B50" w:rsidRPr="00EB54C5">
        <w:t> </w:t>
      </w:r>
      <w:r w:rsidR="00721735" w:rsidRPr="00EB54C5">
        <w:t>avril 2014, la</w:t>
      </w:r>
      <w:r w:rsidR="00721735">
        <w:t xml:space="preserve"> </w:t>
      </w:r>
      <w:r w:rsidR="00D84B50">
        <w:t>c</w:t>
      </w:r>
      <w:r w:rsidR="00721735">
        <w:t xml:space="preserve">hambre de l’instruction </w:t>
      </w:r>
      <w:r w:rsidR="00D84B50">
        <w:t xml:space="preserve">de </w:t>
      </w:r>
      <w:r w:rsidR="00721735">
        <w:t xml:space="preserve">la </w:t>
      </w:r>
      <w:r w:rsidR="00D84B50">
        <w:t>c</w:t>
      </w:r>
      <w:r w:rsidR="00721735">
        <w:t xml:space="preserve">our d’appel de Paris </w:t>
      </w:r>
      <w:r w:rsidR="00D84B50">
        <w:t xml:space="preserve">a </w:t>
      </w:r>
      <w:r w:rsidR="00721735">
        <w:t>pronon</w:t>
      </w:r>
      <w:r w:rsidR="00D84B50">
        <w:t xml:space="preserve">cé </w:t>
      </w:r>
      <w:r w:rsidR="00721735">
        <w:t>un sursis à statuer dans l’attente d</w:t>
      </w:r>
      <w:r w:rsidR="00B82C8E">
        <w:t>’une décision définitive sur</w:t>
      </w:r>
      <w:r w:rsidR="000F14E8">
        <w:t xml:space="preserve"> la plainte </w:t>
      </w:r>
      <w:r w:rsidR="00F52EF6">
        <w:t xml:space="preserve">pour tortures et mauvais traitements </w:t>
      </w:r>
      <w:r w:rsidR="000F14E8">
        <w:t>de M.</w:t>
      </w:r>
      <w:r w:rsidR="00D30064">
        <w:t> </w:t>
      </w:r>
      <w:r w:rsidR="000F14E8">
        <w:t>Zapirain R</w:t>
      </w:r>
      <w:r w:rsidR="00B82C8E">
        <w:t>omano.</w:t>
      </w:r>
    </w:p>
    <w:p w14:paraId="30910198" w14:textId="4331FAFD" w:rsidR="00E90BA6" w:rsidRDefault="00512F1B" w:rsidP="00512F1B">
      <w:pPr>
        <w:pStyle w:val="SingleTxtG"/>
      </w:pPr>
      <w:r>
        <w:t>2.9</w:t>
      </w:r>
      <w:r>
        <w:tab/>
      </w:r>
      <w:r w:rsidR="004237DE">
        <w:t>Le 10 juin 2014, l</w:t>
      </w:r>
      <w:r w:rsidR="00B82390">
        <w:t xml:space="preserve">a plainte </w:t>
      </w:r>
      <w:r w:rsidR="003C14E3">
        <w:t>pour tortures et mauvais</w:t>
      </w:r>
      <w:r w:rsidR="00E90BA6">
        <w:t xml:space="preserve"> traitements </w:t>
      </w:r>
      <w:r w:rsidR="00B82390">
        <w:t>de M.</w:t>
      </w:r>
      <w:r w:rsidR="00D35B23">
        <w:t> </w:t>
      </w:r>
      <w:r w:rsidR="00B82390">
        <w:t>Zapirain Romano</w:t>
      </w:r>
      <w:r w:rsidR="00F578E0">
        <w:t xml:space="preserve"> </w:t>
      </w:r>
      <w:r w:rsidR="004237DE">
        <w:t xml:space="preserve">a </w:t>
      </w:r>
      <w:r w:rsidR="00F578E0">
        <w:t>fait l’objet d’</w:t>
      </w:r>
      <w:r w:rsidR="00B82390">
        <w:t xml:space="preserve">une ordonnance de « non-lieu </w:t>
      </w:r>
      <w:r w:rsidR="00B82390" w:rsidRPr="00B82390">
        <w:t>provisoire</w:t>
      </w:r>
      <w:r w:rsidR="00B82390">
        <w:t xml:space="preserve"> » </w:t>
      </w:r>
      <w:r w:rsidR="003C14E3">
        <w:t xml:space="preserve">par le </w:t>
      </w:r>
      <w:r w:rsidR="004237DE">
        <w:t>t</w:t>
      </w:r>
      <w:r w:rsidR="00B82390">
        <w:t xml:space="preserve">ribunal d’instruction </w:t>
      </w:r>
      <w:r w:rsidR="00D35B23">
        <w:t>n</w:t>
      </w:r>
      <w:r w:rsidR="00D35B23" w:rsidRPr="00A74D44">
        <w:rPr>
          <w:vertAlign w:val="superscript"/>
        </w:rPr>
        <w:t>o</w:t>
      </w:r>
      <w:r w:rsidR="00D35B23">
        <w:t> </w:t>
      </w:r>
      <w:r w:rsidR="00F52EF6">
        <w:t xml:space="preserve">4 </w:t>
      </w:r>
      <w:r w:rsidR="00B82390">
        <w:t>de Bilbao</w:t>
      </w:r>
      <w:r w:rsidR="00F578E0">
        <w:t>,</w:t>
      </w:r>
      <w:r w:rsidR="00B82C8E">
        <w:t xml:space="preserve"> au motif que</w:t>
      </w:r>
      <w:r w:rsidR="00B82390">
        <w:t xml:space="preserve"> la commission des faits objets de la plainte n’était pas suffisamment prouvée. </w:t>
      </w:r>
      <w:r w:rsidR="003C14E3">
        <w:t xml:space="preserve">Le 24 juin 2014, le </w:t>
      </w:r>
      <w:r w:rsidR="004237DE">
        <w:t>t</w:t>
      </w:r>
      <w:r w:rsidR="003C14E3">
        <w:t>ribunal c</w:t>
      </w:r>
      <w:r w:rsidR="005A447C">
        <w:t>entral d</w:t>
      </w:r>
      <w:r w:rsidR="003C14E3">
        <w:t>’i</w:t>
      </w:r>
      <w:r w:rsidR="005A447C">
        <w:t xml:space="preserve">nstruction </w:t>
      </w:r>
      <w:r w:rsidR="004237DE">
        <w:t>n</w:t>
      </w:r>
      <w:r w:rsidR="004237DE" w:rsidRPr="00706E01">
        <w:rPr>
          <w:vertAlign w:val="superscript"/>
        </w:rPr>
        <w:t>o</w:t>
      </w:r>
      <w:r w:rsidR="004237DE">
        <w:t> </w:t>
      </w:r>
      <w:r w:rsidR="005A447C">
        <w:t>4 de l’</w:t>
      </w:r>
      <w:r w:rsidR="000739AA" w:rsidRPr="005B2B32">
        <w:t>Audienc</w:t>
      </w:r>
      <w:r w:rsidR="000739AA">
        <w:t xml:space="preserve">ia Nacional </w:t>
      </w:r>
      <w:r w:rsidR="00F52EF6">
        <w:t xml:space="preserve">a </w:t>
      </w:r>
      <w:r w:rsidR="005A447C">
        <w:t>communiqu</w:t>
      </w:r>
      <w:r w:rsidR="00F52EF6">
        <w:t>é</w:t>
      </w:r>
      <w:r w:rsidR="005A447C">
        <w:t xml:space="preserve"> à la </w:t>
      </w:r>
      <w:r w:rsidR="004237DE">
        <w:t>c</w:t>
      </w:r>
      <w:r w:rsidR="005A447C">
        <w:t>our d’appel de Paris</w:t>
      </w:r>
      <w:r w:rsidR="003203AC">
        <w:t xml:space="preserve"> la décision de « non-lieu provisoire ».</w:t>
      </w:r>
      <w:r w:rsidR="00B601B0">
        <w:t xml:space="preserve"> Aucun recours </w:t>
      </w:r>
      <w:r w:rsidR="00B82390">
        <w:t>n’ayant</w:t>
      </w:r>
      <w:r w:rsidR="00B601B0">
        <w:t xml:space="preserve"> été exercé à l’encontre de </w:t>
      </w:r>
      <w:r w:rsidR="00102A6E">
        <w:t>l’ordonnance de non-lieu</w:t>
      </w:r>
      <w:r w:rsidR="004237DE">
        <w:t>,</w:t>
      </w:r>
      <w:r w:rsidR="00102A6E">
        <w:t xml:space="preserve"> elle est devenue définitive</w:t>
      </w:r>
      <w:r w:rsidR="00B601B0">
        <w:t>.</w:t>
      </w:r>
      <w:r w:rsidR="003203AC">
        <w:t xml:space="preserve"> </w:t>
      </w:r>
    </w:p>
    <w:p w14:paraId="45F6E4CF" w14:textId="75C5E012" w:rsidR="006C0934" w:rsidRDefault="00512F1B" w:rsidP="00512F1B">
      <w:pPr>
        <w:pStyle w:val="SingleTxtG"/>
      </w:pPr>
      <w:r>
        <w:t>2.10</w:t>
      </w:r>
      <w:r>
        <w:tab/>
      </w:r>
      <w:r w:rsidR="008C5B3F">
        <w:t>Le 1</w:t>
      </w:r>
      <w:r w:rsidR="008C5B3F" w:rsidRPr="003203AC">
        <w:rPr>
          <w:vertAlign w:val="superscript"/>
        </w:rPr>
        <w:t>er</w:t>
      </w:r>
      <w:r w:rsidR="008C5B3F">
        <w:t xml:space="preserve"> octobre 2014, l</w:t>
      </w:r>
      <w:r w:rsidR="003203AC">
        <w:t xml:space="preserve">a </w:t>
      </w:r>
      <w:r w:rsidR="004237DE">
        <w:t>c</w:t>
      </w:r>
      <w:r w:rsidR="003203AC">
        <w:t xml:space="preserve">our d’appel de Paris </w:t>
      </w:r>
      <w:r w:rsidR="00F52EF6">
        <w:t>a procédé</w:t>
      </w:r>
      <w:r w:rsidR="003203AC">
        <w:t xml:space="preserve"> à une nouvelle audience pendant laqu</w:t>
      </w:r>
      <w:r w:rsidR="003C14E3">
        <w:t xml:space="preserve">elle le requérant </w:t>
      </w:r>
      <w:r w:rsidR="008C5B3F">
        <w:t xml:space="preserve">a </w:t>
      </w:r>
      <w:r w:rsidR="003C14E3">
        <w:t>demand</w:t>
      </w:r>
      <w:r w:rsidR="008C5B3F">
        <w:t>é</w:t>
      </w:r>
      <w:r w:rsidR="003C14E3">
        <w:t xml:space="preserve"> à la </w:t>
      </w:r>
      <w:r w:rsidR="008C5B3F">
        <w:t>c</w:t>
      </w:r>
      <w:r w:rsidR="003203AC">
        <w:t>our de refuser l’</w:t>
      </w:r>
      <w:r w:rsidR="001B38DF">
        <w:t>exécution</w:t>
      </w:r>
      <w:r w:rsidR="003203AC">
        <w:t xml:space="preserve"> du mandat d’arrêt européen aux motifs </w:t>
      </w:r>
      <w:r w:rsidR="00102A6E">
        <w:t xml:space="preserve">que, selon </w:t>
      </w:r>
      <w:r w:rsidR="003203AC">
        <w:t>des organis</w:t>
      </w:r>
      <w:r w:rsidR="006C0934">
        <w:t xml:space="preserve">ations de défense des droits </w:t>
      </w:r>
      <w:r w:rsidR="00102A6E">
        <w:t>de l’homme,</w:t>
      </w:r>
      <w:r w:rsidR="003203AC">
        <w:t xml:space="preserve"> les plaintes pour tortures n</w:t>
      </w:r>
      <w:r w:rsidR="00D85020">
        <w:t xml:space="preserve">’étaient </w:t>
      </w:r>
      <w:r w:rsidR="003203AC">
        <w:t xml:space="preserve">pas </w:t>
      </w:r>
      <w:r w:rsidR="00102A6E">
        <w:t xml:space="preserve">examinées </w:t>
      </w:r>
      <w:r w:rsidR="003203AC">
        <w:t>en Espagne avec la rigueur nécessaire, qu’elle</w:t>
      </w:r>
      <w:r w:rsidR="006C0934">
        <w:t>s</w:t>
      </w:r>
      <w:r w:rsidR="003203AC">
        <w:t xml:space="preserve"> </w:t>
      </w:r>
      <w:r w:rsidR="00D85020">
        <w:t xml:space="preserve">étaient </w:t>
      </w:r>
      <w:r w:rsidR="003203AC">
        <w:t>trop souvent classées sans suite</w:t>
      </w:r>
      <w:r w:rsidR="006C0934">
        <w:t xml:space="preserve"> ou f</w:t>
      </w:r>
      <w:r w:rsidR="00D85020">
        <w:t>aisaie</w:t>
      </w:r>
      <w:r w:rsidR="006C0934">
        <w:t>nt</w:t>
      </w:r>
      <w:r w:rsidR="003203AC">
        <w:t xml:space="preserve"> l’</w:t>
      </w:r>
      <w:r w:rsidR="00334B25">
        <w:t>objet de non-</w:t>
      </w:r>
      <w:r w:rsidR="003203AC">
        <w:t>lieu sans qu’un minimum de vérifications n’aient été effectuées</w:t>
      </w:r>
      <w:r w:rsidR="00102A6E">
        <w:t>,</w:t>
      </w:r>
      <w:r w:rsidR="003203AC">
        <w:t xml:space="preserve"> et que les déclarations obtenues </w:t>
      </w:r>
      <w:r w:rsidR="00102A6E">
        <w:t>sous la torture</w:t>
      </w:r>
      <w:r w:rsidR="003203AC">
        <w:t xml:space="preserve"> étaient utilisées </w:t>
      </w:r>
      <w:r w:rsidR="00334B25">
        <w:t>comme</w:t>
      </w:r>
      <w:r w:rsidR="003203AC">
        <w:t xml:space="preserve"> élément de preuve dans des procédures judiciaires. </w:t>
      </w:r>
      <w:r w:rsidR="00102A6E">
        <w:t>L</w:t>
      </w:r>
      <w:r w:rsidR="003203AC">
        <w:t xml:space="preserve">e requérant citait </w:t>
      </w:r>
      <w:r w:rsidR="00102A6E">
        <w:t xml:space="preserve">à cet égard </w:t>
      </w:r>
      <w:r w:rsidR="003203AC">
        <w:t xml:space="preserve">les recommandations du Comité des </w:t>
      </w:r>
      <w:r w:rsidR="008C5B3F">
        <w:t>d</w:t>
      </w:r>
      <w:r w:rsidR="003203AC">
        <w:t>roits de l’</w:t>
      </w:r>
      <w:r w:rsidR="008C5B3F">
        <w:t>h</w:t>
      </w:r>
      <w:r w:rsidR="003203AC">
        <w:t>omme</w:t>
      </w:r>
      <w:r w:rsidR="003D3152">
        <w:rPr>
          <w:rStyle w:val="FootnoteReference"/>
        </w:rPr>
        <w:footnoteReference w:id="6"/>
      </w:r>
      <w:r w:rsidR="003203AC">
        <w:t>,</w:t>
      </w:r>
      <w:r w:rsidR="00986C67">
        <w:t xml:space="preserve"> du </w:t>
      </w:r>
      <w:r w:rsidR="00986C67" w:rsidRPr="00706E01">
        <w:t>Comité européen pour la prévention de la torture</w:t>
      </w:r>
      <w:r w:rsidR="008C5B3F" w:rsidRPr="00706E01">
        <w:t xml:space="preserve"> et des peines ou traitements inhumains ou dégradants</w:t>
      </w:r>
      <w:r w:rsidR="00CD5114">
        <w:rPr>
          <w:rStyle w:val="FootnoteReference"/>
        </w:rPr>
        <w:footnoteReference w:id="7"/>
      </w:r>
      <w:r w:rsidR="003C14E3">
        <w:t xml:space="preserve"> </w:t>
      </w:r>
      <w:r w:rsidR="00986C67">
        <w:t xml:space="preserve">et </w:t>
      </w:r>
      <w:r w:rsidR="00102A6E">
        <w:t>du</w:t>
      </w:r>
      <w:r w:rsidR="00986C67">
        <w:t xml:space="preserve"> Comité</w:t>
      </w:r>
      <w:r w:rsidR="00102A6E">
        <w:t xml:space="preserve"> contre la </w:t>
      </w:r>
      <w:r w:rsidR="00B87B67">
        <w:t>t</w:t>
      </w:r>
      <w:r w:rsidR="00102A6E">
        <w:t>orture</w:t>
      </w:r>
      <w:r w:rsidR="003D3152">
        <w:rPr>
          <w:rStyle w:val="FootnoteReference"/>
        </w:rPr>
        <w:footnoteReference w:id="8"/>
      </w:r>
      <w:r w:rsidR="004C28D5">
        <w:t xml:space="preserve">, ainsi que des arrêts de la Cour </w:t>
      </w:r>
      <w:r w:rsidR="008C5B3F">
        <w:t>e</w:t>
      </w:r>
      <w:r w:rsidR="004C28D5">
        <w:t>uropéenne des droits de l’homme,</w:t>
      </w:r>
      <w:r w:rsidR="00986C67">
        <w:t xml:space="preserve"> en relation avec le </w:t>
      </w:r>
      <w:r w:rsidR="00986C67" w:rsidRPr="006C0934">
        <w:t xml:space="preserve">régime </w:t>
      </w:r>
      <w:r w:rsidR="00CE21E1" w:rsidRPr="006C0934">
        <w:t xml:space="preserve">de détention au secret </w:t>
      </w:r>
      <w:r w:rsidR="00F939AC">
        <w:t>et l’utilisation de</w:t>
      </w:r>
      <w:r w:rsidR="003C14E3">
        <w:t>s</w:t>
      </w:r>
      <w:r w:rsidR="00F939AC">
        <w:t xml:space="preserve"> déclarations faite</w:t>
      </w:r>
      <w:r w:rsidR="006C0934">
        <w:t>s</w:t>
      </w:r>
      <w:r w:rsidR="00F939AC">
        <w:t xml:space="preserve"> </w:t>
      </w:r>
      <w:r w:rsidR="00B87B67">
        <w:t>sous</w:t>
      </w:r>
      <w:r w:rsidR="00F939AC">
        <w:t xml:space="preserve"> ce régime comme éléments de preuve. </w:t>
      </w:r>
    </w:p>
    <w:p w14:paraId="2BB4A2B5" w14:textId="6A1D0140" w:rsidR="00A40C58" w:rsidRDefault="00512F1B" w:rsidP="00512F1B">
      <w:pPr>
        <w:pStyle w:val="SingleTxtG"/>
      </w:pPr>
      <w:r>
        <w:t>2.11</w:t>
      </w:r>
      <w:r>
        <w:tab/>
      </w:r>
      <w:r w:rsidR="00F43CAF">
        <w:t xml:space="preserve">Alors que l’affaire était en cours de délibéré, la Cour européenne des droits de l’homme </w:t>
      </w:r>
      <w:r w:rsidR="00F672A8">
        <w:t xml:space="preserve">a </w:t>
      </w:r>
      <w:r w:rsidR="00F43CAF">
        <w:t>rend</w:t>
      </w:r>
      <w:r w:rsidR="00F672A8">
        <w:t>u</w:t>
      </w:r>
      <w:r w:rsidR="00B87B67">
        <w:t xml:space="preserve">, le </w:t>
      </w:r>
      <w:r w:rsidR="00B87B67" w:rsidRPr="00EB54C5">
        <w:t>7</w:t>
      </w:r>
      <w:r w:rsidR="00F672A8" w:rsidRPr="00EB54C5">
        <w:t> </w:t>
      </w:r>
      <w:r w:rsidR="00B87B67" w:rsidRPr="00EB54C5">
        <w:t>octobre 2014</w:t>
      </w:r>
      <w:r w:rsidR="00B87B67">
        <w:t>,</w:t>
      </w:r>
      <w:r w:rsidR="00F43CAF">
        <w:t xml:space="preserve"> </w:t>
      </w:r>
      <w:r w:rsidR="003C14E3">
        <w:t>s</w:t>
      </w:r>
      <w:r w:rsidR="00B87B67">
        <w:t>on arrêt</w:t>
      </w:r>
      <w:r w:rsidR="00F43CAF">
        <w:t xml:space="preserve"> </w:t>
      </w:r>
      <w:r w:rsidR="00F43CAF" w:rsidRPr="00A04F3B">
        <w:t>sur l</w:t>
      </w:r>
      <w:r w:rsidR="00EF5305" w:rsidRPr="00A04F3B">
        <w:t>’affaire</w:t>
      </w:r>
      <w:r w:rsidR="006C0934" w:rsidRPr="00A04F3B">
        <w:t xml:space="preserve"> </w:t>
      </w:r>
      <w:r w:rsidR="00F43CAF" w:rsidRPr="00801166">
        <w:rPr>
          <w:i/>
        </w:rPr>
        <w:t>Etxeb</w:t>
      </w:r>
      <w:r w:rsidR="00DA4EE1">
        <w:rPr>
          <w:i/>
        </w:rPr>
        <w:t>a</w:t>
      </w:r>
      <w:r w:rsidR="00F43CAF" w:rsidRPr="00801166">
        <w:rPr>
          <w:i/>
        </w:rPr>
        <w:t>rr</w:t>
      </w:r>
      <w:r w:rsidR="00A04F3B">
        <w:rPr>
          <w:i/>
        </w:rPr>
        <w:t>i</w:t>
      </w:r>
      <w:r w:rsidR="00F43CAF" w:rsidRPr="00801166">
        <w:rPr>
          <w:i/>
        </w:rPr>
        <w:t>a Caballero</w:t>
      </w:r>
      <w:r w:rsidR="008D48C3" w:rsidRPr="00801166">
        <w:rPr>
          <w:i/>
        </w:rPr>
        <w:t xml:space="preserve"> </w:t>
      </w:r>
      <w:r w:rsidR="00B87B67" w:rsidRPr="00801166">
        <w:rPr>
          <w:i/>
        </w:rPr>
        <w:t>c.</w:t>
      </w:r>
      <w:r w:rsidR="00A04F3B">
        <w:rPr>
          <w:i/>
        </w:rPr>
        <w:t> </w:t>
      </w:r>
      <w:r w:rsidR="00B87B67" w:rsidRPr="00801166">
        <w:rPr>
          <w:i/>
        </w:rPr>
        <w:t>Espagne</w:t>
      </w:r>
      <w:r w:rsidR="00B87B67">
        <w:t xml:space="preserve">. La Cour a constaté </w:t>
      </w:r>
      <w:r w:rsidR="008D48C3">
        <w:t xml:space="preserve">l’insuffisance de l’enquête menée par les autorités espagnoles à la suite de la plainte </w:t>
      </w:r>
      <w:r w:rsidR="00B87B67">
        <w:t xml:space="preserve">et </w:t>
      </w:r>
      <w:r w:rsidR="00E90BA6">
        <w:t>trouv</w:t>
      </w:r>
      <w:r w:rsidR="00B87B67">
        <w:t>é une</w:t>
      </w:r>
      <w:r w:rsidR="003C14E3">
        <w:t xml:space="preserve"> violation de</w:t>
      </w:r>
      <w:r w:rsidR="008D48C3">
        <w:t xml:space="preserve"> l’obligation procédurale prévue par l’article</w:t>
      </w:r>
      <w:r w:rsidR="00F672A8">
        <w:t> </w:t>
      </w:r>
      <w:r w:rsidR="008D48C3">
        <w:t>3 de la Convention de sauvegarde des droits de l’homm</w:t>
      </w:r>
      <w:r w:rsidR="00673644">
        <w:t>e et des libertés fondamentales</w:t>
      </w:r>
      <w:r w:rsidR="00F672A8">
        <w:t xml:space="preserve"> (Convention européenne des droits </w:t>
      </w:r>
      <w:r w:rsidR="00F672A8" w:rsidRPr="00706E01">
        <w:t>de l’homme)</w:t>
      </w:r>
      <w:r w:rsidR="008D48C3" w:rsidRPr="00706E01">
        <w:rPr>
          <w:rStyle w:val="FootnoteReference"/>
        </w:rPr>
        <w:footnoteReference w:id="9"/>
      </w:r>
      <w:r w:rsidR="008D48C3" w:rsidRPr="00706E01">
        <w:t>.</w:t>
      </w:r>
    </w:p>
    <w:p w14:paraId="4BD2B47F" w14:textId="749DF06A" w:rsidR="000F14E8" w:rsidRDefault="00512F1B" w:rsidP="00512F1B">
      <w:pPr>
        <w:pStyle w:val="SingleTxtG"/>
      </w:pPr>
      <w:r>
        <w:t>2.12</w:t>
      </w:r>
      <w:r>
        <w:tab/>
      </w:r>
      <w:r w:rsidR="00F939AC">
        <w:t>L</w:t>
      </w:r>
      <w:r w:rsidR="003203AC">
        <w:t xml:space="preserve">a </w:t>
      </w:r>
      <w:r w:rsidR="004237DE">
        <w:t>c</w:t>
      </w:r>
      <w:r w:rsidR="003203AC">
        <w:t>our d’</w:t>
      </w:r>
      <w:r w:rsidR="00303D89">
        <w:t>appel de Paris</w:t>
      </w:r>
      <w:r w:rsidR="009424B5">
        <w:t xml:space="preserve"> n’a pas tenu compte de l</w:t>
      </w:r>
      <w:r w:rsidR="00CB2FF1">
        <w:t>’arrêt de la Cour e</w:t>
      </w:r>
      <w:r w:rsidR="009424B5">
        <w:t xml:space="preserve">uropéenne </w:t>
      </w:r>
      <w:r w:rsidR="00626E34">
        <w:t xml:space="preserve">des droits de l’homme </w:t>
      </w:r>
      <w:r w:rsidR="009424B5">
        <w:t>et</w:t>
      </w:r>
      <w:r w:rsidR="00303D89">
        <w:t xml:space="preserve">, par arrêt du </w:t>
      </w:r>
      <w:r w:rsidR="00F43CAF" w:rsidRPr="00EB54C5">
        <w:t>12 novembre 2014</w:t>
      </w:r>
      <w:r w:rsidR="00303D89">
        <w:t xml:space="preserve">, </w:t>
      </w:r>
      <w:r w:rsidR="00626E34">
        <w:t xml:space="preserve">a </w:t>
      </w:r>
      <w:r w:rsidR="00ED35CA">
        <w:t>ordonn</w:t>
      </w:r>
      <w:r w:rsidR="00626E34">
        <w:t xml:space="preserve">é </w:t>
      </w:r>
      <w:r w:rsidR="00ED35CA">
        <w:t xml:space="preserve">la remise </w:t>
      </w:r>
      <w:r w:rsidR="00D2653E" w:rsidRPr="00524EFA">
        <w:rPr>
          <w:color w:val="000000" w:themeColor="text1"/>
        </w:rPr>
        <w:t>différée</w:t>
      </w:r>
      <w:r w:rsidR="00ED35CA" w:rsidRPr="00524EFA">
        <w:rPr>
          <w:color w:val="000000" w:themeColor="text1"/>
        </w:rPr>
        <w:t xml:space="preserve"> </w:t>
      </w:r>
      <w:r w:rsidR="00ED35CA">
        <w:t xml:space="preserve">du </w:t>
      </w:r>
      <w:r w:rsidR="00ED35CA">
        <w:lastRenderedPageBreak/>
        <w:t xml:space="preserve">requérant </w:t>
      </w:r>
      <w:r w:rsidR="00303D89">
        <w:t>aux autorités espagnoles</w:t>
      </w:r>
      <w:r w:rsidR="008D194D">
        <w:t xml:space="preserve">, en exécution </w:t>
      </w:r>
      <w:r w:rsidR="009424B5">
        <w:t>du mandat d’arrêt européen</w:t>
      </w:r>
      <w:r w:rsidR="008D194D">
        <w:t>, car le requérant faisait également l’objet de poursuites pénales en France</w:t>
      </w:r>
      <w:r w:rsidR="00303D89">
        <w:t xml:space="preserve">. </w:t>
      </w:r>
      <w:r w:rsidR="009424B5">
        <w:t xml:space="preserve">Le recours contre cette décision a été rejeté par la Cour de </w:t>
      </w:r>
      <w:r w:rsidR="00626E34">
        <w:t>c</w:t>
      </w:r>
      <w:r w:rsidR="009424B5">
        <w:t xml:space="preserve">assation le 16 décembre 2014. Cette dernière a </w:t>
      </w:r>
      <w:r w:rsidR="00303D89">
        <w:t>relev</w:t>
      </w:r>
      <w:r w:rsidR="009424B5">
        <w:t>é</w:t>
      </w:r>
      <w:r w:rsidR="00303D89">
        <w:t xml:space="preserve"> que les</w:t>
      </w:r>
      <w:r w:rsidR="009424B5">
        <w:t xml:space="preserve"> griefs invoqués par le requérant étaient infondés</w:t>
      </w:r>
      <w:r w:rsidR="00455831">
        <w:t xml:space="preserve"> et étaient de simples allégations</w:t>
      </w:r>
      <w:r w:rsidR="009424B5">
        <w:t>, la juridiction suprême espagnole ayant rejeté le recours</w:t>
      </w:r>
      <w:r w:rsidR="00455831">
        <w:t xml:space="preserve"> d’un des témoins et ordonné un non-lieu sur la plainte du deuxi</w:t>
      </w:r>
      <w:r w:rsidR="00CB2FF1">
        <w:t>ème, qui</w:t>
      </w:r>
      <w:r w:rsidR="00303D89">
        <w:t xml:space="preserve"> avait acquiescé</w:t>
      </w:r>
      <w:r w:rsidR="00455831">
        <w:t>.</w:t>
      </w:r>
      <w:r w:rsidR="002C13E3">
        <w:t xml:space="preserve"> </w:t>
      </w:r>
    </w:p>
    <w:p w14:paraId="6D63558F" w14:textId="77777777" w:rsidR="007D3EF8" w:rsidRPr="005A7A11" w:rsidRDefault="005A7A11" w:rsidP="005A7A11">
      <w:pPr>
        <w:pStyle w:val="H23G"/>
      </w:pPr>
      <w:r>
        <w:tab/>
      </w:r>
      <w:r>
        <w:tab/>
      </w:r>
      <w:r w:rsidR="007D3EF8" w:rsidRPr="005A7A11">
        <w:t>Teneur de la plainte</w:t>
      </w:r>
    </w:p>
    <w:p w14:paraId="342C1992" w14:textId="441BABE3" w:rsidR="00D2653E" w:rsidRDefault="00512F1B" w:rsidP="00512F1B">
      <w:pPr>
        <w:pStyle w:val="SingleTxtG"/>
        <w:ind w:hanging="11"/>
      </w:pPr>
      <w:r>
        <w:t>3.1</w:t>
      </w:r>
      <w:r>
        <w:tab/>
      </w:r>
      <w:r w:rsidR="00276AD4">
        <w:t xml:space="preserve">Le requérant </w:t>
      </w:r>
      <w:r w:rsidR="002011EF">
        <w:t>fait valoir que</w:t>
      </w:r>
      <w:r w:rsidR="008853D7">
        <w:t xml:space="preserve"> la </w:t>
      </w:r>
      <w:r w:rsidR="00626E34">
        <w:t>c</w:t>
      </w:r>
      <w:r w:rsidR="008853D7">
        <w:t>hambre d</w:t>
      </w:r>
      <w:r w:rsidR="005D1E2D">
        <w:t>e l</w:t>
      </w:r>
      <w:r w:rsidR="008853D7">
        <w:t xml:space="preserve">’instruction de la </w:t>
      </w:r>
      <w:r w:rsidR="004237DE">
        <w:t>c</w:t>
      </w:r>
      <w:r w:rsidR="008853D7">
        <w:t>our d’appel de Paris et</w:t>
      </w:r>
      <w:r w:rsidR="002011EF">
        <w:t xml:space="preserve"> la Cour de </w:t>
      </w:r>
      <w:r w:rsidR="00626E34">
        <w:t>c</w:t>
      </w:r>
      <w:r w:rsidR="002011EF">
        <w:t xml:space="preserve">assation </w:t>
      </w:r>
      <w:r w:rsidR="008853D7">
        <w:t>ont</w:t>
      </w:r>
      <w:r w:rsidR="002011EF">
        <w:t xml:space="preserve"> violé</w:t>
      </w:r>
      <w:r w:rsidR="000C1A1F">
        <w:t xml:space="preserve"> l’article 15 de la Convention </w:t>
      </w:r>
      <w:r w:rsidR="00626E34">
        <w:t xml:space="preserve">en </w:t>
      </w:r>
      <w:r w:rsidR="002011EF">
        <w:t>perm</w:t>
      </w:r>
      <w:r w:rsidR="00626E34">
        <w:t xml:space="preserve">ettant </w:t>
      </w:r>
      <w:r w:rsidR="002011EF">
        <w:t>qu’un mandat d’arrêt européen fond</w:t>
      </w:r>
      <w:r w:rsidR="00626E34">
        <w:t xml:space="preserve">é </w:t>
      </w:r>
      <w:r w:rsidR="002011EF">
        <w:t xml:space="preserve">sur les déclarations de deux personnes </w:t>
      </w:r>
      <w:r w:rsidR="00626E34">
        <w:t xml:space="preserve">ayant </w:t>
      </w:r>
      <w:r w:rsidR="002011EF">
        <w:t xml:space="preserve">dénoncé avoir été torturées soit exécuté et ce, alors même que la Cour </w:t>
      </w:r>
      <w:r w:rsidR="00626E34">
        <w:t>e</w:t>
      </w:r>
      <w:r w:rsidR="002011EF">
        <w:t>uropéenne des droits de l’homme</w:t>
      </w:r>
      <w:r w:rsidR="00626E34">
        <w:t>, dans l’un des deux cas,</w:t>
      </w:r>
      <w:r w:rsidR="002011EF">
        <w:t xml:space="preserve"> </w:t>
      </w:r>
      <w:r w:rsidR="00E24C6B">
        <w:t xml:space="preserve">avait </w:t>
      </w:r>
      <w:r w:rsidR="002011EF">
        <w:t>condamn</w:t>
      </w:r>
      <w:r w:rsidR="00E24C6B">
        <w:t>é</w:t>
      </w:r>
      <w:r w:rsidR="002011EF">
        <w:t xml:space="preserve"> l’Espagne sur le fondement de l’article 3 de la Convention </w:t>
      </w:r>
      <w:r w:rsidR="00626E34">
        <w:t>e</w:t>
      </w:r>
      <w:r w:rsidR="002011EF">
        <w:t>uropéenne</w:t>
      </w:r>
      <w:r w:rsidR="00626E34">
        <w:t xml:space="preserve"> des droits de l’homme</w:t>
      </w:r>
      <w:r w:rsidR="002011EF">
        <w:t>.</w:t>
      </w:r>
    </w:p>
    <w:p w14:paraId="1ADDD367" w14:textId="6FBD16AC" w:rsidR="003264F0" w:rsidRDefault="00512F1B" w:rsidP="00512F1B">
      <w:pPr>
        <w:pStyle w:val="SingleTxtG"/>
        <w:ind w:hanging="11"/>
      </w:pPr>
      <w:r>
        <w:t>3.2</w:t>
      </w:r>
      <w:r>
        <w:tab/>
      </w:r>
      <w:r w:rsidR="000C1A1F">
        <w:t>Le requérant maintient que les dispositions de l’article 15 ne peuvent être opposables aux seules autorités espagnoles et ce, pour deux raisons. La première tiendrait aux termes de cet article qui ne s’applique pas aux seules procédures initiées dans l’</w:t>
      </w:r>
      <w:r w:rsidR="00360E7D">
        <w:t>É</w:t>
      </w:r>
      <w:r w:rsidR="000C1A1F">
        <w:t>tat dans lequel les actes de torture ont été commis ou dénoncés. La seconde tiendrait à l’inertie de</w:t>
      </w:r>
      <w:r w:rsidR="00FB5AD6">
        <w:t>s</w:t>
      </w:r>
      <w:r w:rsidR="000C1A1F">
        <w:t xml:space="preserve"> autorités espagnoles face aux nombreuses recommandations effectuées par les diverses organisations de défense des droit</w:t>
      </w:r>
      <w:r w:rsidR="00FB5AD6">
        <w:t>s</w:t>
      </w:r>
      <w:r w:rsidR="000C1A1F">
        <w:t xml:space="preserve"> </w:t>
      </w:r>
      <w:r w:rsidR="00360E7D">
        <w:t xml:space="preserve">de l’homme </w:t>
      </w:r>
      <w:r w:rsidR="000C1A1F">
        <w:t xml:space="preserve">pour éradiquer la pratique de la torture dans les commissariats espagnols. </w:t>
      </w:r>
    </w:p>
    <w:p w14:paraId="6D425265" w14:textId="0CE60792" w:rsidR="003264F0" w:rsidRDefault="00512F1B" w:rsidP="00512F1B">
      <w:pPr>
        <w:pStyle w:val="SingleTxtG"/>
        <w:ind w:hanging="11"/>
      </w:pPr>
      <w:r>
        <w:t>3.3</w:t>
      </w:r>
      <w:r>
        <w:tab/>
      </w:r>
      <w:r w:rsidR="003264F0" w:rsidRPr="009D760D">
        <w:t xml:space="preserve">Le requérant souligne que le régime de détention au secret a fait l’objet de préoccupation et de recommandations de la </w:t>
      </w:r>
      <w:r w:rsidR="003264F0" w:rsidRPr="00706E01">
        <w:t>part du Comité européen pour la prévention de la torture</w:t>
      </w:r>
      <w:r w:rsidR="008C5B3F" w:rsidRPr="00706E01">
        <w:t xml:space="preserve"> et des peines ou traitements inhumains ou dégradants</w:t>
      </w:r>
      <w:r w:rsidR="003264F0" w:rsidRPr="009D760D">
        <w:rPr>
          <w:rStyle w:val="FootnoteReference"/>
        </w:rPr>
        <w:footnoteReference w:id="10"/>
      </w:r>
      <w:r w:rsidR="003264F0" w:rsidRPr="009D760D">
        <w:t xml:space="preserve">, </w:t>
      </w:r>
      <w:r w:rsidR="003D3B87">
        <w:t xml:space="preserve">du </w:t>
      </w:r>
      <w:r w:rsidR="003264F0">
        <w:t>Comité des droits de l’h</w:t>
      </w:r>
      <w:r w:rsidR="003264F0" w:rsidRPr="009D760D">
        <w:t>omme</w:t>
      </w:r>
      <w:r w:rsidR="003264F0" w:rsidRPr="00E24C6B">
        <w:rPr>
          <w:rStyle w:val="FootnoteReference"/>
        </w:rPr>
        <w:footnoteReference w:id="11"/>
      </w:r>
      <w:r w:rsidR="003264F0" w:rsidRPr="009D760D">
        <w:t xml:space="preserve"> et </w:t>
      </w:r>
      <w:r w:rsidR="003D3B87">
        <w:t xml:space="preserve">du </w:t>
      </w:r>
      <w:r w:rsidR="003264F0" w:rsidRPr="009D760D">
        <w:t>Comité</w:t>
      </w:r>
      <w:r w:rsidR="003264F0">
        <w:t xml:space="preserve"> contre la torture</w:t>
      </w:r>
      <w:r w:rsidR="003264F0" w:rsidRPr="00FE1274">
        <w:t>.</w:t>
      </w:r>
      <w:r w:rsidR="003264F0">
        <w:t xml:space="preserve"> Ce </w:t>
      </w:r>
      <w:r w:rsidR="003D3B87">
        <w:t xml:space="preserve">dernier a </w:t>
      </w:r>
      <w:r w:rsidR="003264F0">
        <w:t>réit</w:t>
      </w:r>
      <w:r w:rsidR="003D3B87">
        <w:t xml:space="preserve">éré </w:t>
      </w:r>
      <w:r w:rsidR="003264F0">
        <w:t xml:space="preserve">dans ses observations finales </w:t>
      </w:r>
      <w:r w:rsidR="003D3B87">
        <w:t xml:space="preserve">sur le </w:t>
      </w:r>
      <w:r w:rsidR="003264F0">
        <w:t xml:space="preserve">cinquième rapport périodique de </w:t>
      </w:r>
      <w:r w:rsidR="003264F0" w:rsidRPr="00FE1274">
        <w:t xml:space="preserve">l’Espagne </w:t>
      </w:r>
      <w:r w:rsidR="003264F0" w:rsidRPr="0030162A">
        <w:t>sa</w:t>
      </w:r>
      <w:r w:rsidR="003264F0" w:rsidRPr="000C413C">
        <w:t xml:space="preserve"> préoccupation − partagée par tous les organes régionaux et internationaux de protection des droits de l’homme compétents − devant le fait que le régime de mise au secret appliqué par l’État partie dans les affaires impliquant des terroristes et des groupes armés, qui p</w:t>
      </w:r>
      <w:r w:rsidR="00617B93">
        <w:t>ouvai</w:t>
      </w:r>
      <w:r w:rsidR="003264F0" w:rsidRPr="000C413C">
        <w:t>t durer jusqu’à treize jours, nui</w:t>
      </w:r>
      <w:r w:rsidR="00617B93">
        <w:t>sai</w:t>
      </w:r>
      <w:r w:rsidR="003264F0" w:rsidRPr="000C413C">
        <w:t>t aux garanties de l’état de droit en ce qui concern</w:t>
      </w:r>
      <w:r w:rsidR="00617B93">
        <w:t>ait</w:t>
      </w:r>
      <w:r w:rsidR="003264F0" w:rsidRPr="000C413C">
        <w:t xml:space="preserve"> les mauvais trai</w:t>
      </w:r>
      <w:r w:rsidR="003264F0">
        <w:t>tements et les actes de torture</w:t>
      </w:r>
      <w:r w:rsidR="00E24C6B">
        <w:rPr>
          <w:rStyle w:val="FootnoteReference"/>
        </w:rPr>
        <w:footnoteReference w:id="12"/>
      </w:r>
      <w:r w:rsidR="003264F0">
        <w:t>.</w:t>
      </w:r>
    </w:p>
    <w:p w14:paraId="245FCC87" w14:textId="3352DC9B" w:rsidR="003264F0" w:rsidRPr="009A097D" w:rsidRDefault="00512F1B" w:rsidP="00512F1B">
      <w:pPr>
        <w:pStyle w:val="SingleTxtG"/>
        <w:ind w:hanging="11"/>
      </w:pPr>
      <w:r w:rsidRPr="009A097D">
        <w:t>3.4</w:t>
      </w:r>
      <w:r w:rsidRPr="009A097D">
        <w:tab/>
      </w:r>
      <w:r w:rsidR="003264F0">
        <w:t xml:space="preserve">Dans ce contexte, </w:t>
      </w:r>
      <w:r w:rsidR="005C5BA3">
        <w:t>les déclarations de</w:t>
      </w:r>
      <w:r w:rsidR="00384037">
        <w:t xml:space="preserve"> M</w:t>
      </w:r>
      <w:r w:rsidR="00384037" w:rsidRPr="00801166">
        <w:rPr>
          <w:vertAlign w:val="superscript"/>
        </w:rPr>
        <w:t>me</w:t>
      </w:r>
      <w:r w:rsidR="005C5BA3">
        <w:t xml:space="preserve"> Etxebarr</w:t>
      </w:r>
      <w:r w:rsidR="00493B2D">
        <w:t>i</w:t>
      </w:r>
      <w:r w:rsidR="005C5BA3">
        <w:t xml:space="preserve">a </w:t>
      </w:r>
      <w:r w:rsidR="005C5BA3" w:rsidRPr="00E76F58">
        <w:t>Caballero doivent être frappées de nullité et ne peuvent être utilisées dans le cadre d’aucune procédure.</w:t>
      </w:r>
      <w:r w:rsidR="00032D21" w:rsidRPr="00E76F58">
        <w:t xml:space="preserve"> </w:t>
      </w:r>
      <w:r w:rsidR="003264F0">
        <w:t>Le requérant demande au Comité de constater la violation et sollicite une indemnisation à hauteur de 6</w:t>
      </w:r>
      <w:r w:rsidR="005B2026">
        <w:t> </w:t>
      </w:r>
      <w:r w:rsidR="003264F0">
        <w:t>500</w:t>
      </w:r>
      <w:r w:rsidR="005B2026">
        <w:t> </w:t>
      </w:r>
      <w:r w:rsidR="0054444F">
        <w:t xml:space="preserve">euros en réparation du préjudice résultant des décisions des juridictions françaises. Il </w:t>
      </w:r>
      <w:r w:rsidR="00493B2D">
        <w:t xml:space="preserve">demande </w:t>
      </w:r>
      <w:r w:rsidR="0054444F">
        <w:t>également que toutes les conséquences de ce constat soient tirées au regard de la procédure d</w:t>
      </w:r>
      <w:r w:rsidR="005B2026">
        <w:t>u</w:t>
      </w:r>
      <w:r w:rsidR="0054444F">
        <w:t xml:space="preserve"> mandat d’arrêt européen le concernant.</w:t>
      </w:r>
    </w:p>
    <w:p w14:paraId="0A3616D0" w14:textId="77777777" w:rsidR="007D3EF8" w:rsidRPr="005A7A11" w:rsidRDefault="005A7A11" w:rsidP="005A7A11">
      <w:pPr>
        <w:pStyle w:val="H23G"/>
      </w:pPr>
      <w:r>
        <w:tab/>
      </w:r>
      <w:r>
        <w:tab/>
      </w:r>
      <w:r w:rsidR="007D3EF8" w:rsidRPr="005A7A11">
        <w:t>Observations de l’État partie sur la rece</w:t>
      </w:r>
      <w:r>
        <w:t>vabilité</w:t>
      </w:r>
    </w:p>
    <w:p w14:paraId="5815CCC7" w14:textId="2F97DE02" w:rsidR="007D3EF8" w:rsidRPr="005A7A11" w:rsidRDefault="007D3EF8" w:rsidP="002E57D0">
      <w:pPr>
        <w:pStyle w:val="SingleTxtG"/>
        <w:rPr>
          <w:u w:val="single"/>
        </w:rPr>
      </w:pPr>
      <w:r w:rsidRPr="005A7A11">
        <w:t>4.</w:t>
      </w:r>
      <w:r w:rsidRPr="005A7A11">
        <w:tab/>
      </w:r>
      <w:r w:rsidR="003A446B">
        <w:t>Le</w:t>
      </w:r>
      <w:r w:rsidR="00933F39">
        <w:t xml:space="preserve"> 22 juin 2015</w:t>
      </w:r>
      <w:r w:rsidRPr="005A7A11">
        <w:t>, l’</w:t>
      </w:r>
      <w:r w:rsidR="00A60EAB" w:rsidRPr="005A7A11">
        <w:t>État</w:t>
      </w:r>
      <w:r w:rsidRPr="005A7A11">
        <w:t xml:space="preserve"> partie </w:t>
      </w:r>
      <w:r w:rsidR="002E57D0">
        <w:t xml:space="preserve">a </w:t>
      </w:r>
      <w:r w:rsidRPr="005A7A11">
        <w:t>contest</w:t>
      </w:r>
      <w:r w:rsidR="002E57D0">
        <w:t>é</w:t>
      </w:r>
      <w:r w:rsidRPr="005A7A11">
        <w:t xml:space="preserve"> la recevabilité de la requête. Il entend</w:t>
      </w:r>
      <w:r w:rsidR="002E57D0">
        <w:t>ait</w:t>
      </w:r>
      <w:r w:rsidRPr="005A7A11">
        <w:t xml:space="preserve"> démontrer que la communication </w:t>
      </w:r>
      <w:r w:rsidR="002E57D0">
        <w:t xml:space="preserve">était </w:t>
      </w:r>
      <w:r w:rsidRPr="005A7A11">
        <w:t>irr</w:t>
      </w:r>
      <w:r w:rsidR="00D46E65">
        <w:t xml:space="preserve">ecevable au sens du </w:t>
      </w:r>
      <w:r w:rsidR="00D46E65" w:rsidRPr="00B004DB">
        <w:t>paragraphe 5</w:t>
      </w:r>
      <w:r w:rsidR="00B004DB" w:rsidRPr="00EB54C5">
        <w:t> </w:t>
      </w:r>
      <w:r w:rsidR="00D46E65" w:rsidRPr="00B004DB">
        <w:t>a</w:t>
      </w:r>
      <w:r w:rsidR="00B004DB" w:rsidRPr="00B004DB">
        <w:t>)</w:t>
      </w:r>
      <w:r w:rsidRPr="005A7A11">
        <w:t xml:space="preserve"> de l’article</w:t>
      </w:r>
      <w:r w:rsidR="002E57D0">
        <w:t> </w:t>
      </w:r>
      <w:r w:rsidRPr="005A7A11">
        <w:t xml:space="preserve">22 de la Convention pour </w:t>
      </w:r>
      <w:r w:rsidR="00D46E65" w:rsidRPr="00D46E65">
        <w:t>litispendance </w:t>
      </w:r>
      <w:r w:rsidR="00D46E65">
        <w:t>internationale</w:t>
      </w:r>
      <w:r w:rsidRPr="005A7A11">
        <w:t xml:space="preserve">, </w:t>
      </w:r>
      <w:r w:rsidR="00D46E65">
        <w:t xml:space="preserve">le requérant ayant </w:t>
      </w:r>
      <w:r w:rsidR="00CE2EFE">
        <w:t xml:space="preserve">déposé le </w:t>
      </w:r>
      <w:r w:rsidR="00CE2EFE" w:rsidRPr="00EB54C5">
        <w:t>20</w:t>
      </w:r>
      <w:r w:rsidR="002E57D0" w:rsidRPr="00EB54C5">
        <w:t> </w:t>
      </w:r>
      <w:r w:rsidR="00CE2EFE" w:rsidRPr="00EB54C5">
        <w:t>février 2</w:t>
      </w:r>
      <w:r w:rsidR="00384037" w:rsidRPr="00EB54C5">
        <w:t>015</w:t>
      </w:r>
      <w:r w:rsidR="00384037">
        <w:t xml:space="preserve"> une requête devant la Cour européenne des droits de l’h</w:t>
      </w:r>
      <w:r w:rsidR="00CE2EFE">
        <w:t xml:space="preserve">omme qui a fait l’objet d’une décision d’irrecevabilité le </w:t>
      </w:r>
      <w:r w:rsidR="00CE2EFE" w:rsidRPr="00EB54C5">
        <w:t>16 avril 2015.</w:t>
      </w:r>
    </w:p>
    <w:p w14:paraId="575DD65E" w14:textId="77777777" w:rsidR="007D3EF8" w:rsidRPr="005A7A11" w:rsidRDefault="00CC0CA7" w:rsidP="00CC0CA7">
      <w:pPr>
        <w:pStyle w:val="H23G"/>
      </w:pPr>
      <w:r>
        <w:tab/>
      </w:r>
      <w:r>
        <w:tab/>
      </w:r>
      <w:r w:rsidR="007D3EF8" w:rsidRPr="005A7A11">
        <w:t>Commentaires du requérant sur les observations de l’État partie sur la recevabilité</w:t>
      </w:r>
    </w:p>
    <w:p w14:paraId="45F5B974" w14:textId="7CF39EEB" w:rsidR="007D3EF8" w:rsidRPr="005A7A11" w:rsidRDefault="007D3EF8" w:rsidP="007D3EF8">
      <w:pPr>
        <w:pStyle w:val="SingleTxtG"/>
      </w:pPr>
      <w:r w:rsidRPr="005A7A11">
        <w:t>5.</w:t>
      </w:r>
      <w:r w:rsidRPr="005A7A11">
        <w:tab/>
      </w:r>
      <w:r w:rsidR="00CC0CA7">
        <w:t xml:space="preserve">Dans ses commentaires du </w:t>
      </w:r>
      <w:r w:rsidR="00877C06">
        <w:t>7</w:t>
      </w:r>
      <w:r w:rsidRPr="005A7A11">
        <w:t xml:space="preserve"> septembre </w:t>
      </w:r>
      <w:r w:rsidR="00877C06">
        <w:t>2015</w:t>
      </w:r>
      <w:r w:rsidRPr="005A7A11">
        <w:t>, le requérant réfute l’argument de l’</w:t>
      </w:r>
      <w:r w:rsidR="00A60EAB" w:rsidRPr="005A7A11">
        <w:t>État</w:t>
      </w:r>
      <w:r w:rsidRPr="005A7A11">
        <w:t xml:space="preserve"> partie </w:t>
      </w:r>
      <w:r w:rsidR="00CC0CA7">
        <w:t xml:space="preserve">selon lequel </w:t>
      </w:r>
      <w:r w:rsidR="00877C06">
        <w:t>la même question aura</w:t>
      </w:r>
      <w:r w:rsidR="00384037">
        <w:t>it été examinée devant la Cour européenne de droits de l’h</w:t>
      </w:r>
      <w:r w:rsidR="00877C06">
        <w:t>omme. Le requérant apporte le contenu de cette requête qui concerne une question différente présentée</w:t>
      </w:r>
      <w:r w:rsidR="00384037">
        <w:t xml:space="preserve"> par le requérant devant cette c</w:t>
      </w:r>
      <w:r w:rsidR="00877C06">
        <w:t>our</w:t>
      </w:r>
      <w:r w:rsidR="00CC0CA7">
        <w:t>.</w:t>
      </w:r>
      <w:r w:rsidR="0063139F">
        <w:t xml:space="preserve"> En effet, l’objet de sa requête devant la Cour concernait le caractère déraisonnable du délai à l’issue duquel il a </w:t>
      </w:r>
      <w:r w:rsidR="0063139F">
        <w:lastRenderedPageBreak/>
        <w:t xml:space="preserve">été jugé dans le cadre de la procédure judiciaire ouverte à son encontre en France. </w:t>
      </w:r>
      <w:r w:rsidR="00877C06">
        <w:t xml:space="preserve">Le requérant </w:t>
      </w:r>
      <w:r w:rsidR="00C36F0F">
        <w:t xml:space="preserve">réaffirme </w:t>
      </w:r>
      <w:r w:rsidR="00877C06">
        <w:t>que la question présentée à ce Comité n’a pas fait l’objet d’</w:t>
      </w:r>
      <w:r w:rsidR="00C36F0F">
        <w:t xml:space="preserve">un </w:t>
      </w:r>
      <w:r w:rsidR="00877C06">
        <w:t>examen par une autre instance internationale.</w:t>
      </w:r>
    </w:p>
    <w:p w14:paraId="7ED860CB" w14:textId="77777777" w:rsidR="007D3EF8" w:rsidRPr="005A7A11" w:rsidRDefault="00CC0CA7" w:rsidP="00CC0CA7">
      <w:pPr>
        <w:pStyle w:val="H23G"/>
      </w:pPr>
      <w:r>
        <w:tab/>
      </w:r>
      <w:r>
        <w:tab/>
      </w:r>
      <w:r w:rsidR="007D3EF8" w:rsidRPr="005A7A11">
        <w:t>Observations de l’État partie sur le fond</w:t>
      </w:r>
    </w:p>
    <w:p w14:paraId="4E063ACA" w14:textId="5846E883" w:rsidR="007D3EF8" w:rsidRDefault="00512F1B" w:rsidP="00512F1B">
      <w:pPr>
        <w:pStyle w:val="SingleTxtG"/>
        <w:ind w:hanging="11"/>
        <w:rPr>
          <w:bCs/>
        </w:rPr>
      </w:pPr>
      <w:r>
        <w:rPr>
          <w:bCs/>
        </w:rPr>
        <w:t>6.1</w:t>
      </w:r>
      <w:r>
        <w:rPr>
          <w:bCs/>
        </w:rPr>
        <w:tab/>
      </w:r>
      <w:r w:rsidR="007D3EF8" w:rsidRPr="005A7A11">
        <w:rPr>
          <w:bCs/>
        </w:rPr>
        <w:t xml:space="preserve">Le </w:t>
      </w:r>
      <w:r w:rsidR="006349FF">
        <w:rPr>
          <w:bCs/>
        </w:rPr>
        <w:t>26</w:t>
      </w:r>
      <w:r w:rsidR="007D3EF8" w:rsidRPr="005A7A11">
        <w:rPr>
          <w:bCs/>
        </w:rPr>
        <w:t xml:space="preserve"> </w:t>
      </w:r>
      <w:r w:rsidR="006349FF">
        <w:rPr>
          <w:bCs/>
        </w:rPr>
        <w:t>octobre 2015,</w:t>
      </w:r>
      <w:r w:rsidR="007D3EF8" w:rsidRPr="005A7A11">
        <w:rPr>
          <w:bCs/>
        </w:rPr>
        <w:t xml:space="preserve"> l’</w:t>
      </w:r>
      <w:r w:rsidR="00A60EAB" w:rsidRPr="005A7A11">
        <w:rPr>
          <w:bCs/>
        </w:rPr>
        <w:t>État</w:t>
      </w:r>
      <w:r w:rsidR="007D3EF8" w:rsidRPr="005A7A11">
        <w:rPr>
          <w:bCs/>
        </w:rPr>
        <w:t xml:space="preserve"> partie </w:t>
      </w:r>
      <w:r w:rsidR="00CC0CA7">
        <w:rPr>
          <w:bCs/>
        </w:rPr>
        <w:t xml:space="preserve">a présenté </w:t>
      </w:r>
      <w:r w:rsidR="007D3EF8" w:rsidRPr="005A7A11">
        <w:rPr>
          <w:bCs/>
        </w:rPr>
        <w:t xml:space="preserve">ses observations sur le </w:t>
      </w:r>
      <w:r w:rsidR="006349FF">
        <w:rPr>
          <w:bCs/>
        </w:rPr>
        <w:t>bien-fondé</w:t>
      </w:r>
      <w:r w:rsidR="00CC0CA7">
        <w:rPr>
          <w:bCs/>
        </w:rPr>
        <w:t xml:space="preserve"> </w:t>
      </w:r>
      <w:r w:rsidR="009F1F3D">
        <w:rPr>
          <w:bCs/>
        </w:rPr>
        <w:t>de la requête.</w:t>
      </w:r>
    </w:p>
    <w:p w14:paraId="600A38B7" w14:textId="004E5607" w:rsidR="009F1F3D" w:rsidRDefault="00512F1B" w:rsidP="00512F1B">
      <w:pPr>
        <w:pStyle w:val="SingleTxtG"/>
        <w:ind w:hanging="11"/>
        <w:rPr>
          <w:bCs/>
        </w:rPr>
      </w:pPr>
      <w:r>
        <w:rPr>
          <w:bCs/>
        </w:rPr>
        <w:t>6.2</w:t>
      </w:r>
      <w:r>
        <w:rPr>
          <w:bCs/>
        </w:rPr>
        <w:tab/>
      </w:r>
      <w:r w:rsidR="009F1F3D">
        <w:rPr>
          <w:bCs/>
        </w:rPr>
        <w:t xml:space="preserve">La loi applicable en cas de mandat d’arrêt européen est le </w:t>
      </w:r>
      <w:r w:rsidR="002D7700">
        <w:rPr>
          <w:bCs/>
        </w:rPr>
        <w:t>C</w:t>
      </w:r>
      <w:r w:rsidR="009F1F3D">
        <w:rPr>
          <w:bCs/>
        </w:rPr>
        <w:t>ode de procédure pénale qui, dans son article 695-11 établi</w:t>
      </w:r>
      <w:r w:rsidR="00493B2D">
        <w:rPr>
          <w:bCs/>
        </w:rPr>
        <w:t>t</w:t>
      </w:r>
      <w:r w:rsidR="009F1F3D">
        <w:rPr>
          <w:bCs/>
        </w:rPr>
        <w:t xml:space="preserve"> que « </w:t>
      </w:r>
      <w:r w:rsidR="002D7700">
        <w:rPr>
          <w:bCs/>
        </w:rPr>
        <w:t>[</w:t>
      </w:r>
      <w:r w:rsidR="009F1F3D">
        <w:rPr>
          <w:bCs/>
        </w:rPr>
        <w:t>l</w:t>
      </w:r>
      <w:r w:rsidR="002D7700">
        <w:rPr>
          <w:bCs/>
        </w:rPr>
        <w:t>]</w:t>
      </w:r>
      <w:r w:rsidR="009F1F3D">
        <w:rPr>
          <w:bCs/>
        </w:rPr>
        <w:t>e mandat d’arrêt européen est une décision judiciaire émise par un État membre de l’</w:t>
      </w:r>
      <w:r w:rsidR="00B674C0">
        <w:rPr>
          <w:bCs/>
        </w:rPr>
        <w:t>Union e</w:t>
      </w:r>
      <w:r w:rsidR="009F1F3D">
        <w:rPr>
          <w:bCs/>
        </w:rPr>
        <w:t>uropéenne, appelé État membre d’émission, en vue de l’arrestation et de la remise par un autre État membre, appelé État membre d’exécution, d’une personne recherchée pour l’exercice de poursuites pénales ou pour l’exécution d’une peine ou d’une mesure de sûreté privative de liberté ». L</w:t>
      </w:r>
      <w:r w:rsidR="002D7700">
        <w:rPr>
          <w:bCs/>
        </w:rPr>
        <w:t xml:space="preserve">e </w:t>
      </w:r>
      <w:r w:rsidR="00B674C0">
        <w:rPr>
          <w:bCs/>
        </w:rPr>
        <w:t>Conseil de l’Union e</w:t>
      </w:r>
      <w:r w:rsidR="009F1F3D">
        <w:rPr>
          <w:bCs/>
        </w:rPr>
        <w:t>uropéenne</w:t>
      </w:r>
      <w:r w:rsidR="002D7700">
        <w:rPr>
          <w:bCs/>
        </w:rPr>
        <w:t xml:space="preserve"> indique, au considérant 10 de sa décision-cadre</w:t>
      </w:r>
      <w:r w:rsidR="00812118">
        <w:rPr>
          <w:bCs/>
        </w:rPr>
        <w:t xml:space="preserve"> </w:t>
      </w:r>
      <w:r w:rsidR="009F1F3D">
        <w:rPr>
          <w:bCs/>
        </w:rPr>
        <w:t>du 13</w:t>
      </w:r>
      <w:r w:rsidR="002D7700">
        <w:rPr>
          <w:bCs/>
        </w:rPr>
        <w:t> </w:t>
      </w:r>
      <w:r w:rsidR="009F1F3D">
        <w:rPr>
          <w:bCs/>
        </w:rPr>
        <w:t xml:space="preserve">juin 2002 relative au mandat d’arrêt européen </w:t>
      </w:r>
      <w:r w:rsidR="002D7700">
        <w:rPr>
          <w:bCs/>
        </w:rPr>
        <w:t xml:space="preserve">et aux procédures de remise entre États membres </w:t>
      </w:r>
      <w:r w:rsidR="001A457B">
        <w:rPr>
          <w:bCs/>
        </w:rPr>
        <w:t>que « </w:t>
      </w:r>
      <w:r w:rsidR="002D7700">
        <w:rPr>
          <w:bCs/>
        </w:rPr>
        <w:t>[</w:t>
      </w:r>
      <w:r w:rsidR="001A457B">
        <w:rPr>
          <w:bCs/>
        </w:rPr>
        <w:t>l</w:t>
      </w:r>
      <w:r w:rsidR="002D7700">
        <w:rPr>
          <w:bCs/>
        </w:rPr>
        <w:t>]</w:t>
      </w:r>
      <w:r w:rsidR="001A457B">
        <w:rPr>
          <w:bCs/>
        </w:rPr>
        <w:t>e mécanisme d</w:t>
      </w:r>
      <w:r w:rsidR="002D7700">
        <w:rPr>
          <w:bCs/>
        </w:rPr>
        <w:t>u</w:t>
      </w:r>
      <w:r w:rsidR="001A457B">
        <w:rPr>
          <w:bCs/>
        </w:rPr>
        <w:t xml:space="preserve"> mandat d’arrêt européen repose sur un degré de confiance élevé entre les États membres. La mise en œuvre de celui-ci ne peut être suspendue qu’en cas de violation grave et persistante par un des États membres des principes énoncés à l’article 6, paragraphe 1</w:t>
      </w:r>
      <w:r w:rsidR="001A457B">
        <w:rPr>
          <w:rStyle w:val="FootnoteReference"/>
          <w:bCs/>
        </w:rPr>
        <w:footnoteReference w:id="13"/>
      </w:r>
      <w:r w:rsidR="001A457B">
        <w:rPr>
          <w:bCs/>
        </w:rPr>
        <w:t>, du traité sur l’Union européenne, constaté</w:t>
      </w:r>
      <w:r w:rsidR="002D7700">
        <w:rPr>
          <w:bCs/>
        </w:rPr>
        <w:t>e</w:t>
      </w:r>
      <w:r w:rsidR="001A457B">
        <w:rPr>
          <w:bCs/>
        </w:rPr>
        <w:t xml:space="preserve"> par le Conseil</w:t>
      </w:r>
      <w:r w:rsidR="002D7700">
        <w:rPr>
          <w:bCs/>
        </w:rPr>
        <w:t> </w:t>
      </w:r>
      <w:r w:rsidR="001A457B">
        <w:rPr>
          <w:bCs/>
        </w:rPr>
        <w:t>».</w:t>
      </w:r>
      <w:r w:rsidR="00A218A7">
        <w:rPr>
          <w:bCs/>
        </w:rPr>
        <w:t xml:space="preserve"> </w:t>
      </w:r>
      <w:r w:rsidR="00812118">
        <w:rPr>
          <w:bCs/>
        </w:rPr>
        <w:t xml:space="preserve">Il est également </w:t>
      </w:r>
      <w:r w:rsidR="00A218A7">
        <w:rPr>
          <w:bCs/>
        </w:rPr>
        <w:t>précis</w:t>
      </w:r>
      <w:r w:rsidR="00812118">
        <w:rPr>
          <w:bCs/>
        </w:rPr>
        <w:t xml:space="preserve">é au </w:t>
      </w:r>
      <w:r w:rsidR="00A218A7">
        <w:rPr>
          <w:bCs/>
        </w:rPr>
        <w:t>considérant 13 que « </w:t>
      </w:r>
      <w:r w:rsidR="00812118">
        <w:rPr>
          <w:bCs/>
        </w:rPr>
        <w:t>[</w:t>
      </w:r>
      <w:r w:rsidR="00A218A7">
        <w:rPr>
          <w:bCs/>
        </w:rPr>
        <w:t>n</w:t>
      </w:r>
      <w:r w:rsidR="00812118">
        <w:rPr>
          <w:bCs/>
        </w:rPr>
        <w:t>]</w:t>
      </w:r>
      <w:r w:rsidR="00A218A7">
        <w:rPr>
          <w:bCs/>
        </w:rPr>
        <w:t>ul ne devrait être éloigné, expulsé ou extradé vers un État où il existe un risque sérieux qu’il soit soumis à la peine de mort, à la torture ou à d’autres peines ou traitements inhumains ou dégradants ».</w:t>
      </w:r>
      <w:r w:rsidR="00804B16">
        <w:rPr>
          <w:bCs/>
        </w:rPr>
        <w:t xml:space="preserve"> La décision-cadre prévoit une liste limitative de causes de refus d’exécution. Pour ne pas entraver cet instrument de coopération judiciaire reposant sur le principe de </w:t>
      </w:r>
      <w:r w:rsidR="00812118">
        <w:rPr>
          <w:bCs/>
        </w:rPr>
        <w:t xml:space="preserve">la </w:t>
      </w:r>
      <w:r w:rsidR="00804B16">
        <w:rPr>
          <w:bCs/>
        </w:rPr>
        <w:t>reconnaissance mutuelle,</w:t>
      </w:r>
      <w:r w:rsidR="00B674C0">
        <w:rPr>
          <w:bCs/>
        </w:rPr>
        <w:t xml:space="preserve"> la Cour de justice de l’Union e</w:t>
      </w:r>
      <w:r w:rsidR="00804B16">
        <w:rPr>
          <w:bCs/>
        </w:rPr>
        <w:t>uropéenne a eu l’occasion d’affirmer que les États membres ne pouvaient pas refuser d’exécuter un mandat d’arrêt européen en dehors des cas de refus prévus par la décision-cadre.</w:t>
      </w:r>
    </w:p>
    <w:p w14:paraId="032E9C73" w14:textId="5F05E5D0" w:rsidR="008853D7" w:rsidRDefault="00512F1B" w:rsidP="00512F1B">
      <w:pPr>
        <w:pStyle w:val="SingleTxtG"/>
        <w:ind w:hanging="11"/>
        <w:rPr>
          <w:bCs/>
        </w:rPr>
      </w:pPr>
      <w:r>
        <w:rPr>
          <w:bCs/>
        </w:rPr>
        <w:t>6.3</w:t>
      </w:r>
      <w:r>
        <w:rPr>
          <w:bCs/>
        </w:rPr>
        <w:tab/>
      </w:r>
      <w:r w:rsidR="008853D7">
        <w:rPr>
          <w:bCs/>
        </w:rPr>
        <w:t>L’</w:t>
      </w:r>
      <w:r w:rsidR="00812118">
        <w:rPr>
          <w:bCs/>
        </w:rPr>
        <w:t>É</w:t>
      </w:r>
      <w:r w:rsidR="008853D7">
        <w:rPr>
          <w:bCs/>
        </w:rPr>
        <w:t>tat partie rappelle la jurisprudence de la Cour de cassation</w:t>
      </w:r>
      <w:r w:rsidR="001E4F2F">
        <w:rPr>
          <w:bCs/>
        </w:rPr>
        <w:t>, laquelle a précisé que le respect des droits fondamentaux peut justifier un refus d’exécution d’un mandat d’arrêt européen, même en dehors des cas limitativement énumérés dans la décision-cadre. Dans une affaire similaire à la présente, dans laquelle le requérant, soupçonné de faits de terrorisme en Espagne, s’opposait à l’exécution du mandat d’arrêt européen délivré par les autorités judiciaires espagnoles au motif que les charges retenues à son encontre reposaient sur des déclarations recueillies par les gardes civils espagnols en violation des articles 3 et 6</w:t>
      </w:r>
      <w:r w:rsidR="00966DE6">
        <w:rPr>
          <w:bCs/>
        </w:rPr>
        <w:t xml:space="preserve"> de la Convention européenne des droits de l’homme, la chambre criminelle de la Cour de cassation a rappelé « qu’il n’est pas contestable que, s’il est établi qu’au mépris de l’article 3 de la Convention européenne des droits de l’homme</w:t>
      </w:r>
      <w:r w:rsidR="00843940">
        <w:rPr>
          <w:bCs/>
        </w:rPr>
        <w:t xml:space="preserve"> des aveux ou des mises en cause ont été obtenus grâce à la torture, cette violation des droits fondamentaux prévaut sur les principes de reconnaissance et de confiance mutuelles et fait obstacle à l’exécution du mandat d’arrêt européen</w:t>
      </w:r>
      <w:r w:rsidR="00843940">
        <w:rPr>
          <w:rStyle w:val="FootnoteReference"/>
          <w:bCs/>
        </w:rPr>
        <w:footnoteReference w:id="14"/>
      </w:r>
      <w:r w:rsidR="009E05E1">
        <w:rPr>
          <w:bCs/>
        </w:rPr>
        <w:t> »</w:t>
      </w:r>
      <w:r w:rsidR="00B540F4">
        <w:rPr>
          <w:bCs/>
        </w:rPr>
        <w:t>.</w:t>
      </w:r>
      <w:r w:rsidR="00843940">
        <w:rPr>
          <w:bCs/>
        </w:rPr>
        <w:t xml:space="preserve"> La Cour de cassation vérifie néanmoins que les griefs invoqués par le requérant ne demeurent pas à l’état de simples allégations.</w:t>
      </w:r>
    </w:p>
    <w:p w14:paraId="2E34A4B2" w14:textId="3D8629FF" w:rsidR="00FB7927" w:rsidRPr="00C0328D" w:rsidRDefault="00512F1B" w:rsidP="00512F1B">
      <w:pPr>
        <w:pStyle w:val="SingleTxtG"/>
        <w:ind w:hanging="11"/>
        <w:rPr>
          <w:bCs/>
        </w:rPr>
      </w:pPr>
      <w:r w:rsidRPr="00C0328D">
        <w:rPr>
          <w:bCs/>
        </w:rPr>
        <w:t>6.4</w:t>
      </w:r>
      <w:r w:rsidRPr="00C0328D">
        <w:rPr>
          <w:bCs/>
        </w:rPr>
        <w:tab/>
      </w:r>
      <w:r w:rsidR="00193D7D" w:rsidRPr="00C0328D">
        <w:rPr>
          <w:bCs/>
        </w:rPr>
        <w:t>L’État partie rappelle la jurisprudence du Comité</w:t>
      </w:r>
      <w:r w:rsidR="00843940" w:rsidRPr="006E53A4">
        <w:rPr>
          <w:bCs/>
        </w:rPr>
        <w:t>.</w:t>
      </w:r>
      <w:r w:rsidR="00843940" w:rsidRPr="00C0328D">
        <w:rPr>
          <w:bCs/>
        </w:rPr>
        <w:t xml:space="preserve"> Par exemple,</w:t>
      </w:r>
      <w:r w:rsidR="00193D7D" w:rsidRPr="00C0328D">
        <w:rPr>
          <w:bCs/>
        </w:rPr>
        <w:t xml:space="preserve"> dans le cas </w:t>
      </w:r>
      <w:r w:rsidR="00193D7D" w:rsidRPr="00706E01">
        <w:rPr>
          <w:bCs/>
          <w:i/>
        </w:rPr>
        <w:t>G</w:t>
      </w:r>
      <w:r w:rsidR="00B674C0" w:rsidRPr="00706E01">
        <w:rPr>
          <w:bCs/>
          <w:i/>
        </w:rPr>
        <w:t xml:space="preserve">. </w:t>
      </w:r>
      <w:r w:rsidR="00193D7D" w:rsidRPr="00706E01">
        <w:rPr>
          <w:bCs/>
          <w:i/>
        </w:rPr>
        <w:t>K</w:t>
      </w:r>
      <w:r w:rsidR="00B674C0" w:rsidRPr="00706E01">
        <w:rPr>
          <w:bCs/>
          <w:i/>
        </w:rPr>
        <w:t>.</w:t>
      </w:r>
      <w:r w:rsidR="00193D7D" w:rsidRPr="00706E01">
        <w:rPr>
          <w:bCs/>
          <w:i/>
        </w:rPr>
        <w:t xml:space="preserve"> c. Suisse</w:t>
      </w:r>
      <w:r w:rsidR="00F855BB">
        <w:rPr>
          <w:bCs/>
        </w:rPr>
        <w:t>,</w:t>
      </w:r>
      <w:r w:rsidR="00193D7D" w:rsidRPr="00C0328D">
        <w:rPr>
          <w:bCs/>
        </w:rPr>
        <w:t xml:space="preserve"> le Comité </w:t>
      </w:r>
      <w:r w:rsidR="00843940" w:rsidRPr="00C0328D">
        <w:rPr>
          <w:bCs/>
        </w:rPr>
        <w:t>a considéré</w:t>
      </w:r>
      <w:r w:rsidR="00193D7D" w:rsidRPr="00C0328D">
        <w:rPr>
          <w:bCs/>
        </w:rPr>
        <w:t xml:space="preserve"> </w:t>
      </w:r>
      <w:r w:rsidR="00193D7D" w:rsidRPr="0030162A">
        <w:rPr>
          <w:bCs/>
        </w:rPr>
        <w:t xml:space="preserve">que </w:t>
      </w:r>
      <w:r w:rsidR="00193D7D" w:rsidRPr="00EB54C5">
        <w:rPr>
          <w:bCs/>
        </w:rPr>
        <w:t>pour que l’interdiction faite à l’article 15 s’applique, il faut qu’il ait été établi que la déclaration invoquée comme un élément de preuve a bien été obtenue par la torture</w:t>
      </w:r>
      <w:r w:rsidR="00E17423" w:rsidRPr="0030162A">
        <w:rPr>
          <w:rStyle w:val="FootnoteReference"/>
          <w:bCs/>
        </w:rPr>
        <w:footnoteReference w:id="15"/>
      </w:r>
      <w:r w:rsidR="00193D7D" w:rsidRPr="0030162A">
        <w:rPr>
          <w:bCs/>
        </w:rPr>
        <w:t>.</w:t>
      </w:r>
      <w:r w:rsidR="00193D7D" w:rsidRPr="00C0328D">
        <w:rPr>
          <w:bCs/>
        </w:rPr>
        <w:t xml:space="preserve"> </w:t>
      </w:r>
      <w:r w:rsidR="00FB7927" w:rsidRPr="00C0328D">
        <w:rPr>
          <w:bCs/>
        </w:rPr>
        <w:t>En l’espèce, et conformément à la jurisprudence du Comité relative à l’article</w:t>
      </w:r>
      <w:r w:rsidR="00617B93">
        <w:rPr>
          <w:bCs/>
        </w:rPr>
        <w:t> </w:t>
      </w:r>
      <w:r w:rsidR="00FB7927" w:rsidRPr="00C0328D">
        <w:rPr>
          <w:bCs/>
        </w:rPr>
        <w:t>15 de la Convention, la chambre d</w:t>
      </w:r>
      <w:r w:rsidR="00420F37" w:rsidRPr="006E53A4">
        <w:rPr>
          <w:bCs/>
        </w:rPr>
        <w:t>e l</w:t>
      </w:r>
      <w:r w:rsidR="000600C2" w:rsidRPr="00C0328D">
        <w:rPr>
          <w:bCs/>
        </w:rPr>
        <w:t xml:space="preserve">’instruction de la </w:t>
      </w:r>
      <w:r w:rsidR="004237DE">
        <w:rPr>
          <w:bCs/>
        </w:rPr>
        <w:t>c</w:t>
      </w:r>
      <w:r w:rsidR="000600C2" w:rsidRPr="00C0328D">
        <w:rPr>
          <w:bCs/>
        </w:rPr>
        <w:t>our d’a</w:t>
      </w:r>
      <w:r w:rsidR="00FB7927" w:rsidRPr="00C0328D">
        <w:rPr>
          <w:bCs/>
        </w:rPr>
        <w:t>ppel de Paris a vérifié la réalité des allégations de torture soulevées par le requérant. L’État partie rappelle que</w:t>
      </w:r>
      <w:r w:rsidR="00F855BB">
        <w:rPr>
          <w:bCs/>
        </w:rPr>
        <w:t>,</w:t>
      </w:r>
      <w:r w:rsidR="00FB7927" w:rsidRPr="00C0328D">
        <w:rPr>
          <w:bCs/>
        </w:rPr>
        <w:t xml:space="preserve"> par </w:t>
      </w:r>
      <w:r w:rsidR="00FB7927" w:rsidRPr="00EB54C5">
        <w:rPr>
          <w:bCs/>
        </w:rPr>
        <w:t>arrêt du 2 avril 2014</w:t>
      </w:r>
      <w:r w:rsidR="00FB7927" w:rsidRPr="00C0328D">
        <w:rPr>
          <w:bCs/>
        </w:rPr>
        <w:t>, la chambre d</w:t>
      </w:r>
      <w:r w:rsidR="00420F37" w:rsidRPr="00C0328D">
        <w:rPr>
          <w:bCs/>
        </w:rPr>
        <w:t>e l</w:t>
      </w:r>
      <w:r w:rsidR="00FB7927" w:rsidRPr="00C0328D">
        <w:rPr>
          <w:bCs/>
        </w:rPr>
        <w:t xml:space="preserve">’instruction de la cour d’appel de Paris avait </w:t>
      </w:r>
      <w:r w:rsidR="00FB7927" w:rsidRPr="00C0328D">
        <w:rPr>
          <w:bCs/>
        </w:rPr>
        <w:lastRenderedPageBreak/>
        <w:t xml:space="preserve">décidé de surseoir à </w:t>
      </w:r>
      <w:r w:rsidR="002527D7" w:rsidRPr="00C0328D">
        <w:rPr>
          <w:bCs/>
        </w:rPr>
        <w:t xml:space="preserve">statuer sur la remise </w:t>
      </w:r>
      <w:r w:rsidR="002527D7" w:rsidRPr="00FE1274">
        <w:rPr>
          <w:bCs/>
        </w:rPr>
        <w:t>du requérant à l’autorité judiciaire espagnole « dans l’attente de la production par cette dernière d’une décision définitive en droit espagnol mettant fin à la procédure pénale ». C</w:t>
      </w:r>
      <w:r w:rsidR="000600C2" w:rsidRPr="00C0328D">
        <w:rPr>
          <w:bCs/>
        </w:rPr>
        <w:t>e n</w:t>
      </w:r>
      <w:r w:rsidR="002527D7" w:rsidRPr="00C0328D">
        <w:rPr>
          <w:bCs/>
        </w:rPr>
        <w:t xml:space="preserve">’est qu’après avoir vérifié les suites données par l’autorité judiciaire espagnole aux plaintes déposées par les deux témoins mettant en cause le requérant et </w:t>
      </w:r>
      <w:r w:rsidR="000600C2" w:rsidRPr="00C0328D">
        <w:rPr>
          <w:bCs/>
        </w:rPr>
        <w:t>qu’</w:t>
      </w:r>
      <w:r w:rsidR="002527D7" w:rsidRPr="00C0328D">
        <w:rPr>
          <w:bCs/>
        </w:rPr>
        <w:t xml:space="preserve">après avoir constaté que les investigations diligentées avaient abouti à </w:t>
      </w:r>
      <w:r w:rsidR="00615DAC" w:rsidRPr="00C0328D">
        <w:rPr>
          <w:bCs/>
        </w:rPr>
        <w:t xml:space="preserve">deux </w:t>
      </w:r>
      <w:r w:rsidR="002527D7" w:rsidRPr="00C0328D">
        <w:rPr>
          <w:bCs/>
        </w:rPr>
        <w:t>décision</w:t>
      </w:r>
      <w:r w:rsidR="00615DAC" w:rsidRPr="00C0328D">
        <w:rPr>
          <w:bCs/>
        </w:rPr>
        <w:t>s</w:t>
      </w:r>
      <w:r w:rsidR="002527D7" w:rsidRPr="00C0328D">
        <w:rPr>
          <w:bCs/>
        </w:rPr>
        <w:t xml:space="preserve"> </w:t>
      </w:r>
      <w:r w:rsidR="00F855BB">
        <w:rPr>
          <w:bCs/>
        </w:rPr>
        <w:t xml:space="preserve">respectives </w:t>
      </w:r>
      <w:r w:rsidR="002527D7" w:rsidRPr="00C0328D">
        <w:rPr>
          <w:bCs/>
        </w:rPr>
        <w:t>de non-lieu, que la chambre d</w:t>
      </w:r>
      <w:r w:rsidR="00420F37" w:rsidRPr="00C0328D">
        <w:rPr>
          <w:bCs/>
        </w:rPr>
        <w:t>e l</w:t>
      </w:r>
      <w:r w:rsidR="002527D7" w:rsidRPr="00C0328D">
        <w:rPr>
          <w:bCs/>
        </w:rPr>
        <w:t xml:space="preserve">’instruction de la cour d’appel de Paris a jugé que les griefs du requérant n’étaient pas fondés et restaient à l’état de simples allégations. </w:t>
      </w:r>
    </w:p>
    <w:p w14:paraId="349F0DFE" w14:textId="671220EE" w:rsidR="00420F37" w:rsidRPr="0030162A" w:rsidRDefault="00512F1B" w:rsidP="00512F1B">
      <w:pPr>
        <w:pStyle w:val="SingleTxtG"/>
        <w:ind w:hanging="11"/>
        <w:rPr>
          <w:bCs/>
        </w:rPr>
      </w:pPr>
      <w:r w:rsidRPr="0030162A">
        <w:rPr>
          <w:bCs/>
        </w:rPr>
        <w:t>6.5</w:t>
      </w:r>
      <w:r w:rsidRPr="0030162A">
        <w:rPr>
          <w:bCs/>
        </w:rPr>
        <w:tab/>
      </w:r>
      <w:r w:rsidR="00420F37">
        <w:rPr>
          <w:bCs/>
        </w:rPr>
        <w:t xml:space="preserve">L’État partie relève que la chambre de l’instruction de la </w:t>
      </w:r>
      <w:r w:rsidR="004237DE">
        <w:rPr>
          <w:bCs/>
        </w:rPr>
        <w:t>c</w:t>
      </w:r>
      <w:r w:rsidR="00420F37">
        <w:rPr>
          <w:bCs/>
        </w:rPr>
        <w:t>our d’</w:t>
      </w:r>
      <w:r w:rsidR="00F855BB">
        <w:rPr>
          <w:bCs/>
        </w:rPr>
        <w:t>a</w:t>
      </w:r>
      <w:r w:rsidR="00420F37">
        <w:rPr>
          <w:bCs/>
        </w:rPr>
        <w:t xml:space="preserve">ppel de Paris a également rappelé le degré de « confiance </w:t>
      </w:r>
      <w:r w:rsidR="00615DAC">
        <w:rPr>
          <w:bCs/>
        </w:rPr>
        <w:t>élevé</w:t>
      </w:r>
      <w:r w:rsidR="00420F37">
        <w:rPr>
          <w:bCs/>
        </w:rPr>
        <w:t xml:space="preserve"> » entre les États parties au mécanisme du mandat d’arrêt européen, ainsi que l’adhésion de l’Espagne à la Convention </w:t>
      </w:r>
      <w:r w:rsidR="00F672A8">
        <w:rPr>
          <w:bCs/>
        </w:rPr>
        <w:t>e</w:t>
      </w:r>
      <w:r w:rsidR="00420F37">
        <w:rPr>
          <w:bCs/>
        </w:rPr>
        <w:t xml:space="preserve">uropéenne des droits de l’homme et à la Convention contre la torture pour en déduire qu’on ne pouvait </w:t>
      </w:r>
      <w:r w:rsidR="00420F37" w:rsidRPr="0030162A">
        <w:rPr>
          <w:bCs/>
        </w:rPr>
        <w:t xml:space="preserve">pas « d’emblée considérer que le système judiciaire espagnol </w:t>
      </w:r>
      <w:r w:rsidR="00F855BB" w:rsidRPr="0030162A">
        <w:rPr>
          <w:bCs/>
        </w:rPr>
        <w:t>[</w:t>
      </w:r>
      <w:r w:rsidR="00420F37" w:rsidRPr="0030162A">
        <w:rPr>
          <w:bCs/>
        </w:rPr>
        <w:t>…</w:t>
      </w:r>
      <w:r w:rsidR="00F855BB" w:rsidRPr="0030162A">
        <w:rPr>
          <w:bCs/>
        </w:rPr>
        <w:t>]</w:t>
      </w:r>
      <w:r w:rsidR="00420F37" w:rsidRPr="0030162A">
        <w:rPr>
          <w:bCs/>
        </w:rPr>
        <w:t xml:space="preserve"> n’offre pas de garanties réelles d’examen indépendant, impartial et sérieux, des plaintes déposées pour torture ou traitements inhumains ou dégradants ». </w:t>
      </w:r>
    </w:p>
    <w:p w14:paraId="54E8A522" w14:textId="28F200B6" w:rsidR="005A39AA" w:rsidRPr="00B9582E" w:rsidRDefault="00512F1B" w:rsidP="00512F1B">
      <w:pPr>
        <w:pStyle w:val="SingleTxtG"/>
        <w:ind w:hanging="11"/>
        <w:rPr>
          <w:bCs/>
        </w:rPr>
      </w:pPr>
      <w:r w:rsidRPr="00B9582E">
        <w:rPr>
          <w:bCs/>
        </w:rPr>
        <w:t>6.6</w:t>
      </w:r>
      <w:r w:rsidRPr="00B9582E">
        <w:rPr>
          <w:bCs/>
        </w:rPr>
        <w:tab/>
      </w:r>
      <w:r w:rsidR="00032D21" w:rsidRPr="00032D21">
        <w:rPr>
          <w:bCs/>
        </w:rPr>
        <w:t xml:space="preserve">L’État partie considère que le requérant est mal fondé à critiquer le fait que la chambre de l’instruction n’ait pas pris en considération la décision rendue par la Cour européenne des droits de l’homme à la suite de la requête déposée par </w:t>
      </w:r>
      <w:r w:rsidR="00D30064">
        <w:rPr>
          <w:bCs/>
        </w:rPr>
        <w:t>M</w:t>
      </w:r>
      <w:r w:rsidR="00D30064" w:rsidRPr="00801166">
        <w:rPr>
          <w:bCs/>
          <w:vertAlign w:val="superscript"/>
        </w:rPr>
        <w:t>me</w:t>
      </w:r>
      <w:r w:rsidR="00D30064" w:rsidRPr="00032D21">
        <w:rPr>
          <w:bCs/>
        </w:rPr>
        <w:t xml:space="preserve"> </w:t>
      </w:r>
      <w:r w:rsidR="00032D21" w:rsidRPr="00032D21">
        <w:rPr>
          <w:bCs/>
        </w:rPr>
        <w:t>Etxeb</w:t>
      </w:r>
      <w:r w:rsidR="00DA4EE1">
        <w:rPr>
          <w:bCs/>
        </w:rPr>
        <w:t>a</w:t>
      </w:r>
      <w:r w:rsidR="00032D21" w:rsidRPr="00032D21">
        <w:rPr>
          <w:bCs/>
        </w:rPr>
        <w:t>rr</w:t>
      </w:r>
      <w:r w:rsidR="00F27BDD">
        <w:rPr>
          <w:bCs/>
        </w:rPr>
        <w:t>i</w:t>
      </w:r>
      <w:r w:rsidR="00032D21" w:rsidRPr="00032D21">
        <w:rPr>
          <w:bCs/>
        </w:rPr>
        <w:t>a Caballero, communiquée en cours de délibéré par son conseil</w:t>
      </w:r>
      <w:r w:rsidR="00032D21">
        <w:rPr>
          <w:bCs/>
        </w:rPr>
        <w:t>, d’une part</w:t>
      </w:r>
      <w:r w:rsidR="00032D21" w:rsidRPr="00032D21">
        <w:rPr>
          <w:bCs/>
        </w:rPr>
        <w:t xml:space="preserve"> puisque les juges ne sont pas tenus de mentionner l’existence d’une telle note produite après l’</w:t>
      </w:r>
      <w:r w:rsidR="00032D21">
        <w:rPr>
          <w:bCs/>
        </w:rPr>
        <w:t>audience, et d’autre part, et surtout, puisque l’arrêt rendu par la Cour européenne des droits de l’homme a conclu à la non</w:t>
      </w:r>
      <w:r w:rsidR="00156821">
        <w:rPr>
          <w:bCs/>
        </w:rPr>
        <w:t>-</w:t>
      </w:r>
      <w:r w:rsidR="00032D21">
        <w:rPr>
          <w:bCs/>
        </w:rPr>
        <w:t>violation d</w:t>
      </w:r>
      <w:r w:rsidR="000600C2">
        <w:rPr>
          <w:bCs/>
        </w:rPr>
        <w:t>e l’article 3 de la Convention e</w:t>
      </w:r>
      <w:r w:rsidR="00032D21">
        <w:rPr>
          <w:bCs/>
        </w:rPr>
        <w:t>uropéenne dans son volet matériel et, partant, n’était pas de nature à remettre en cause le jugement de l’autorité judiciaire espagnole.</w:t>
      </w:r>
      <w:r w:rsidR="005A39AA">
        <w:rPr>
          <w:bCs/>
        </w:rPr>
        <w:t xml:space="preserve"> </w:t>
      </w:r>
      <w:r w:rsidR="00615DAC">
        <w:rPr>
          <w:bCs/>
        </w:rPr>
        <w:t xml:space="preserve">En effet, </w:t>
      </w:r>
      <w:r w:rsidR="00615DAC">
        <w:t xml:space="preserve">quoique l’arrêt </w:t>
      </w:r>
      <w:r w:rsidR="00615DAC" w:rsidRPr="00615DAC">
        <w:t>condamnât</w:t>
      </w:r>
      <w:r w:rsidR="00615DAC">
        <w:t xml:space="preserve"> l’Espagne pour violation </w:t>
      </w:r>
      <w:r w:rsidR="00493B2D">
        <w:t>de</w:t>
      </w:r>
      <w:r w:rsidR="00615DAC">
        <w:t xml:space="preserve"> l’article 3 de la Convention dans son volet procédural, </w:t>
      </w:r>
      <w:r w:rsidR="00673644">
        <w:t>dans son</w:t>
      </w:r>
      <w:r w:rsidR="00615DAC">
        <w:t xml:space="preserve"> volet matériel de l’article 3, la Cour considérait que : « les éléments d</w:t>
      </w:r>
      <w:r w:rsidR="000600C2">
        <w:t>ont elle dispos</w:t>
      </w:r>
      <w:r w:rsidR="00617B93">
        <w:t>[ait]</w:t>
      </w:r>
      <w:r w:rsidR="000600C2">
        <w:t xml:space="preserve"> ne lui permett</w:t>
      </w:r>
      <w:r w:rsidR="00617B93">
        <w:t>[ai]</w:t>
      </w:r>
      <w:r w:rsidR="000600C2">
        <w:t>e</w:t>
      </w:r>
      <w:r w:rsidR="00615DAC">
        <w:t>nt pas d’établir, au-delà de tout doute raisonnable, que la requérante a</w:t>
      </w:r>
      <w:r w:rsidR="00617B93">
        <w:t>[vait]</w:t>
      </w:r>
      <w:r w:rsidR="00615DAC">
        <w:t xml:space="preserve"> été soumise à des traitements ayant atteint un minimum de gravité, en méconnaissance de l’article 3 de la Convention</w:t>
      </w:r>
      <w:r w:rsidR="00615DAC">
        <w:rPr>
          <w:rStyle w:val="FootnoteReference"/>
        </w:rPr>
        <w:footnoteReference w:id="16"/>
      </w:r>
      <w:r w:rsidR="003B0AA3">
        <w:t> »</w:t>
      </w:r>
      <w:r w:rsidR="00615DAC">
        <w:t>.</w:t>
      </w:r>
      <w:r w:rsidR="00B9582E">
        <w:t xml:space="preserve"> </w:t>
      </w:r>
    </w:p>
    <w:p w14:paraId="7C13FDB6" w14:textId="57D8884E" w:rsidR="00B9582E" w:rsidRDefault="00512F1B" w:rsidP="00512F1B">
      <w:pPr>
        <w:pStyle w:val="SingleTxtG"/>
        <w:ind w:hanging="11"/>
        <w:rPr>
          <w:bCs/>
        </w:rPr>
      </w:pPr>
      <w:r>
        <w:rPr>
          <w:bCs/>
        </w:rPr>
        <w:t>6.7</w:t>
      </w:r>
      <w:r>
        <w:rPr>
          <w:bCs/>
        </w:rPr>
        <w:tab/>
      </w:r>
      <w:r w:rsidR="00B9582E">
        <w:t>Partant, tant la chambre de l’instruction de la cour d’appel de Paris que la Cour de cassation ont satisfait aux obligations de vérification posées par l’article 15.</w:t>
      </w:r>
    </w:p>
    <w:p w14:paraId="25F932B1" w14:textId="0EC5DDBE" w:rsidR="00032D21" w:rsidRDefault="00512F1B" w:rsidP="00512F1B">
      <w:pPr>
        <w:pStyle w:val="SingleTxtG"/>
        <w:ind w:hanging="11"/>
        <w:rPr>
          <w:bCs/>
        </w:rPr>
      </w:pPr>
      <w:r>
        <w:rPr>
          <w:bCs/>
        </w:rPr>
        <w:t>6.8</w:t>
      </w:r>
      <w:r>
        <w:rPr>
          <w:bCs/>
        </w:rPr>
        <w:tab/>
      </w:r>
      <w:r w:rsidR="005A39AA">
        <w:rPr>
          <w:bCs/>
        </w:rPr>
        <w:t>L’État partie relève que le requérant n’apporte pas la preuve du bien-fondé d</w:t>
      </w:r>
      <w:r w:rsidR="00615DAC">
        <w:rPr>
          <w:bCs/>
        </w:rPr>
        <w:t>e</w:t>
      </w:r>
      <w:r w:rsidR="005A39AA">
        <w:rPr>
          <w:bCs/>
        </w:rPr>
        <w:t xml:space="preserve"> ses allégations </w:t>
      </w:r>
      <w:r w:rsidR="00615DAC">
        <w:rPr>
          <w:bCs/>
        </w:rPr>
        <w:t>a</w:t>
      </w:r>
      <w:r w:rsidR="005A39AA">
        <w:rPr>
          <w:bCs/>
        </w:rPr>
        <w:t xml:space="preserve">lors que la charge de la preuve lui incombe. Le seul fait </w:t>
      </w:r>
      <w:r w:rsidR="005A39AA" w:rsidRPr="0030162A">
        <w:rPr>
          <w:bCs/>
        </w:rPr>
        <w:t xml:space="preserve">que </w:t>
      </w:r>
      <w:r w:rsidR="005A39AA" w:rsidRPr="00706E01">
        <w:rPr>
          <w:bCs/>
        </w:rPr>
        <w:t>des rapports</w:t>
      </w:r>
      <w:r w:rsidR="005A39AA">
        <w:rPr>
          <w:bCs/>
        </w:rPr>
        <w:t xml:space="preserve"> du </w:t>
      </w:r>
      <w:r w:rsidR="005A39AA" w:rsidRPr="00B004DB">
        <w:rPr>
          <w:bCs/>
        </w:rPr>
        <w:t xml:space="preserve">Comité </w:t>
      </w:r>
      <w:r w:rsidR="00991E96" w:rsidRPr="00EB54C5">
        <w:rPr>
          <w:bCs/>
        </w:rPr>
        <w:t xml:space="preserve">européen pour la </w:t>
      </w:r>
      <w:r w:rsidR="005A39AA" w:rsidRPr="00B004DB">
        <w:rPr>
          <w:bCs/>
        </w:rPr>
        <w:t xml:space="preserve">prévention </w:t>
      </w:r>
      <w:r w:rsidR="00991E96" w:rsidRPr="00EB54C5">
        <w:rPr>
          <w:bCs/>
        </w:rPr>
        <w:t xml:space="preserve">de </w:t>
      </w:r>
      <w:r w:rsidR="005A39AA" w:rsidRPr="00B004DB">
        <w:rPr>
          <w:bCs/>
        </w:rPr>
        <w:t xml:space="preserve">la torture </w:t>
      </w:r>
      <w:r w:rsidR="00991E96" w:rsidRPr="00EB54C5">
        <w:rPr>
          <w:bCs/>
        </w:rPr>
        <w:t xml:space="preserve">et des peines ou traitements inhumains ou dégradants </w:t>
      </w:r>
      <w:r w:rsidR="005A39AA" w:rsidRPr="00B004DB">
        <w:rPr>
          <w:bCs/>
        </w:rPr>
        <w:t>aient</w:t>
      </w:r>
      <w:r w:rsidR="005A39AA">
        <w:rPr>
          <w:bCs/>
        </w:rPr>
        <w:t xml:space="preserve"> pointé le caractère insuffisant de certaines enquêtes menées en Espagne ne démontre pas que le système espagnol n’offre pas de garanties réelles d’examen indépendant, impartial et sérieux des plaintes déposées pour tortures ou traitements inhumains ou dégradants</w:t>
      </w:r>
      <w:r w:rsidR="00B9582E">
        <w:rPr>
          <w:bCs/>
        </w:rPr>
        <w:t>. S</w:t>
      </w:r>
      <w:r w:rsidR="005A39AA">
        <w:rPr>
          <w:bCs/>
        </w:rPr>
        <w:t>urtout</w:t>
      </w:r>
      <w:r w:rsidR="00B9582E">
        <w:rPr>
          <w:bCs/>
        </w:rPr>
        <w:t>,</w:t>
      </w:r>
      <w:r w:rsidR="005A39AA">
        <w:rPr>
          <w:bCs/>
        </w:rPr>
        <w:t xml:space="preserve"> </w:t>
      </w:r>
      <w:r w:rsidR="00991E96">
        <w:rPr>
          <w:bCs/>
        </w:rPr>
        <w:t xml:space="preserve">cela </w:t>
      </w:r>
      <w:r w:rsidR="005A39AA">
        <w:rPr>
          <w:bCs/>
        </w:rPr>
        <w:t>ne démontre nullement que les deux personnes ayant mis en cause le requérant dans la procédure d’information judiciaire espagnole auraient été personnellement soumises à la torture.</w:t>
      </w:r>
      <w:r w:rsidR="009A18CB">
        <w:rPr>
          <w:bCs/>
        </w:rPr>
        <w:t xml:space="preserve"> C’est d’ailleurs l</w:t>
      </w:r>
      <w:r w:rsidR="00615DAC">
        <w:rPr>
          <w:bCs/>
        </w:rPr>
        <w:t>a raison pour laquelle la Cour européenne des droits de l’h</w:t>
      </w:r>
      <w:r w:rsidR="009A18CB">
        <w:rPr>
          <w:bCs/>
        </w:rPr>
        <w:t xml:space="preserve">omme a pu juger que, malgré le caractère insuffisant de l’enquête, les éléments de la procédure ne lui permettaient pas d’établir, </w:t>
      </w:r>
      <w:r w:rsidR="00B004DB">
        <w:rPr>
          <w:bCs/>
        </w:rPr>
        <w:t>« </w:t>
      </w:r>
      <w:r w:rsidR="009A18CB">
        <w:rPr>
          <w:bCs/>
        </w:rPr>
        <w:t xml:space="preserve">au-delà de tout doute raisonnable, </w:t>
      </w:r>
      <w:r w:rsidR="009A18CB" w:rsidRPr="00B004DB">
        <w:rPr>
          <w:bCs/>
        </w:rPr>
        <w:t>que la requérante a</w:t>
      </w:r>
      <w:r w:rsidR="00B004DB" w:rsidRPr="00B004DB">
        <w:rPr>
          <w:bCs/>
        </w:rPr>
        <w:t>[</w:t>
      </w:r>
      <w:r w:rsidR="009A18CB" w:rsidRPr="00B004DB">
        <w:rPr>
          <w:bCs/>
        </w:rPr>
        <w:t>vait</w:t>
      </w:r>
      <w:r w:rsidR="00B004DB" w:rsidRPr="00B004DB">
        <w:rPr>
          <w:bCs/>
        </w:rPr>
        <w:t>]</w:t>
      </w:r>
      <w:r w:rsidR="009A18CB" w:rsidRPr="00B004DB">
        <w:rPr>
          <w:bCs/>
        </w:rPr>
        <w:t xml:space="preserve"> été soumise à</w:t>
      </w:r>
      <w:r w:rsidR="009A18CB">
        <w:rPr>
          <w:bCs/>
        </w:rPr>
        <w:t xml:space="preserve"> des traitements ayant atteint un minimum de gravité</w:t>
      </w:r>
      <w:r w:rsidR="00B004DB">
        <w:rPr>
          <w:bCs/>
        </w:rPr>
        <w:t> »</w:t>
      </w:r>
      <w:r w:rsidR="009A18CB">
        <w:rPr>
          <w:bCs/>
        </w:rPr>
        <w:t xml:space="preserve">. </w:t>
      </w:r>
    </w:p>
    <w:p w14:paraId="641A88A4" w14:textId="6A8F192E" w:rsidR="005A39AA" w:rsidRPr="00732443" w:rsidRDefault="00512F1B" w:rsidP="00512F1B">
      <w:pPr>
        <w:pStyle w:val="SingleTxtG"/>
        <w:ind w:hanging="11"/>
        <w:rPr>
          <w:bCs/>
        </w:rPr>
      </w:pPr>
      <w:r w:rsidRPr="00732443">
        <w:rPr>
          <w:bCs/>
        </w:rPr>
        <w:t>6.9</w:t>
      </w:r>
      <w:r w:rsidRPr="00732443">
        <w:rPr>
          <w:bCs/>
        </w:rPr>
        <w:tab/>
      </w:r>
      <w:r w:rsidR="005D0E48">
        <w:rPr>
          <w:bCs/>
        </w:rPr>
        <w:t>Par conséquent, dans la mesure où le mécanisme de mandat d’arrêt européen repose sur un degré de confiance élevé entre les États membres, les seules allégations du requérant, aucunement étayées par un quelconque élément de preuve, ne pouvaient pas, pour l’État partie, justifier un refus par les juridictions françai</w:t>
      </w:r>
      <w:r w:rsidR="000600C2">
        <w:rPr>
          <w:bCs/>
        </w:rPr>
        <w:t>ses de la demande d’exécution du</w:t>
      </w:r>
      <w:r w:rsidR="005D0E48">
        <w:rPr>
          <w:bCs/>
        </w:rPr>
        <w:t xml:space="preserve"> mandat </w:t>
      </w:r>
      <w:r w:rsidR="005D0E48" w:rsidRPr="00732443">
        <w:rPr>
          <w:bCs/>
        </w:rPr>
        <w:t>d’arrêt européen.</w:t>
      </w:r>
    </w:p>
    <w:p w14:paraId="68F8DB56" w14:textId="77777777" w:rsidR="007D3EF8" w:rsidRPr="00732443" w:rsidRDefault="00922ECF" w:rsidP="00922ECF">
      <w:pPr>
        <w:pStyle w:val="H23G"/>
      </w:pPr>
      <w:r w:rsidRPr="00732443">
        <w:tab/>
      </w:r>
      <w:r w:rsidRPr="00732443">
        <w:tab/>
      </w:r>
      <w:r w:rsidR="007D3EF8" w:rsidRPr="00732443">
        <w:t xml:space="preserve">Commentaires du requérant sur les observations de l’État partie </w:t>
      </w:r>
      <w:r w:rsidR="00732443">
        <w:t>sur</w:t>
      </w:r>
      <w:r w:rsidR="007D3EF8" w:rsidRPr="00732443">
        <w:t xml:space="preserve"> le fond</w:t>
      </w:r>
    </w:p>
    <w:p w14:paraId="2E035154" w14:textId="0FEF4DFA" w:rsidR="007D3EF8" w:rsidRDefault="00512F1B" w:rsidP="00512F1B">
      <w:pPr>
        <w:pStyle w:val="SingleTxtG"/>
        <w:ind w:hanging="11"/>
        <w:rPr>
          <w:bCs/>
        </w:rPr>
      </w:pPr>
      <w:r>
        <w:rPr>
          <w:bCs/>
        </w:rPr>
        <w:t>7.1</w:t>
      </w:r>
      <w:r>
        <w:rPr>
          <w:bCs/>
        </w:rPr>
        <w:tab/>
      </w:r>
      <w:r w:rsidR="007D3EF8" w:rsidRPr="00732443">
        <w:rPr>
          <w:bCs/>
        </w:rPr>
        <w:t xml:space="preserve">Dans un courrier daté du </w:t>
      </w:r>
      <w:r w:rsidR="00732443">
        <w:rPr>
          <w:bCs/>
        </w:rPr>
        <w:t>11 décembre 2015,</w:t>
      </w:r>
      <w:r w:rsidR="007D3EF8" w:rsidRPr="00732443">
        <w:rPr>
          <w:bCs/>
        </w:rPr>
        <w:t xml:space="preserve"> le requérant </w:t>
      </w:r>
      <w:r w:rsidR="00361FA4">
        <w:rPr>
          <w:bCs/>
        </w:rPr>
        <w:t xml:space="preserve">a </w:t>
      </w:r>
      <w:r w:rsidR="00732443">
        <w:rPr>
          <w:bCs/>
        </w:rPr>
        <w:t>répond</w:t>
      </w:r>
      <w:r w:rsidR="00361FA4">
        <w:rPr>
          <w:bCs/>
        </w:rPr>
        <w:t>u</w:t>
      </w:r>
      <w:r w:rsidR="00732443">
        <w:rPr>
          <w:bCs/>
        </w:rPr>
        <w:t xml:space="preserve"> aux observations de l’État partie sur le fond.</w:t>
      </w:r>
    </w:p>
    <w:p w14:paraId="5053CA3F" w14:textId="609A0644" w:rsidR="007D3EF8" w:rsidRPr="00413192" w:rsidRDefault="00512F1B" w:rsidP="00512F1B">
      <w:pPr>
        <w:pStyle w:val="SingleTxtG"/>
        <w:ind w:hanging="11"/>
        <w:rPr>
          <w:bCs/>
        </w:rPr>
      </w:pPr>
      <w:r w:rsidRPr="00413192">
        <w:rPr>
          <w:bCs/>
        </w:rPr>
        <w:lastRenderedPageBreak/>
        <w:t>7.2</w:t>
      </w:r>
      <w:r w:rsidRPr="00413192">
        <w:rPr>
          <w:bCs/>
        </w:rPr>
        <w:tab/>
      </w:r>
      <w:r w:rsidR="00732443">
        <w:rPr>
          <w:bCs/>
        </w:rPr>
        <w:t xml:space="preserve">Le requérant concède que la charge de la preuve appartient à la personne qui invoque la violation, mais souligne qu’il existe néanmoins une obligation positive de vérification qui s’impose aux magistrats du fait que la déclaration litigeuse a, ou </w:t>
      </w:r>
      <w:r w:rsidR="00361FA4">
        <w:rPr>
          <w:bCs/>
        </w:rPr>
        <w:t xml:space="preserve">n’a </w:t>
      </w:r>
      <w:r w:rsidR="00732443">
        <w:rPr>
          <w:bCs/>
        </w:rPr>
        <w:t>pas, été obtenue sous la torture</w:t>
      </w:r>
      <w:r w:rsidR="00BF19C3">
        <w:t>.</w:t>
      </w:r>
      <w:r w:rsidR="00732443">
        <w:t xml:space="preserve"> Pour soutenir ses allégations, le requérant cite la jurisprudence du Comité qui estime que </w:t>
      </w:r>
      <w:r w:rsidR="00732443" w:rsidRPr="00EB54C5">
        <w:t xml:space="preserve">l’interdiction faite à l’article 15 de la Convention découle du caractère absolu de la prohibition de la torture et implique, par conséquent, une obligation pour les </w:t>
      </w:r>
      <w:r w:rsidR="00615DAC" w:rsidRPr="00EB54C5">
        <w:t>É</w:t>
      </w:r>
      <w:r w:rsidR="00732443" w:rsidRPr="00EB54C5">
        <w:t>tats parties de vérifier si des déclarations retenues comme preuves dans une procédure pour laquelle il est compétent n’ont pas été faites sous la torture</w:t>
      </w:r>
      <w:r w:rsidR="00732443">
        <w:rPr>
          <w:rStyle w:val="FootnoteReference"/>
        </w:rPr>
        <w:footnoteReference w:id="17"/>
      </w:r>
      <w:r w:rsidR="00732443">
        <w:t>.</w:t>
      </w:r>
    </w:p>
    <w:p w14:paraId="3982BEB6" w14:textId="70CF6D1E" w:rsidR="00413192" w:rsidRPr="00B72307" w:rsidRDefault="00512F1B" w:rsidP="00512F1B">
      <w:pPr>
        <w:pStyle w:val="SingleTxtG"/>
        <w:ind w:hanging="11"/>
        <w:rPr>
          <w:bCs/>
        </w:rPr>
      </w:pPr>
      <w:r w:rsidRPr="00B72307">
        <w:rPr>
          <w:bCs/>
        </w:rPr>
        <w:t>7.3</w:t>
      </w:r>
      <w:r w:rsidRPr="00B72307">
        <w:rPr>
          <w:bCs/>
        </w:rPr>
        <w:tab/>
      </w:r>
      <w:r w:rsidR="00413192">
        <w:t xml:space="preserve">Le requérant affirme que, </w:t>
      </w:r>
      <w:r w:rsidR="00D72EBC">
        <w:t xml:space="preserve">même </w:t>
      </w:r>
      <w:r w:rsidR="00413192">
        <w:t xml:space="preserve">si l’État </w:t>
      </w:r>
      <w:r w:rsidR="00E62870">
        <w:t xml:space="preserve">partie </w:t>
      </w:r>
      <w:r w:rsidR="00413192">
        <w:t>considère avoir rempli son obligation de vérification moyennant la prononciation par la chambre de l’instruction de la cour d’appel de Paris d’</w:t>
      </w:r>
      <w:r w:rsidR="00413192" w:rsidRPr="00413192">
        <w:t>un sursis à statuer dans l’attente de la procédure diligentée à la suite du dépôt de la plainte de M.</w:t>
      </w:r>
      <w:r w:rsidR="00D30064">
        <w:t> </w:t>
      </w:r>
      <w:r w:rsidR="00413192" w:rsidRPr="00413192">
        <w:t>Zapirain Romano</w:t>
      </w:r>
      <w:r w:rsidR="00413192">
        <w:t>, cette cour n’aurait pas dû</w:t>
      </w:r>
      <w:r w:rsidR="003A51AC">
        <w:t xml:space="preserve"> fonder son arrêt </w:t>
      </w:r>
      <w:r w:rsidR="00413192">
        <w:t xml:space="preserve">sur les </w:t>
      </w:r>
      <w:r w:rsidR="00413192" w:rsidRPr="003A51AC">
        <w:t>décisions</w:t>
      </w:r>
      <w:r w:rsidR="00413192">
        <w:t xml:space="preserve"> des autorités judiciaires espagnoles puisqu’elle disposait d’éléments suffisants pour constater la carence des autorités judiciaires espagnoles dans l’investigation des plaintes pour torture</w:t>
      </w:r>
      <w:r w:rsidR="000F4C72">
        <w:t xml:space="preserve"> en général et de celle de M</w:t>
      </w:r>
      <w:r w:rsidR="000F4C72" w:rsidRPr="00801166">
        <w:rPr>
          <w:vertAlign w:val="superscript"/>
        </w:rPr>
        <w:t>me</w:t>
      </w:r>
      <w:r w:rsidR="000F4C72">
        <w:t xml:space="preserve"> Etxebarr</w:t>
      </w:r>
      <w:r w:rsidR="00493B2D">
        <w:t>i</w:t>
      </w:r>
      <w:r w:rsidR="000F4C72">
        <w:t>a Caballero en particulier.</w:t>
      </w:r>
      <w:r w:rsidR="00413192">
        <w:t xml:space="preserve"> Le requérant mentionne en </w:t>
      </w:r>
      <w:r w:rsidR="00413192" w:rsidRPr="00706E01">
        <w:t xml:space="preserve">particulier le rapport du Comité </w:t>
      </w:r>
      <w:r w:rsidR="008C5B3F" w:rsidRPr="00706E01">
        <w:t>e</w:t>
      </w:r>
      <w:r w:rsidR="00413192" w:rsidRPr="00706E01">
        <w:t>uropéen pour la pr</w:t>
      </w:r>
      <w:r w:rsidR="00B72307" w:rsidRPr="00706E01">
        <w:t>évention de la t</w:t>
      </w:r>
      <w:r w:rsidR="00413192" w:rsidRPr="00706E01">
        <w:t>orture</w:t>
      </w:r>
      <w:r w:rsidR="008C5B3F" w:rsidRPr="00706E01">
        <w:t xml:space="preserve"> et des peines ou traitements inhumains ou dégradants</w:t>
      </w:r>
      <w:r w:rsidR="006A31F3" w:rsidRPr="00706E01">
        <w:rPr>
          <w:rStyle w:val="FootnoteReference"/>
        </w:rPr>
        <w:footnoteReference w:id="18"/>
      </w:r>
      <w:r w:rsidR="00B72307" w:rsidRPr="00706E01">
        <w:t xml:space="preserve"> qu’il avait </w:t>
      </w:r>
      <w:r w:rsidR="005861A4" w:rsidRPr="00706E01">
        <w:t>fourni</w:t>
      </w:r>
      <w:r w:rsidR="00B72307" w:rsidRPr="00706E01">
        <w:t xml:space="preserve"> à la cour</w:t>
      </w:r>
      <w:r w:rsidR="000F4C72" w:rsidRPr="00706E01">
        <w:t>.</w:t>
      </w:r>
    </w:p>
    <w:p w14:paraId="67DB0E34" w14:textId="1E81B37C" w:rsidR="00735193" w:rsidRPr="000F4C72" w:rsidRDefault="00512F1B" w:rsidP="00512F1B">
      <w:pPr>
        <w:pStyle w:val="SingleTxtG"/>
        <w:ind w:hanging="11"/>
        <w:rPr>
          <w:bCs/>
        </w:rPr>
      </w:pPr>
      <w:r w:rsidRPr="000F4C72">
        <w:rPr>
          <w:bCs/>
        </w:rPr>
        <w:t>7.4</w:t>
      </w:r>
      <w:r w:rsidRPr="000F4C72">
        <w:rPr>
          <w:bCs/>
        </w:rPr>
        <w:tab/>
      </w:r>
      <w:r w:rsidR="006A31F3" w:rsidRPr="000F4C72">
        <w:rPr>
          <w:bCs/>
        </w:rPr>
        <w:t>En outre, d’après le requérant, la cour d’appel de Paris n’a pas attendu la décision de la Cour européenne des droits de l’homme concernant la plainte déposée par M</w:t>
      </w:r>
      <w:r w:rsidR="006A31F3" w:rsidRPr="00801166">
        <w:rPr>
          <w:bCs/>
          <w:vertAlign w:val="superscript"/>
        </w:rPr>
        <w:t>me</w:t>
      </w:r>
      <w:r w:rsidR="006A31F3" w:rsidRPr="000F4C72">
        <w:rPr>
          <w:bCs/>
        </w:rPr>
        <w:t xml:space="preserve"> Etxebarr</w:t>
      </w:r>
      <w:r w:rsidR="00493B2D">
        <w:rPr>
          <w:bCs/>
        </w:rPr>
        <w:t>i</w:t>
      </w:r>
      <w:r w:rsidR="006A31F3" w:rsidRPr="000F4C72">
        <w:rPr>
          <w:bCs/>
        </w:rPr>
        <w:t xml:space="preserve">a Caballero avant de statuer </w:t>
      </w:r>
      <w:r w:rsidR="00D72EBC">
        <w:rPr>
          <w:bCs/>
        </w:rPr>
        <w:t xml:space="preserve">sur </w:t>
      </w:r>
      <w:r w:rsidR="006A31F3" w:rsidRPr="000F4C72">
        <w:rPr>
          <w:bCs/>
        </w:rPr>
        <w:t xml:space="preserve">la suite à donner au mandat d’arrêt européen. Il ajoute que </w:t>
      </w:r>
      <w:r w:rsidR="00D72EBC">
        <w:rPr>
          <w:bCs/>
        </w:rPr>
        <w:t xml:space="preserve">même </w:t>
      </w:r>
      <w:r w:rsidR="006A31F3" w:rsidRPr="000F4C72">
        <w:rPr>
          <w:bCs/>
        </w:rPr>
        <w:t>si la cour n’éta</w:t>
      </w:r>
      <w:r w:rsidR="006A31F3" w:rsidRPr="00907C6A">
        <w:rPr>
          <w:bCs/>
        </w:rPr>
        <w:t xml:space="preserve">it pas tenue de </w:t>
      </w:r>
      <w:r w:rsidR="006A31F3" w:rsidRPr="00731137">
        <w:rPr>
          <w:bCs/>
        </w:rPr>
        <w:t xml:space="preserve">mentionner la note en délibéré </w:t>
      </w:r>
      <w:r w:rsidR="00907C6A" w:rsidRPr="00731137">
        <w:rPr>
          <w:bCs/>
        </w:rPr>
        <w:t xml:space="preserve">l’informant que la </w:t>
      </w:r>
      <w:r w:rsidR="006A31F3" w:rsidRPr="00731137">
        <w:rPr>
          <w:bCs/>
        </w:rPr>
        <w:t>Cour européenne</w:t>
      </w:r>
      <w:r w:rsidR="00907C6A" w:rsidRPr="00731137">
        <w:rPr>
          <w:bCs/>
        </w:rPr>
        <w:t xml:space="preserve"> </w:t>
      </w:r>
      <w:r w:rsidR="00D72EBC" w:rsidRPr="00731137">
        <w:rPr>
          <w:bCs/>
        </w:rPr>
        <w:t xml:space="preserve">des droits de l’homme </w:t>
      </w:r>
      <w:r w:rsidR="00907C6A" w:rsidRPr="00731137">
        <w:rPr>
          <w:bCs/>
        </w:rPr>
        <w:t>venait de condamner</w:t>
      </w:r>
      <w:r w:rsidR="00907C6A">
        <w:rPr>
          <w:bCs/>
        </w:rPr>
        <w:t xml:space="preserve"> l’Espagne pour violation de l’article</w:t>
      </w:r>
      <w:r w:rsidR="00D72EBC">
        <w:rPr>
          <w:bCs/>
        </w:rPr>
        <w:t> </w:t>
      </w:r>
      <w:r w:rsidR="00907C6A">
        <w:rPr>
          <w:bCs/>
        </w:rPr>
        <w:t>3 dans son volet procédural</w:t>
      </w:r>
      <w:r w:rsidR="006A31F3" w:rsidRPr="00907C6A">
        <w:rPr>
          <w:bCs/>
        </w:rPr>
        <w:t>, elle aurait pu, et aurait d</w:t>
      </w:r>
      <w:r w:rsidR="003A51AC" w:rsidRPr="00907C6A">
        <w:rPr>
          <w:bCs/>
        </w:rPr>
        <w:t>û,</w:t>
      </w:r>
      <w:r w:rsidR="006A31F3" w:rsidRPr="00907C6A">
        <w:rPr>
          <w:bCs/>
        </w:rPr>
        <w:t xml:space="preserve"> </w:t>
      </w:r>
      <w:r w:rsidR="00D72EBC">
        <w:rPr>
          <w:bCs/>
        </w:rPr>
        <w:t>l</w:t>
      </w:r>
      <w:r w:rsidR="006A31F3" w:rsidRPr="00907C6A">
        <w:rPr>
          <w:bCs/>
        </w:rPr>
        <w:t xml:space="preserve">e faire. </w:t>
      </w:r>
      <w:r w:rsidR="000D2821">
        <w:t>Le requérant rappelle que, si la Cour</w:t>
      </w:r>
      <w:r w:rsidR="006C5F70">
        <w:t xml:space="preserve"> européenne</w:t>
      </w:r>
      <w:r w:rsidR="000D2821">
        <w:t xml:space="preserve"> n’a pas trouvé de violation dans le volet matériel de l’article 3, </w:t>
      </w:r>
      <w:r w:rsidR="00D72EBC">
        <w:t xml:space="preserve">elle indique dans son </w:t>
      </w:r>
      <w:r w:rsidR="000D2821">
        <w:t>arrêt</w:t>
      </w:r>
      <w:r w:rsidR="00D72EBC">
        <w:t> </w:t>
      </w:r>
      <w:r w:rsidR="000D2821">
        <w:t xml:space="preserve">: </w:t>
      </w:r>
      <w:r w:rsidR="000D2821" w:rsidRPr="00EB54C5">
        <w:t>« À cet égard, elle tient à souligner que cette impossibilité découle en grande partie de l’absence d’une enquête approfondie et effective par les autorités nationales à la suite de la plainte présentée par la requérante pour mauvais traitements</w:t>
      </w:r>
      <w:r w:rsidR="00D72EBC" w:rsidRPr="00EB54C5">
        <w:t xml:space="preserve"> […]</w:t>
      </w:r>
      <w:r w:rsidR="006C5F70" w:rsidRPr="00EB54C5">
        <w:t xml:space="preserve">, défaillance pour laquelle, </w:t>
      </w:r>
      <w:r w:rsidR="00D72EBC" w:rsidRPr="00EB54C5">
        <w:t xml:space="preserve">la Cour </w:t>
      </w:r>
      <w:r w:rsidR="006C5F70" w:rsidRPr="00EB54C5">
        <w:t xml:space="preserve">a conclu à la violation de l’article 3 de la </w:t>
      </w:r>
      <w:r w:rsidR="00D72EBC" w:rsidRPr="00EB54C5">
        <w:t>C</w:t>
      </w:r>
      <w:r w:rsidR="006C5F70" w:rsidRPr="00EB54C5">
        <w:t>onvention dans son volet procédural</w:t>
      </w:r>
      <w:r w:rsidR="000D2821">
        <w:t> »</w:t>
      </w:r>
      <w:r w:rsidR="00493B2D">
        <w:rPr>
          <w:rStyle w:val="FootnoteReference"/>
        </w:rPr>
        <w:footnoteReference w:id="19"/>
      </w:r>
      <w:r w:rsidR="000D2821">
        <w:t>.</w:t>
      </w:r>
      <w:r w:rsidR="000D2821" w:rsidRPr="000F4C72">
        <w:rPr>
          <w:bCs/>
        </w:rPr>
        <w:t xml:space="preserve"> </w:t>
      </w:r>
      <w:r w:rsidR="00735193" w:rsidRPr="000F4C72">
        <w:rPr>
          <w:bCs/>
        </w:rPr>
        <w:t xml:space="preserve">Concernant les mentions faites par la cour à l’adhésion de l’Espagne à la Convention européenne des droits de l’homme et à la Convention contre la torture, le requérant rappelle que le Comité a déjà spécifié que </w:t>
      </w:r>
      <w:r w:rsidR="00735193" w:rsidRPr="00EB54C5">
        <w:rPr>
          <w:bCs/>
        </w:rPr>
        <w:t xml:space="preserve">pour évaluer le risque encouru par un individu d’être soumis à la torture dans le cadre d’une procédure d’extradition ou d’expulsion, un État ne peut se fonder uniquement sur le fait qu’un </w:t>
      </w:r>
      <w:r w:rsidR="00C74101" w:rsidRPr="00EB54C5">
        <w:rPr>
          <w:bCs/>
        </w:rPr>
        <w:t xml:space="preserve">autre </w:t>
      </w:r>
      <w:r w:rsidR="00735193" w:rsidRPr="00EB54C5">
        <w:rPr>
          <w:bCs/>
        </w:rPr>
        <w:t xml:space="preserve">État est partie </w:t>
      </w:r>
      <w:r w:rsidR="003A51AC" w:rsidRPr="00EB54C5">
        <w:rPr>
          <w:bCs/>
        </w:rPr>
        <w:t>à la Convention contre la t</w:t>
      </w:r>
      <w:r w:rsidR="00735193" w:rsidRPr="00EB54C5">
        <w:rPr>
          <w:bCs/>
        </w:rPr>
        <w:t>orture ou qu’il a donné des assurances diplomatiques</w:t>
      </w:r>
      <w:r w:rsidR="00A34F3B">
        <w:rPr>
          <w:rStyle w:val="FootnoteReference"/>
          <w:bCs/>
        </w:rPr>
        <w:footnoteReference w:id="20"/>
      </w:r>
      <w:r w:rsidR="00735193" w:rsidRPr="000F4C72">
        <w:rPr>
          <w:bCs/>
        </w:rPr>
        <w:t xml:space="preserve">. </w:t>
      </w:r>
    </w:p>
    <w:p w14:paraId="59BCC2AC" w14:textId="5E6D3471" w:rsidR="007D3EF8" w:rsidRDefault="00512F1B" w:rsidP="00512F1B">
      <w:pPr>
        <w:pStyle w:val="SingleTxtG"/>
        <w:ind w:hanging="11"/>
        <w:rPr>
          <w:bCs/>
        </w:rPr>
      </w:pPr>
      <w:r>
        <w:rPr>
          <w:bCs/>
        </w:rPr>
        <w:t>7.5</w:t>
      </w:r>
      <w:r>
        <w:rPr>
          <w:bCs/>
        </w:rPr>
        <w:tab/>
      </w:r>
      <w:r w:rsidR="00992FD9">
        <w:rPr>
          <w:bCs/>
        </w:rPr>
        <w:t>Finalement, le requérant considère qu</w:t>
      </w:r>
      <w:r w:rsidR="00AB4273">
        <w:rPr>
          <w:bCs/>
        </w:rPr>
        <w:t xml:space="preserve">’exiger de </w:t>
      </w:r>
      <w:r w:rsidR="00992FD9">
        <w:rPr>
          <w:bCs/>
        </w:rPr>
        <w:t>lui plus</w:t>
      </w:r>
      <w:r w:rsidR="000600C2">
        <w:rPr>
          <w:bCs/>
        </w:rPr>
        <w:t xml:space="preserve"> que ce qu’il a démontré reviendrait</w:t>
      </w:r>
      <w:r w:rsidR="00992FD9">
        <w:rPr>
          <w:bCs/>
        </w:rPr>
        <w:t xml:space="preserve"> à exiger </w:t>
      </w:r>
      <w:r w:rsidR="00AB4273">
        <w:rPr>
          <w:bCs/>
        </w:rPr>
        <w:t xml:space="preserve">qu’il </w:t>
      </w:r>
      <w:r w:rsidR="00992FD9">
        <w:rPr>
          <w:bCs/>
        </w:rPr>
        <w:t>rapporte une preuve impossible et vide</w:t>
      </w:r>
      <w:r w:rsidR="000600C2">
        <w:rPr>
          <w:bCs/>
        </w:rPr>
        <w:t>rait</w:t>
      </w:r>
      <w:r w:rsidR="00992FD9">
        <w:rPr>
          <w:bCs/>
        </w:rPr>
        <w:t xml:space="preserve"> de son sens l’affirmation selon laquelle le caractère général de l’interdiction faite à l’article 15 de la </w:t>
      </w:r>
      <w:r w:rsidR="00992FD9" w:rsidRPr="0030162A">
        <w:rPr>
          <w:bCs/>
        </w:rPr>
        <w:t>Convention découle</w:t>
      </w:r>
      <w:r w:rsidR="00992FD9">
        <w:rPr>
          <w:bCs/>
        </w:rPr>
        <w:t xml:space="preserve"> du caractère absolu de la prohibition de la torture</w:t>
      </w:r>
      <w:r w:rsidR="00BA122A">
        <w:rPr>
          <w:rStyle w:val="FootnoteReference"/>
          <w:bCs/>
        </w:rPr>
        <w:footnoteReference w:id="21"/>
      </w:r>
      <w:r w:rsidR="00992FD9">
        <w:rPr>
          <w:bCs/>
        </w:rPr>
        <w:t>.</w:t>
      </w:r>
      <w:r w:rsidR="00907C6A">
        <w:rPr>
          <w:bCs/>
        </w:rPr>
        <w:t xml:space="preserve"> Le Comité ayant constaté à plusieurs reprises l’inertie des autorités espagnoles face aux recommandations qui lui étaient faites en matière de préservation des droits fondamentaux dans le cadre de la lutte antiterroriste, le requérant est d’avis que seul un renversement de la charge de la preuve permettrait en la matière une protection efficace des droits des personnes face à l’interdiction de la torture, à savoir</w:t>
      </w:r>
      <w:r w:rsidR="006E53A4">
        <w:rPr>
          <w:bCs/>
        </w:rPr>
        <w:t xml:space="preserve"> la preuve par l’</w:t>
      </w:r>
      <w:r w:rsidR="00C41BB5">
        <w:rPr>
          <w:bCs/>
        </w:rPr>
        <w:t>É</w:t>
      </w:r>
      <w:r w:rsidR="006E53A4">
        <w:rPr>
          <w:bCs/>
        </w:rPr>
        <w:t>tat concerné du fait qu’il a mis en œuvre tous les mécanismes requis permettant de garantir à la personne le respect de son intégrité.</w:t>
      </w:r>
    </w:p>
    <w:p w14:paraId="39851BE6" w14:textId="1EE05D38" w:rsidR="00D2653E" w:rsidRPr="00666F48" w:rsidRDefault="00640CA2" w:rsidP="00801166">
      <w:pPr>
        <w:pStyle w:val="H23G"/>
      </w:pPr>
      <w:r>
        <w:tab/>
      </w:r>
      <w:r>
        <w:tab/>
      </w:r>
      <w:r w:rsidR="00D2653E" w:rsidRPr="00666F48">
        <w:t>Informations supplémentaires du requérant</w:t>
      </w:r>
    </w:p>
    <w:p w14:paraId="7B577A42" w14:textId="78528A7F" w:rsidR="00971CDD" w:rsidRDefault="00D2653E" w:rsidP="00971CDD">
      <w:pPr>
        <w:pStyle w:val="SingleTxtG"/>
      </w:pPr>
      <w:r w:rsidRPr="00666F48">
        <w:t>8.1</w:t>
      </w:r>
      <w:r w:rsidRPr="00666F48">
        <w:tab/>
        <w:t xml:space="preserve">Le 5 avril et </w:t>
      </w:r>
      <w:r w:rsidR="00C41BB5">
        <w:t xml:space="preserve">le </w:t>
      </w:r>
      <w:r w:rsidRPr="00666F48">
        <w:t>24 mai 2016, le requérant a informé le Comité que le 12 février 2015, l’</w:t>
      </w:r>
      <w:r w:rsidR="000739AA" w:rsidRPr="005B2B32">
        <w:t>Audienc</w:t>
      </w:r>
      <w:r w:rsidR="000739AA">
        <w:t xml:space="preserve">ia Nacional </w:t>
      </w:r>
      <w:r w:rsidR="00354C91">
        <w:t xml:space="preserve">avait </w:t>
      </w:r>
      <w:r w:rsidRPr="00666F48">
        <w:t>sollicit</w:t>
      </w:r>
      <w:r w:rsidR="00354C91">
        <w:t>é</w:t>
      </w:r>
      <w:r w:rsidRPr="00666F48">
        <w:t xml:space="preserve"> la remise temporaire pour trois mois du requérant, afin </w:t>
      </w:r>
      <w:r w:rsidRPr="00666F48">
        <w:lastRenderedPageBreak/>
        <w:t>de poursuivre l’instruction de la cause et exécuter les actes de procédure en cours. Le requérant s’est opposé à cette remise temporaire</w:t>
      </w:r>
      <w:r w:rsidR="00354C91">
        <w:t>, faisant valoir</w:t>
      </w:r>
      <w:r w:rsidR="005210D8">
        <w:t>, entre autres,</w:t>
      </w:r>
      <w:r w:rsidRPr="00666F48">
        <w:t xml:space="preserve"> que le Comité était en train d’examiner la compatibilité de la remise avec l’article</w:t>
      </w:r>
      <w:r w:rsidR="00C41BB5">
        <w:t> </w:t>
      </w:r>
      <w:r w:rsidRPr="00666F48">
        <w:t>15 de la Convention</w:t>
      </w:r>
      <w:r w:rsidR="00354C91">
        <w:t xml:space="preserve"> et que sa remise temporaire mettrait en échec son droit à un procès équitable</w:t>
      </w:r>
      <w:r w:rsidR="005210D8">
        <w:t>, car il avait fait appel de sa condamnation en France et que ladite remise pourrait l’empêcher de préparer sa défense</w:t>
      </w:r>
      <w:r w:rsidRPr="00666F48">
        <w:t xml:space="preserve">. Par arrêt du 17 février 2016, la </w:t>
      </w:r>
      <w:r w:rsidR="00E15704">
        <w:t>c</w:t>
      </w:r>
      <w:r w:rsidRPr="00666F48">
        <w:t xml:space="preserve">our d’appel de Paris </w:t>
      </w:r>
      <w:r w:rsidR="00354C91">
        <w:t>a autorisé</w:t>
      </w:r>
      <w:r w:rsidRPr="00666F48">
        <w:t xml:space="preserve"> la remise temporaire du requérant aux autorités espagnoles</w:t>
      </w:r>
      <w:r w:rsidR="00354C91">
        <w:t xml:space="preserve"> pour une durée de trois mois</w:t>
      </w:r>
      <w:r w:rsidRPr="00666F48">
        <w:t xml:space="preserve">. </w:t>
      </w:r>
      <w:r w:rsidR="005210D8">
        <w:t>La Cour a considéré qu’elle s’était déjà prononcée sur le premier grief. Quant au deuxième, la Cour a conclu que son départ en Espagne pour trois mois ne perturberait pas la préparation de sa défense</w:t>
      </w:r>
      <w:r w:rsidR="00BC6381">
        <w:t>, car son appel devant la cour d’assises d’appel n’interviendrait pas avant un an.</w:t>
      </w:r>
    </w:p>
    <w:p w14:paraId="4E032B7B" w14:textId="02FBF7DA" w:rsidR="00D2653E" w:rsidRDefault="00971CDD" w:rsidP="00666F48">
      <w:pPr>
        <w:pStyle w:val="SingleTxtG"/>
        <w:rPr>
          <w:bCs/>
        </w:rPr>
      </w:pPr>
      <w:r>
        <w:t>8.2</w:t>
      </w:r>
      <w:r>
        <w:tab/>
      </w:r>
      <w:r w:rsidR="00D2653E" w:rsidRPr="00666F48">
        <w:t xml:space="preserve">Le requérant </w:t>
      </w:r>
      <w:r w:rsidR="00C41BB5">
        <w:t xml:space="preserve">a été </w:t>
      </w:r>
      <w:r w:rsidR="00D2653E" w:rsidRPr="00666F48">
        <w:t>remis aux autorités espagnoles le 8</w:t>
      </w:r>
      <w:r w:rsidR="00C41BB5">
        <w:t> </w:t>
      </w:r>
      <w:r w:rsidR="00D2653E" w:rsidRPr="00666F48">
        <w:t>mars 2016. L’</w:t>
      </w:r>
      <w:r w:rsidR="000739AA" w:rsidRPr="005B2B32">
        <w:t>Audienc</w:t>
      </w:r>
      <w:r w:rsidR="000739AA">
        <w:t xml:space="preserve">ia Nacional </w:t>
      </w:r>
      <w:r w:rsidR="00D2653E" w:rsidRPr="00666F48">
        <w:t xml:space="preserve">a ultérieurement sollicité </w:t>
      </w:r>
      <w:r w:rsidR="00C41BB5">
        <w:t xml:space="preserve">des </w:t>
      </w:r>
      <w:r w:rsidR="00D2653E" w:rsidRPr="00666F48">
        <w:t xml:space="preserve">autorités françaises une prolongation de </w:t>
      </w:r>
      <w:r w:rsidR="00C41BB5">
        <w:t xml:space="preserve">quatre </w:t>
      </w:r>
      <w:r w:rsidR="00D2653E" w:rsidRPr="00666F48">
        <w:t>mois de la remise du requérant</w:t>
      </w:r>
      <w:r w:rsidR="00CD25E8" w:rsidRPr="00354C91">
        <w:t>.</w:t>
      </w:r>
    </w:p>
    <w:p w14:paraId="6AA7DC35" w14:textId="77777777" w:rsidR="007D3EF8" w:rsidRPr="005A7A11" w:rsidRDefault="00DA73D5" w:rsidP="00DA73D5">
      <w:pPr>
        <w:pStyle w:val="H23G"/>
      </w:pPr>
      <w:r>
        <w:tab/>
      </w:r>
      <w:r>
        <w:tab/>
      </w:r>
      <w:r w:rsidR="007D3EF8" w:rsidRPr="005A7A11">
        <w:t>Délibérations du Comité</w:t>
      </w:r>
    </w:p>
    <w:p w14:paraId="44B7C4E1" w14:textId="77777777" w:rsidR="007D3EF8" w:rsidRPr="00C27539" w:rsidRDefault="00DA73D5" w:rsidP="00AC3153">
      <w:pPr>
        <w:pStyle w:val="H23G"/>
        <w:rPr>
          <w:b w:val="0"/>
          <w:i/>
        </w:rPr>
      </w:pPr>
      <w:r>
        <w:tab/>
      </w:r>
      <w:r>
        <w:tab/>
      </w:r>
      <w:r w:rsidR="007D3EF8" w:rsidRPr="00C27539">
        <w:rPr>
          <w:b w:val="0"/>
          <w:i/>
        </w:rPr>
        <w:t>Examen de la recevabilité</w:t>
      </w:r>
    </w:p>
    <w:p w14:paraId="5908CD98" w14:textId="6E072C79" w:rsidR="00AC3673" w:rsidRDefault="00512F1B" w:rsidP="00512F1B">
      <w:pPr>
        <w:pStyle w:val="SingleTxtG"/>
        <w:ind w:hanging="11"/>
      </w:pPr>
      <w:r>
        <w:t>9.1</w:t>
      </w:r>
      <w:r>
        <w:tab/>
      </w:r>
      <w:r w:rsidR="007D3EF8" w:rsidRPr="005A7A11">
        <w:rPr>
          <w:bCs/>
        </w:rPr>
        <w:t>Avant</w:t>
      </w:r>
      <w:r w:rsidR="007D3EF8" w:rsidRPr="005A7A11">
        <w:t xml:space="preserve"> d’examiner une plainte soumise dans une requête, le Comité contre la torture doit déterminer si la requête est recevable en vertu de</w:t>
      </w:r>
      <w:r w:rsidR="00AC3673">
        <w:t xml:space="preserve"> l’article 22 de la Convention.</w:t>
      </w:r>
    </w:p>
    <w:p w14:paraId="41C4229A" w14:textId="313C3698" w:rsidR="00AC3673" w:rsidRDefault="00512F1B" w:rsidP="00512F1B">
      <w:pPr>
        <w:pStyle w:val="SingleTxtG"/>
        <w:ind w:hanging="11"/>
      </w:pPr>
      <w:r>
        <w:t>9.2</w:t>
      </w:r>
      <w:r>
        <w:tab/>
      </w:r>
      <w:r w:rsidR="00DA73D5">
        <w:t xml:space="preserve">Le Comité a pris note </w:t>
      </w:r>
      <w:r w:rsidR="00AC3673">
        <w:t>de l’observation de l’État partie faisant savoir que le requérant a</w:t>
      </w:r>
      <w:r w:rsidR="00693424">
        <w:t>vait</w:t>
      </w:r>
      <w:r w:rsidR="00AC3673">
        <w:t xml:space="preserve"> déposé le </w:t>
      </w:r>
      <w:r w:rsidR="00AC3673" w:rsidRPr="00EB54C5">
        <w:t>20 février 2</w:t>
      </w:r>
      <w:r w:rsidR="003A51AC" w:rsidRPr="00EB54C5">
        <w:t>015</w:t>
      </w:r>
      <w:r w:rsidR="003A51AC">
        <w:t xml:space="preserve"> une requête devant la Cour européenne des droits de l’h</w:t>
      </w:r>
      <w:r w:rsidR="00AC3673">
        <w:t xml:space="preserve">omme qui a fait l’objet d’une décision d’irrecevabilité le </w:t>
      </w:r>
      <w:r w:rsidR="00AC3673" w:rsidRPr="00EB54C5">
        <w:t>16 avril 2015</w:t>
      </w:r>
      <w:r w:rsidR="00AC3673">
        <w:t xml:space="preserve">. </w:t>
      </w:r>
      <w:r w:rsidR="000600C2">
        <w:t xml:space="preserve">Cependant, </w:t>
      </w:r>
      <w:r w:rsidR="00120C82">
        <w:t>le Comité prend</w:t>
      </w:r>
      <w:r w:rsidR="00BC6381">
        <w:t xml:space="preserve"> not</w:t>
      </w:r>
      <w:r w:rsidR="00120C82">
        <w:t>e également des informations du</w:t>
      </w:r>
      <w:r w:rsidR="00AC3673">
        <w:t xml:space="preserve"> requérant</w:t>
      </w:r>
      <w:r w:rsidR="00BC6381">
        <w:t xml:space="preserve"> faisant valoir que sa plainte devant la Cour européenne</w:t>
      </w:r>
      <w:r w:rsidR="00B76859">
        <w:t xml:space="preserve"> des droits de l’homme</w:t>
      </w:r>
      <w:r w:rsidR="00BC6381">
        <w:t xml:space="preserve"> concernait </w:t>
      </w:r>
      <w:r w:rsidR="00AC3673">
        <w:t xml:space="preserve">une question différente à celle présentée </w:t>
      </w:r>
      <w:r w:rsidR="00BC6381">
        <w:t xml:space="preserve">devant le Comité, </w:t>
      </w:r>
      <w:r w:rsidR="00AC3673">
        <w:t>à</w:t>
      </w:r>
      <w:r w:rsidR="00BC6381">
        <w:t xml:space="preserve"> savoir, la durée </w:t>
      </w:r>
      <w:r w:rsidR="00D14C9B">
        <w:t xml:space="preserve">de la procédure pénale en France pour des faits </w:t>
      </w:r>
      <w:r w:rsidR="00245786">
        <w:t>différents</w:t>
      </w:r>
      <w:r w:rsidR="00D14C9B">
        <w:t xml:space="preserve"> à ceux pour lesquels il était poursuivi en Espagne. En conséquence, le Comité considère qu’il n’est pas empêché d’examiner la communication au regard du paragraphe </w:t>
      </w:r>
      <w:r w:rsidR="00D14C9B" w:rsidRPr="00B004DB">
        <w:t>5</w:t>
      </w:r>
      <w:r w:rsidR="00B004DB" w:rsidRPr="00EB54C5">
        <w:t xml:space="preserve"> </w:t>
      </w:r>
      <w:r w:rsidR="00D14C9B" w:rsidRPr="00B004DB">
        <w:t>a</w:t>
      </w:r>
      <w:r w:rsidR="00B004DB" w:rsidRPr="00B004DB">
        <w:t>)</w:t>
      </w:r>
      <w:r w:rsidR="00D14C9B">
        <w:t xml:space="preserve"> de l’article</w:t>
      </w:r>
      <w:r w:rsidR="00B76859">
        <w:t> </w:t>
      </w:r>
      <w:r w:rsidR="00D14C9B">
        <w:t>22 de la Convention.</w:t>
      </w:r>
      <w:r w:rsidR="00AC3673">
        <w:t xml:space="preserve"> </w:t>
      </w:r>
    </w:p>
    <w:p w14:paraId="1C703461" w14:textId="7C179F03" w:rsidR="007D3EF8" w:rsidRPr="005A7A11" w:rsidRDefault="00512F1B" w:rsidP="00512F1B">
      <w:pPr>
        <w:pStyle w:val="SingleTxtG"/>
        <w:ind w:hanging="11"/>
      </w:pPr>
      <w:r w:rsidRPr="005A7A11">
        <w:t>9.3</w:t>
      </w:r>
      <w:r w:rsidRPr="005A7A11">
        <w:tab/>
      </w:r>
      <w:r w:rsidR="002F2606">
        <w:t xml:space="preserve">Le Comité note aussi que </w:t>
      </w:r>
      <w:r w:rsidR="00D14C9B">
        <w:t>l’</w:t>
      </w:r>
      <w:r w:rsidR="00B76859">
        <w:t>É</w:t>
      </w:r>
      <w:r w:rsidR="00D14C9B">
        <w:t>tat partie n’a pas soulevé d</w:t>
      </w:r>
      <w:r w:rsidR="00B76859">
        <w:t>’</w:t>
      </w:r>
      <w:r w:rsidR="00D14C9B">
        <w:t>objections concernant la recevabilité par rapport à l’épuisement des voies de</w:t>
      </w:r>
      <w:r w:rsidR="002F2606">
        <w:t xml:space="preserve"> recours internes</w:t>
      </w:r>
      <w:r w:rsidR="00D14C9B">
        <w:t xml:space="preserve">. Tous les critères relatifs à la recevabilité </w:t>
      </w:r>
      <w:r w:rsidR="00B76859">
        <w:t xml:space="preserve">étant </w:t>
      </w:r>
      <w:r w:rsidR="00D14C9B">
        <w:t>remplis</w:t>
      </w:r>
      <w:r w:rsidR="00B76859">
        <w:t>,</w:t>
      </w:r>
      <w:r w:rsidR="00D14C9B">
        <w:t xml:space="preserve"> le Comité déclare la communication recevable et procède à son examen </w:t>
      </w:r>
      <w:r w:rsidR="00AC3153">
        <w:t>quant au fond.</w:t>
      </w:r>
    </w:p>
    <w:p w14:paraId="17963D31" w14:textId="25FB44E9" w:rsidR="007D3EF8" w:rsidRPr="00C27539" w:rsidRDefault="00AC3153" w:rsidP="00AC3153">
      <w:pPr>
        <w:pStyle w:val="H23G"/>
        <w:rPr>
          <w:b w:val="0"/>
          <w:i/>
        </w:rPr>
      </w:pPr>
      <w:r>
        <w:tab/>
      </w:r>
      <w:r>
        <w:tab/>
      </w:r>
      <w:r w:rsidR="007D3EF8" w:rsidRPr="00C27539">
        <w:rPr>
          <w:b w:val="0"/>
          <w:i/>
        </w:rPr>
        <w:t xml:space="preserve">Examen </w:t>
      </w:r>
      <w:r w:rsidR="00B76859">
        <w:rPr>
          <w:b w:val="0"/>
          <w:i/>
        </w:rPr>
        <w:t>a</w:t>
      </w:r>
      <w:r w:rsidR="00187C16" w:rsidRPr="00C27539">
        <w:rPr>
          <w:b w:val="0"/>
          <w:i/>
        </w:rPr>
        <w:t xml:space="preserve">u </w:t>
      </w:r>
      <w:r w:rsidR="007D3EF8" w:rsidRPr="00C27539">
        <w:rPr>
          <w:b w:val="0"/>
          <w:i/>
        </w:rPr>
        <w:t>fond</w:t>
      </w:r>
    </w:p>
    <w:p w14:paraId="79B62D01" w14:textId="32F939F8" w:rsidR="007D3EF8" w:rsidRPr="003560A5" w:rsidRDefault="008370A6" w:rsidP="00747D9C">
      <w:pPr>
        <w:pStyle w:val="SingleTxtG"/>
      </w:pPr>
      <w:r>
        <w:t xml:space="preserve">10.1 </w:t>
      </w:r>
      <w:r w:rsidR="00B540F4">
        <w:tab/>
      </w:r>
      <w:r w:rsidR="002F2606">
        <w:t xml:space="preserve">Le Comité note les allégations faites par le requérant au sujet des circonstances dans lesquelles les déclarations de </w:t>
      </w:r>
      <w:r w:rsidR="002F2606" w:rsidRPr="00666F48">
        <w:t>M</w:t>
      </w:r>
      <w:r w:rsidR="005A4A72" w:rsidRPr="00801166">
        <w:rPr>
          <w:vertAlign w:val="superscript"/>
        </w:rPr>
        <w:t>me</w:t>
      </w:r>
      <w:r w:rsidR="002F2606" w:rsidRPr="00666F48">
        <w:t xml:space="preserve"> </w:t>
      </w:r>
      <w:r w:rsidR="005A4A72" w:rsidRPr="00666F48">
        <w:t>Etxeb</w:t>
      </w:r>
      <w:r w:rsidR="00DA4EE1">
        <w:t>a</w:t>
      </w:r>
      <w:r w:rsidR="005A4A72" w:rsidRPr="00666F48">
        <w:t>rria Caballero et M.</w:t>
      </w:r>
      <w:r w:rsidR="00D30064">
        <w:t> </w:t>
      </w:r>
      <w:r w:rsidR="005A4A72" w:rsidRPr="00666F48">
        <w:t>Zapirain</w:t>
      </w:r>
      <w:r w:rsidR="005A4A72">
        <w:t xml:space="preserve"> Romano ont été faites, les éléments qu’il a </w:t>
      </w:r>
      <w:r w:rsidR="000C5199">
        <w:t>apportés</w:t>
      </w:r>
      <w:r w:rsidR="005A4A72">
        <w:t xml:space="preserve"> </w:t>
      </w:r>
      <w:r w:rsidR="000C5199">
        <w:t xml:space="preserve">à l’appui de ses allégations ainsi que les arguments développés par les parties au </w:t>
      </w:r>
      <w:r w:rsidR="000C5199" w:rsidRPr="003560A5">
        <w:t>sujet des obligations incombant aux États parties en vertu de l’article 15 de la Convention</w:t>
      </w:r>
      <w:r w:rsidR="000C5199" w:rsidRPr="00666F48">
        <w:t>.</w:t>
      </w:r>
      <w:r w:rsidR="000A746F" w:rsidRPr="003560A5">
        <w:t xml:space="preserve"> </w:t>
      </w:r>
    </w:p>
    <w:p w14:paraId="5CE98602" w14:textId="3BA92C73" w:rsidR="000A746F" w:rsidRDefault="008370A6" w:rsidP="00747D9C">
      <w:pPr>
        <w:pStyle w:val="SingleTxtG"/>
      </w:pPr>
      <w:r>
        <w:t>10.2</w:t>
      </w:r>
      <w:r w:rsidR="00B540F4">
        <w:tab/>
      </w:r>
      <w:r w:rsidR="000A746F">
        <w:t xml:space="preserve">Le Comité </w:t>
      </w:r>
      <w:r w:rsidR="00245786">
        <w:t xml:space="preserve">rappelle </w:t>
      </w:r>
      <w:r w:rsidR="00F557AA">
        <w:t xml:space="preserve">qu’aux termes de l’article 15 de la Convention, </w:t>
      </w:r>
      <w:r w:rsidR="003560A5">
        <w:t xml:space="preserve">les </w:t>
      </w:r>
      <w:r w:rsidR="00B76859">
        <w:t>É</w:t>
      </w:r>
      <w:r w:rsidR="003560A5">
        <w:t xml:space="preserve">tats parties ont l’obligation de prendre des mesures pour que </w:t>
      </w:r>
      <w:r w:rsidR="00F557AA">
        <w:t xml:space="preserve">toute déclaration dont il est établi qu’elle a été obtenue par la torture ne puisse être invoquée comme un élément de preuve dans une procédure. Le Comité rappelle également </w:t>
      </w:r>
      <w:r w:rsidR="00245786">
        <w:t xml:space="preserve">sa jurisprudence </w:t>
      </w:r>
      <w:r w:rsidR="00605004">
        <w:t xml:space="preserve">selon </w:t>
      </w:r>
      <w:r w:rsidR="00245786">
        <w:t>laquelle</w:t>
      </w:r>
      <w:r w:rsidR="000A746F">
        <w:t xml:space="preserve"> </w:t>
      </w:r>
      <w:r w:rsidR="000A746F" w:rsidRPr="00EB54C5">
        <w:t>la généralité des termes de l’article</w:t>
      </w:r>
      <w:r w:rsidR="00605004" w:rsidRPr="00EB54C5">
        <w:t> </w:t>
      </w:r>
      <w:r w:rsidR="000A746F" w:rsidRPr="00EB54C5">
        <w:t xml:space="preserve">15 découle du caractère absolu de la prohibition de la torture et implique, par conséquent, une obligation pour tout État partie de vérifier si des déclarations qui font partie des éléments d’une procédure pour laquelle il est compétent n’ont pas été faites </w:t>
      </w:r>
      <w:r w:rsidR="00710828" w:rsidRPr="00EB54C5">
        <w:t>sous</w:t>
      </w:r>
      <w:r w:rsidR="000A746F" w:rsidRPr="00EB54C5">
        <w:t xml:space="preserve"> la torture</w:t>
      </w:r>
      <w:r w:rsidR="00F557AA">
        <w:rPr>
          <w:rStyle w:val="FootnoteReference"/>
        </w:rPr>
        <w:footnoteReference w:id="22"/>
      </w:r>
      <w:r w:rsidR="00B540F4">
        <w:t>.</w:t>
      </w:r>
      <w:r w:rsidR="000A746F">
        <w:t xml:space="preserve"> </w:t>
      </w:r>
      <w:r w:rsidR="00F557AA">
        <w:t>Dans la présente affaire, l</w:t>
      </w:r>
      <w:r w:rsidR="000A746F">
        <w:t>e Comité constate que les déclarations litigeuses font partie des éléments de la proc</w:t>
      </w:r>
      <w:r w:rsidR="00710828">
        <w:t xml:space="preserve">édure </w:t>
      </w:r>
      <w:r w:rsidR="00710828" w:rsidRPr="00666F48">
        <w:t>de remise d</w:t>
      </w:r>
      <w:r w:rsidR="00E76C8C" w:rsidRPr="00666F48">
        <w:t xml:space="preserve">u requérant </w:t>
      </w:r>
      <w:r w:rsidR="00710828" w:rsidRPr="00666F48">
        <w:t>aux autorités</w:t>
      </w:r>
      <w:r w:rsidR="00E76C8C" w:rsidRPr="00666F48">
        <w:t xml:space="preserve"> espagnoles</w:t>
      </w:r>
      <w:r w:rsidR="00710828" w:rsidRPr="00666F48">
        <w:t xml:space="preserve"> en vertu d’un</w:t>
      </w:r>
      <w:r w:rsidR="000A746F" w:rsidRPr="00666F48">
        <w:t xml:space="preserve"> mandat d’arrêt européen</w:t>
      </w:r>
      <w:r w:rsidR="000A746F" w:rsidRPr="003560A5">
        <w:t xml:space="preserve"> pour lequel l’État partie est compétent. </w:t>
      </w:r>
      <w:r w:rsidR="00A85785">
        <w:t>L</w:t>
      </w:r>
      <w:r w:rsidR="000A746F">
        <w:t xml:space="preserve">’État partie était </w:t>
      </w:r>
      <w:r w:rsidR="00342F82">
        <w:t xml:space="preserve">donc </w:t>
      </w:r>
      <w:r w:rsidR="000A746F">
        <w:t>dans l’obligation de vérifier la valeur de</w:t>
      </w:r>
      <w:r w:rsidR="00E76C8C">
        <w:t>s</w:t>
      </w:r>
      <w:r w:rsidR="000A746F">
        <w:t xml:space="preserve"> allégations</w:t>
      </w:r>
      <w:r w:rsidR="00E76C8C">
        <w:t xml:space="preserve"> du requérant</w:t>
      </w:r>
      <w:r w:rsidR="000A746F">
        <w:t>.</w:t>
      </w:r>
    </w:p>
    <w:p w14:paraId="05C6E44E" w14:textId="00958962" w:rsidR="00C96786" w:rsidRPr="003560A5" w:rsidRDefault="008370A6" w:rsidP="00747D9C">
      <w:pPr>
        <w:pStyle w:val="SingleTxtG"/>
      </w:pPr>
      <w:r>
        <w:t xml:space="preserve">10.3 </w:t>
      </w:r>
      <w:r w:rsidR="00B540F4">
        <w:tab/>
      </w:r>
      <w:r w:rsidR="000A746F">
        <w:t xml:space="preserve">Le Comité </w:t>
      </w:r>
      <w:r w:rsidR="00E76C8C">
        <w:t>note à ce sujet que</w:t>
      </w:r>
      <w:r w:rsidR="00605004">
        <w:t>,</w:t>
      </w:r>
      <w:r w:rsidR="00E76C8C">
        <w:t xml:space="preserve"> </w:t>
      </w:r>
      <w:r w:rsidR="00675550">
        <w:t xml:space="preserve">dans le cadre de la procédure concernant le mandat d’arrêt européen émis par l’Espagne à l’encontre du requérant, la </w:t>
      </w:r>
      <w:r w:rsidR="00605004">
        <w:t>c</w:t>
      </w:r>
      <w:r w:rsidR="00675550">
        <w:t xml:space="preserve">hambre de l’instruction </w:t>
      </w:r>
      <w:r w:rsidR="00675550">
        <w:lastRenderedPageBreak/>
        <w:t xml:space="preserve">de la </w:t>
      </w:r>
      <w:r w:rsidR="00E15704">
        <w:t>c</w:t>
      </w:r>
      <w:r w:rsidR="00675550">
        <w:t xml:space="preserve">our d’appel de Paris n’a pris </w:t>
      </w:r>
      <w:r w:rsidR="00675550" w:rsidRPr="00666F48">
        <w:rPr>
          <w:bCs/>
        </w:rPr>
        <w:t>une</w:t>
      </w:r>
      <w:r w:rsidR="001A5093" w:rsidRPr="00666F48">
        <w:rPr>
          <w:bCs/>
        </w:rPr>
        <w:t xml:space="preserve"> décision finale qu’après avoir constaté que les investigations diligentées</w:t>
      </w:r>
      <w:r w:rsidR="00675550" w:rsidRPr="00666F48">
        <w:rPr>
          <w:bCs/>
        </w:rPr>
        <w:t xml:space="preserve"> par l</w:t>
      </w:r>
      <w:r w:rsidR="00F93A56" w:rsidRPr="00666F48">
        <w:rPr>
          <w:bCs/>
        </w:rPr>
        <w:t>es autorités espagnoles</w:t>
      </w:r>
      <w:r w:rsidR="001A5093" w:rsidRPr="00666F48">
        <w:rPr>
          <w:bCs/>
        </w:rPr>
        <w:t xml:space="preserve"> </w:t>
      </w:r>
      <w:r w:rsidR="003560A5">
        <w:rPr>
          <w:bCs/>
        </w:rPr>
        <w:t xml:space="preserve">concernant les plaintes pour torture des personnes mentionnées ci-dessus </w:t>
      </w:r>
      <w:r w:rsidR="001A5093" w:rsidRPr="00666F48">
        <w:rPr>
          <w:bCs/>
        </w:rPr>
        <w:t>avaient abouti à une décis</w:t>
      </w:r>
      <w:r w:rsidR="000600C2" w:rsidRPr="00666F48">
        <w:rPr>
          <w:bCs/>
        </w:rPr>
        <w:t>ion de non-lieu. Cette décision</w:t>
      </w:r>
      <w:r w:rsidR="001A5093" w:rsidRPr="00666F48">
        <w:rPr>
          <w:bCs/>
        </w:rPr>
        <w:t xml:space="preserve"> ayant eu lieu </w:t>
      </w:r>
      <w:r w:rsidR="001A5093" w:rsidRPr="00EB54C5">
        <w:rPr>
          <w:bCs/>
        </w:rPr>
        <w:t xml:space="preserve">le </w:t>
      </w:r>
      <w:r w:rsidR="00C96786" w:rsidRPr="00EB54C5">
        <w:rPr>
          <w:bCs/>
        </w:rPr>
        <w:t>12</w:t>
      </w:r>
      <w:r w:rsidR="00605004" w:rsidRPr="00EB54C5">
        <w:rPr>
          <w:bCs/>
        </w:rPr>
        <w:t> </w:t>
      </w:r>
      <w:r w:rsidR="00C96786" w:rsidRPr="00EB54C5">
        <w:rPr>
          <w:bCs/>
        </w:rPr>
        <w:t>novembre 2014, date postérieur</w:t>
      </w:r>
      <w:r w:rsidR="00605004" w:rsidRPr="00EB54C5">
        <w:rPr>
          <w:bCs/>
        </w:rPr>
        <w:t>e</w:t>
      </w:r>
      <w:r w:rsidR="00C96786" w:rsidRPr="00EB54C5">
        <w:rPr>
          <w:bCs/>
        </w:rPr>
        <w:t xml:space="preserve"> à l’arrêt de la Cour européenne des droits de l’homme du 7 octobre 2014, il ne peut pas être établi que la </w:t>
      </w:r>
      <w:r w:rsidR="00E15704" w:rsidRPr="00EB54C5">
        <w:rPr>
          <w:bCs/>
        </w:rPr>
        <w:t>c</w:t>
      </w:r>
      <w:r w:rsidR="00C96786" w:rsidRPr="00EB54C5">
        <w:rPr>
          <w:bCs/>
        </w:rPr>
        <w:t>our</w:t>
      </w:r>
      <w:r w:rsidR="003560A5" w:rsidRPr="00EB54C5">
        <w:rPr>
          <w:bCs/>
        </w:rPr>
        <w:t xml:space="preserve"> d’appel</w:t>
      </w:r>
      <w:r w:rsidR="00C96786" w:rsidRPr="00EB54C5">
        <w:rPr>
          <w:bCs/>
        </w:rPr>
        <w:t xml:space="preserve"> n’a pas </w:t>
      </w:r>
      <w:r w:rsidR="00605004" w:rsidRPr="00EB54C5">
        <w:rPr>
          <w:bCs/>
        </w:rPr>
        <w:t xml:space="preserve">tenu </w:t>
      </w:r>
      <w:r w:rsidR="00C96786" w:rsidRPr="00EB54C5">
        <w:rPr>
          <w:bCs/>
        </w:rPr>
        <w:t>compte de cet arrêt dans sa déci</w:t>
      </w:r>
      <w:r w:rsidR="00C96786" w:rsidRPr="00666F48">
        <w:rPr>
          <w:bCs/>
        </w:rPr>
        <w:t>sion, d’autant plus que l’arrêt lui</w:t>
      </w:r>
      <w:r w:rsidR="003560A5">
        <w:rPr>
          <w:bCs/>
        </w:rPr>
        <w:t xml:space="preserve"> a été</w:t>
      </w:r>
      <w:r w:rsidR="00C96786" w:rsidRPr="00666F48">
        <w:rPr>
          <w:bCs/>
        </w:rPr>
        <w:t xml:space="preserve"> fourni par le conseiller du </w:t>
      </w:r>
      <w:r w:rsidR="00C96786" w:rsidRPr="00731137">
        <w:rPr>
          <w:bCs/>
        </w:rPr>
        <w:t>requérant en note en délibéré</w:t>
      </w:r>
      <w:r w:rsidR="00C96786" w:rsidRPr="00666F48">
        <w:rPr>
          <w:bCs/>
        </w:rPr>
        <w:t xml:space="preserve">. </w:t>
      </w:r>
      <w:r w:rsidR="008D48C3" w:rsidRPr="00666F48">
        <w:t xml:space="preserve">Le Comité considère qu’il ne peut pas être exigé </w:t>
      </w:r>
      <w:r w:rsidR="00605004">
        <w:t xml:space="preserve">de </w:t>
      </w:r>
      <w:r w:rsidR="008D48C3" w:rsidRPr="00666F48">
        <w:t xml:space="preserve">l’État partie </w:t>
      </w:r>
      <w:r w:rsidR="003560A5">
        <w:t xml:space="preserve">d’entreprendre </w:t>
      </w:r>
      <w:r w:rsidR="008D48C3" w:rsidRPr="00666F48">
        <w:t>une enquête directe</w:t>
      </w:r>
      <w:r w:rsidR="003560A5">
        <w:t xml:space="preserve"> concernant l</w:t>
      </w:r>
      <w:r w:rsidR="008D48C3" w:rsidRPr="00666F48">
        <w:t>e</w:t>
      </w:r>
      <w:r w:rsidR="00F93A56" w:rsidRPr="00666F48">
        <w:t>s allégations de torture formulées par M</w:t>
      </w:r>
      <w:r w:rsidR="00F93A56" w:rsidRPr="00801166">
        <w:rPr>
          <w:vertAlign w:val="superscript"/>
        </w:rPr>
        <w:t>me</w:t>
      </w:r>
      <w:r w:rsidR="00D30064">
        <w:t> </w:t>
      </w:r>
      <w:r w:rsidR="00F93A56" w:rsidRPr="00666F48">
        <w:t>Etxebarr</w:t>
      </w:r>
      <w:r w:rsidR="00493B2D">
        <w:t>i</w:t>
      </w:r>
      <w:r w:rsidR="00F93A56" w:rsidRPr="00666F48">
        <w:t>a Caballero et M.</w:t>
      </w:r>
      <w:r w:rsidR="00D30064">
        <w:t> </w:t>
      </w:r>
      <w:r w:rsidR="00F93A56" w:rsidRPr="00666F48">
        <w:t>Zapirain Romano</w:t>
      </w:r>
      <w:r w:rsidR="008D48C3" w:rsidRPr="00666F48">
        <w:t>,</w:t>
      </w:r>
      <w:r w:rsidR="00F93A56" w:rsidRPr="00666F48">
        <w:t xml:space="preserve"> car une telle enqu</w:t>
      </w:r>
      <w:r w:rsidR="00971CDD">
        <w:t>ête était</w:t>
      </w:r>
      <w:r w:rsidR="008D48C3" w:rsidRPr="00666F48">
        <w:t xml:space="preserve"> en dehors de sa juridiction. </w:t>
      </w:r>
      <w:r w:rsidR="000A773B">
        <w:t xml:space="preserve">Le Comité note également que la </w:t>
      </w:r>
      <w:r w:rsidR="00E15704">
        <w:t>c</w:t>
      </w:r>
      <w:r w:rsidR="000A773B">
        <w:t xml:space="preserve">our d’appel a aussi tenu </w:t>
      </w:r>
      <w:r w:rsidR="000A773B" w:rsidRPr="00706E01">
        <w:t xml:space="preserve">compte </w:t>
      </w:r>
      <w:r w:rsidR="000A773B" w:rsidRPr="00706E01">
        <w:rPr>
          <w:bCs/>
        </w:rPr>
        <w:t>d</w:t>
      </w:r>
      <w:r w:rsidR="00057C1E">
        <w:rPr>
          <w:bCs/>
        </w:rPr>
        <w:t xml:space="preserve">u </w:t>
      </w:r>
      <w:r w:rsidR="000A773B" w:rsidRPr="00706E01">
        <w:rPr>
          <w:bCs/>
        </w:rPr>
        <w:t xml:space="preserve">rapport </w:t>
      </w:r>
      <w:r w:rsidR="000A773B">
        <w:rPr>
          <w:bCs/>
        </w:rPr>
        <w:t xml:space="preserve">du Comité </w:t>
      </w:r>
      <w:r w:rsidR="00605004">
        <w:rPr>
          <w:bCs/>
        </w:rPr>
        <w:t xml:space="preserve">européen pour la </w:t>
      </w:r>
      <w:r w:rsidR="000A773B">
        <w:rPr>
          <w:bCs/>
        </w:rPr>
        <w:t xml:space="preserve">prévention </w:t>
      </w:r>
      <w:r w:rsidR="00605004">
        <w:rPr>
          <w:bCs/>
        </w:rPr>
        <w:t xml:space="preserve">de </w:t>
      </w:r>
      <w:r w:rsidR="000A773B">
        <w:rPr>
          <w:bCs/>
        </w:rPr>
        <w:t>la torture</w:t>
      </w:r>
      <w:r w:rsidR="00605004">
        <w:rPr>
          <w:bCs/>
        </w:rPr>
        <w:t xml:space="preserve"> et des peines ou traitement inhumains ou dégradants</w:t>
      </w:r>
      <w:r w:rsidR="000A773B">
        <w:rPr>
          <w:bCs/>
        </w:rPr>
        <w:t xml:space="preserve">, </w:t>
      </w:r>
      <w:r w:rsidR="000A773B" w:rsidRPr="00706E01">
        <w:rPr>
          <w:bCs/>
        </w:rPr>
        <w:t xml:space="preserve">présenté par le requérant et qui soulignait le caractère insuffisant de certaines enquêtes menées en Espagne. Cependant la cour d’appel a considéré </w:t>
      </w:r>
      <w:r w:rsidR="000A773B" w:rsidRPr="00057C1E">
        <w:rPr>
          <w:bCs/>
        </w:rPr>
        <w:t>ce rapport insuffisant pour c</w:t>
      </w:r>
      <w:r w:rsidR="000A773B">
        <w:rPr>
          <w:bCs/>
        </w:rPr>
        <w:t>onclure que les deux personnes en question auraient été personnellement soumises à la torture.</w:t>
      </w:r>
      <w:r w:rsidR="00D35B23">
        <w:rPr>
          <w:bCs/>
        </w:rPr>
        <w:t xml:space="preserve"> </w:t>
      </w:r>
    </w:p>
    <w:p w14:paraId="1839C2AA" w14:textId="1C47F548" w:rsidR="00B540F4" w:rsidRDefault="008370A6" w:rsidP="00747D9C">
      <w:pPr>
        <w:pStyle w:val="SingleTxtG"/>
        <w:rPr>
          <w:lang w:val="fr-FR"/>
        </w:rPr>
      </w:pPr>
      <w:r w:rsidRPr="00706E01">
        <w:t>1</w:t>
      </w:r>
      <w:r w:rsidR="0030162A" w:rsidRPr="00706E01">
        <w:t>1.</w:t>
      </w:r>
      <w:r>
        <w:t xml:space="preserve"> </w:t>
      </w:r>
      <w:r w:rsidR="00B540F4">
        <w:tab/>
      </w:r>
      <w:r w:rsidR="000A773B">
        <w:t>D</w:t>
      </w:r>
      <w:r w:rsidR="00FA48C4">
        <w:t>ans les</w:t>
      </w:r>
      <w:r w:rsidR="000A773B">
        <w:t xml:space="preserve"> circonstances du cas d’espèce</w:t>
      </w:r>
      <w:r w:rsidR="00FA48C4">
        <w:t xml:space="preserve"> et sur la base des éléments qui lui ont été soumis</w:t>
      </w:r>
      <w:r w:rsidR="00342F82">
        <w:t>,</w:t>
      </w:r>
      <w:r w:rsidR="00FA48C4">
        <w:t xml:space="preserve"> le Comité ne peut pas conclure que la procédure interne ait été caractérisée par </w:t>
      </w:r>
      <w:r w:rsidR="00A85785">
        <w:t xml:space="preserve">un procédé </w:t>
      </w:r>
      <w:r w:rsidR="00342F82">
        <w:t xml:space="preserve">manifestement </w:t>
      </w:r>
      <w:r w:rsidR="00A85785">
        <w:t>arbitraire ou par un déni de justice</w:t>
      </w:r>
      <w:r w:rsidR="00FA48C4">
        <w:t xml:space="preserve">. </w:t>
      </w:r>
      <w:r w:rsidR="00FD4243">
        <w:t>En conséquence, le Comité est d’avis que les éléments qui lui ont été soumis ne permettent pas d’établir qu’il y a eu une violation de l’article 15 de la Convention.</w:t>
      </w:r>
    </w:p>
    <w:p w14:paraId="0CD25CC4" w14:textId="60985E37" w:rsidR="00FD4243" w:rsidRPr="005A7A11" w:rsidRDefault="008370A6" w:rsidP="00747D9C">
      <w:pPr>
        <w:pStyle w:val="SingleTxtG"/>
      </w:pPr>
      <w:r w:rsidRPr="00706E01">
        <w:rPr>
          <w:lang w:val="fr-FR"/>
        </w:rPr>
        <w:t>1</w:t>
      </w:r>
      <w:r w:rsidR="0030162A" w:rsidRPr="00706E01">
        <w:rPr>
          <w:lang w:val="fr-FR"/>
        </w:rPr>
        <w:t>2.</w:t>
      </w:r>
      <w:r w:rsidR="00B540F4">
        <w:rPr>
          <w:lang w:val="fr-FR"/>
        </w:rPr>
        <w:tab/>
      </w:r>
      <w:r w:rsidR="00FD4243" w:rsidRPr="00FD4243">
        <w:rPr>
          <w:lang w:val="fr-FR"/>
        </w:rPr>
        <w:t>Le Comité contre la torture, agissant en vertu du paragraphe 7 de l’article 22 de la Convention</w:t>
      </w:r>
      <w:r w:rsidR="00FD4243">
        <w:rPr>
          <w:lang w:val="fr-FR"/>
        </w:rPr>
        <w:t xml:space="preserve">, conclut que la remise </w:t>
      </w:r>
      <w:r w:rsidR="00FD4243" w:rsidRPr="00FD4243">
        <w:rPr>
          <w:lang w:val="fr-FR"/>
        </w:rPr>
        <w:t>du requérant</w:t>
      </w:r>
      <w:r w:rsidR="00FD4243">
        <w:rPr>
          <w:lang w:val="fr-FR"/>
        </w:rPr>
        <w:t xml:space="preserve"> aux autorités espagnoles </w:t>
      </w:r>
      <w:r w:rsidR="00FD4243" w:rsidRPr="00FD4243">
        <w:rPr>
          <w:lang w:val="fr-FR"/>
        </w:rPr>
        <w:t xml:space="preserve">par l’État partie ne </w:t>
      </w:r>
      <w:r w:rsidR="00FD4243">
        <w:rPr>
          <w:lang w:val="fr-FR"/>
        </w:rPr>
        <w:t>constitue</w:t>
      </w:r>
      <w:r w:rsidR="00FD4243" w:rsidRPr="00FD4243">
        <w:rPr>
          <w:lang w:val="fr-FR"/>
        </w:rPr>
        <w:t xml:space="preserve"> </w:t>
      </w:r>
      <w:r w:rsidR="00FD4243">
        <w:rPr>
          <w:lang w:val="fr-FR"/>
        </w:rPr>
        <w:t>pas une violation de l’article 15</w:t>
      </w:r>
      <w:r w:rsidR="00FD4243" w:rsidRPr="00FD4243">
        <w:rPr>
          <w:lang w:val="fr-FR"/>
        </w:rPr>
        <w:t xml:space="preserve"> de la Convention.</w:t>
      </w:r>
    </w:p>
    <w:p w14:paraId="7D3D7502" w14:textId="19ACCBF4" w:rsidR="00BA7D5B" w:rsidRPr="00BA7D5B" w:rsidRDefault="00BA7D5B" w:rsidP="00BA7D5B">
      <w:pPr>
        <w:pStyle w:val="SingleTxtG"/>
        <w:spacing w:before="240" w:after="0"/>
        <w:jc w:val="center"/>
        <w:rPr>
          <w:u w:val="single"/>
        </w:rPr>
      </w:pPr>
      <w:r>
        <w:rPr>
          <w:u w:val="single"/>
        </w:rPr>
        <w:tab/>
      </w:r>
      <w:r>
        <w:rPr>
          <w:u w:val="single"/>
        </w:rPr>
        <w:tab/>
      </w:r>
      <w:r>
        <w:rPr>
          <w:u w:val="single"/>
        </w:rPr>
        <w:tab/>
      </w:r>
      <w:r w:rsidR="00E620D8">
        <w:rPr>
          <w:u w:val="single"/>
        </w:rPr>
        <w:tab/>
      </w:r>
    </w:p>
    <w:sectPr w:rsidR="00BA7D5B" w:rsidRPr="00BA7D5B" w:rsidSect="00184FD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DB9E" w14:textId="77777777" w:rsidR="00464498" w:rsidRDefault="00464498"/>
  </w:endnote>
  <w:endnote w:type="continuationSeparator" w:id="0">
    <w:p w14:paraId="3B706F1F" w14:textId="77777777" w:rsidR="00464498" w:rsidRDefault="00464498"/>
  </w:endnote>
  <w:endnote w:type="continuationNotice" w:id="1">
    <w:p w14:paraId="05833803" w14:textId="77777777" w:rsidR="00464498" w:rsidRDefault="00464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3174" w14:textId="25272A0D" w:rsidR="00184FDF" w:rsidRPr="00F107CF" w:rsidRDefault="00184FDF" w:rsidP="00F107CF">
    <w:pPr>
      <w:pStyle w:val="Footer"/>
      <w:tabs>
        <w:tab w:val="right" w:pos="9638"/>
      </w:tabs>
    </w:pPr>
    <w:r w:rsidRPr="00F107CF">
      <w:rPr>
        <w:b/>
        <w:sz w:val="18"/>
      </w:rPr>
      <w:fldChar w:fldCharType="begin"/>
    </w:r>
    <w:r w:rsidRPr="00F107CF">
      <w:rPr>
        <w:b/>
        <w:sz w:val="18"/>
      </w:rPr>
      <w:instrText xml:space="preserve"> PAGE  \* MERGEFORMAT </w:instrText>
    </w:r>
    <w:r w:rsidRPr="00F107CF">
      <w:rPr>
        <w:b/>
        <w:sz w:val="18"/>
      </w:rPr>
      <w:fldChar w:fldCharType="separate"/>
    </w:r>
    <w:r w:rsidR="003F1CC4">
      <w:rPr>
        <w:b/>
        <w:noProof/>
        <w:sz w:val="18"/>
      </w:rPr>
      <w:t>2</w:t>
    </w:r>
    <w:r w:rsidRPr="00F107CF">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644F" w14:textId="73046F3A" w:rsidR="00184FDF" w:rsidRPr="00F107CF" w:rsidRDefault="00184FDF" w:rsidP="00F107CF">
    <w:pPr>
      <w:pStyle w:val="Footer"/>
      <w:tabs>
        <w:tab w:val="right" w:pos="9638"/>
      </w:tabs>
      <w:rPr>
        <w:b/>
        <w:sz w:val="18"/>
      </w:rPr>
    </w:pPr>
    <w:r>
      <w:tab/>
    </w:r>
    <w:r w:rsidRPr="00F107CF">
      <w:rPr>
        <w:b/>
        <w:sz w:val="18"/>
      </w:rPr>
      <w:fldChar w:fldCharType="begin"/>
    </w:r>
    <w:r w:rsidRPr="00F107CF">
      <w:rPr>
        <w:b/>
        <w:sz w:val="18"/>
      </w:rPr>
      <w:instrText xml:space="preserve"> PAGE  \* MERGEFORMAT </w:instrText>
    </w:r>
    <w:r w:rsidRPr="00F107CF">
      <w:rPr>
        <w:b/>
        <w:sz w:val="18"/>
      </w:rPr>
      <w:fldChar w:fldCharType="separate"/>
    </w:r>
    <w:r w:rsidR="003F1CC4">
      <w:rPr>
        <w:b/>
        <w:noProof/>
        <w:sz w:val="18"/>
      </w:rPr>
      <w:t>5</w:t>
    </w:r>
    <w:r w:rsidRPr="00F107C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EB6B" w14:textId="6BB8BC7C" w:rsidR="00184FDF" w:rsidRPr="009E64C9" w:rsidRDefault="009E64C9" w:rsidP="009E64C9">
    <w:pPr>
      <w:pStyle w:val="Footer"/>
      <w:spacing w:before="120"/>
      <w:rPr>
        <w:sz w:val="20"/>
      </w:rPr>
    </w:pPr>
    <w:r w:rsidRPr="009E64C9">
      <w:rPr>
        <w:rFonts w:ascii="C39T30Lfz" w:hAnsi="C39T30Lfz"/>
        <w:noProof/>
        <w:sz w:val="56"/>
        <w:lang w:val="en-US"/>
      </w:rPr>
      <w:drawing>
        <wp:anchor distT="0" distB="0" distL="114300" distR="114300" simplePos="0" relativeHeight="251659264" behindDoc="0" locked="0" layoutInCell="1" allowOverlap="0" wp14:anchorId="1E897353" wp14:editId="41BD73F5">
          <wp:simplePos x="0" y="0"/>
          <wp:positionH relativeFrom="margin">
            <wp:posOffset>4326032</wp:posOffset>
          </wp:positionH>
          <wp:positionV relativeFrom="margin">
            <wp:posOffset>9159240</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657216" behindDoc="0" locked="0" layoutInCell="1" allowOverlap="1" wp14:anchorId="13940726" wp14:editId="0A166BCB">
          <wp:simplePos x="0" y="0"/>
          <wp:positionH relativeFrom="margin">
            <wp:posOffset>5487258</wp:posOffset>
          </wp:positionH>
          <wp:positionV relativeFrom="margin">
            <wp:posOffset>8847455</wp:posOffset>
          </wp:positionV>
          <wp:extent cx="638175" cy="638175"/>
          <wp:effectExtent l="0" t="0" r="9525" b="9525"/>
          <wp:wrapNone/>
          <wp:docPr id="2" name="Image 1" descr="https://undocs.org/m2/QRCode.ashx?DS=CAT/C/62/D/675/2015&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675/2015&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GE.18-00937  (F)</w:t>
    </w:r>
    <w:r>
      <w:rPr>
        <w:sz w:val="20"/>
      </w:rPr>
      <w:br/>
    </w:r>
    <w:r w:rsidRPr="009E64C9">
      <w:rPr>
        <w:rFonts w:ascii="C39T30Lfz" w:hAnsi="C39T30Lfz"/>
        <w:sz w:val="56"/>
      </w:rPr>
      <w:t></w:t>
    </w:r>
    <w:r w:rsidRPr="009E64C9">
      <w:rPr>
        <w:rFonts w:ascii="C39T30Lfz" w:hAnsi="C39T30Lfz"/>
        <w:sz w:val="56"/>
      </w:rPr>
      <w:t></w:t>
    </w:r>
    <w:r w:rsidRPr="009E64C9">
      <w:rPr>
        <w:rFonts w:ascii="C39T30Lfz" w:hAnsi="C39T30Lfz"/>
        <w:sz w:val="56"/>
      </w:rPr>
      <w:t></w:t>
    </w:r>
    <w:r w:rsidRPr="009E64C9">
      <w:rPr>
        <w:rFonts w:ascii="C39T30Lfz" w:hAnsi="C39T30Lfz"/>
        <w:sz w:val="56"/>
      </w:rPr>
      <w:t></w:t>
    </w:r>
    <w:r w:rsidRPr="009E64C9">
      <w:rPr>
        <w:rFonts w:ascii="C39T30Lfz" w:hAnsi="C39T30Lfz"/>
        <w:sz w:val="56"/>
      </w:rPr>
      <w:t></w:t>
    </w:r>
    <w:r w:rsidRPr="009E64C9">
      <w:rPr>
        <w:rFonts w:ascii="C39T30Lfz" w:hAnsi="C39T30Lfz"/>
        <w:sz w:val="56"/>
      </w:rPr>
      <w:t></w:t>
    </w:r>
    <w:r w:rsidRPr="009E64C9">
      <w:rPr>
        <w:rFonts w:ascii="C39T30Lfz" w:hAnsi="C39T30Lfz"/>
        <w:sz w:val="56"/>
      </w:rPr>
      <w:t></w:t>
    </w:r>
    <w:r w:rsidRPr="009E64C9">
      <w:rPr>
        <w:rFonts w:ascii="C39T30Lfz" w:hAnsi="C39T30Lfz"/>
        <w:sz w:val="56"/>
      </w:rPr>
      <w:t></w:t>
    </w:r>
    <w:r w:rsidRPr="009E64C9">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4FE4" w14:textId="77777777" w:rsidR="00464498" w:rsidRPr="00D27D5E" w:rsidRDefault="00464498" w:rsidP="00D27D5E">
      <w:pPr>
        <w:tabs>
          <w:tab w:val="right" w:pos="2155"/>
        </w:tabs>
        <w:spacing w:after="80"/>
        <w:ind w:left="680"/>
        <w:rPr>
          <w:u w:val="single"/>
        </w:rPr>
      </w:pPr>
      <w:r>
        <w:rPr>
          <w:u w:val="single"/>
        </w:rPr>
        <w:tab/>
      </w:r>
    </w:p>
  </w:footnote>
  <w:footnote w:type="continuationSeparator" w:id="0">
    <w:p w14:paraId="76B828DB" w14:textId="77777777" w:rsidR="00464498" w:rsidRPr="005C6B56" w:rsidRDefault="00464498" w:rsidP="005C6B56">
      <w:pPr>
        <w:tabs>
          <w:tab w:val="right" w:pos="2155"/>
        </w:tabs>
        <w:spacing w:after="80"/>
        <w:ind w:left="680"/>
        <w:rPr>
          <w:u w:val="single"/>
        </w:rPr>
      </w:pPr>
      <w:r w:rsidRPr="005C6B56">
        <w:rPr>
          <w:u w:val="single"/>
        </w:rPr>
        <w:tab/>
      </w:r>
    </w:p>
  </w:footnote>
  <w:footnote w:type="continuationNotice" w:id="1">
    <w:p w14:paraId="47EC6DF1" w14:textId="77777777" w:rsidR="00464498" w:rsidRDefault="00464498"/>
  </w:footnote>
  <w:footnote w:id="2">
    <w:p w14:paraId="607B6E19" w14:textId="2A810805" w:rsidR="00184FDF" w:rsidRPr="00801166" w:rsidRDefault="00184FDF">
      <w:pPr>
        <w:pStyle w:val="FootnoteText"/>
      </w:pPr>
      <w:r>
        <w:rPr>
          <w:rStyle w:val="FootnoteReference"/>
        </w:rPr>
        <w:tab/>
      </w:r>
      <w:r w:rsidRPr="00801166">
        <w:rPr>
          <w:rStyle w:val="FootnoteReference"/>
          <w:sz w:val="20"/>
          <w:vertAlign w:val="baseline"/>
        </w:rPr>
        <w:t>*</w:t>
      </w:r>
      <w:r>
        <w:rPr>
          <w:rStyle w:val="FootnoteReference"/>
          <w:sz w:val="20"/>
          <w:vertAlign w:val="baseline"/>
        </w:rPr>
        <w:tab/>
      </w:r>
      <w:r>
        <w:t xml:space="preserve">Adoptée par le Comité </w:t>
      </w:r>
      <w:r w:rsidRPr="00B14298">
        <w:rPr>
          <w:lang w:val="fr-FR"/>
        </w:rPr>
        <w:t>à sa soixante-deuxième session (6 novembre-6 décembre 2017</w:t>
      </w:r>
      <w:r>
        <w:rPr>
          <w:lang w:val="fr-FR"/>
        </w:rPr>
        <w:t>).</w:t>
      </w:r>
    </w:p>
  </w:footnote>
  <w:footnote w:id="3">
    <w:p w14:paraId="61B6A1C1" w14:textId="1815345A" w:rsidR="00184FDF" w:rsidRDefault="00184FDF" w:rsidP="00B004DB">
      <w:pPr>
        <w:pStyle w:val="FootnoteText"/>
      </w:pPr>
      <w:r>
        <w:rPr>
          <w:rStyle w:val="FootnoteReference"/>
        </w:rPr>
        <w:tab/>
      </w:r>
      <w:r w:rsidRPr="00801166">
        <w:rPr>
          <w:rStyle w:val="FootnoteReference"/>
          <w:sz w:val="20"/>
          <w:vertAlign w:val="baseline"/>
        </w:rPr>
        <w:t>**</w:t>
      </w:r>
      <w:r>
        <w:tab/>
      </w:r>
      <w:r w:rsidRPr="00E40D3D">
        <w:t>Les membres du Comité dont le nom suit ont participé à l’examen de la communication</w:t>
      </w:r>
      <w:r>
        <w:t> </w:t>
      </w:r>
      <w:r w:rsidRPr="00E40D3D">
        <w:t>: Essadia</w:t>
      </w:r>
      <w:r>
        <w:t> </w:t>
      </w:r>
      <w:r w:rsidRPr="00E40D3D">
        <w:t xml:space="preserve">Belmir, Alessio Bruni, Felice </w:t>
      </w:r>
      <w:r w:rsidRPr="00801166">
        <w:t>Gaer</w:t>
      </w:r>
      <w:r w:rsidRPr="00E40D3D">
        <w:t xml:space="preserve">, </w:t>
      </w:r>
      <w:r>
        <w:t>Abdelwahab Hani,</w:t>
      </w:r>
      <w:r w:rsidRPr="00E40D3D">
        <w:t xml:space="preserve"> Claude Heller-Rouassant, Jens</w:t>
      </w:r>
      <w:r>
        <w:t> </w:t>
      </w:r>
      <w:r w:rsidRPr="00E40D3D">
        <w:t>Modvig, Sapana Pradhan-</w:t>
      </w:r>
      <w:r>
        <w:t xml:space="preserve">Malla, Ana Racu </w:t>
      </w:r>
      <w:r w:rsidRPr="00E40D3D">
        <w:t>et Kening Zhang.</w:t>
      </w:r>
    </w:p>
    <w:p w14:paraId="4CD7DE6E" w14:textId="3BE7B2AB" w:rsidR="00184FDF" w:rsidRDefault="00184FDF" w:rsidP="00B004DB">
      <w:pPr>
        <w:pStyle w:val="FootnoteText"/>
      </w:pPr>
      <w:r>
        <w:tab/>
      </w:r>
      <w:r>
        <w:tab/>
      </w:r>
      <w:r w:rsidRPr="00AA3C4C">
        <w:t xml:space="preserve">Conformément à l’article 109 du </w:t>
      </w:r>
      <w:r w:rsidRPr="00864A86">
        <w:t>règlement</w:t>
      </w:r>
      <w:r w:rsidRPr="00AA3C4C">
        <w:t xml:space="preserve"> intérieur du Comité, Sébastien</w:t>
      </w:r>
      <w:r>
        <w:t>Touzé</w:t>
      </w:r>
      <w:r w:rsidRPr="00AA3C4C">
        <w:t xml:space="preserve"> n’a pas pris part à</w:t>
      </w:r>
      <w:r>
        <w:t> </w:t>
      </w:r>
      <w:r w:rsidRPr="00AA3C4C">
        <w:t>l’examen de la communication</w:t>
      </w:r>
      <w:r>
        <w:t>.</w:t>
      </w:r>
    </w:p>
  </w:footnote>
  <w:footnote w:id="4">
    <w:p w14:paraId="659E2616" w14:textId="69DC8AD2" w:rsidR="00184FDF" w:rsidRPr="008370A6" w:rsidRDefault="00184FDF" w:rsidP="00801166">
      <w:pPr>
        <w:pStyle w:val="Heading3"/>
        <w:tabs>
          <w:tab w:val="right" w:pos="993"/>
        </w:tabs>
        <w:ind w:left="1134" w:right="1134" w:hanging="1134"/>
        <w:rPr>
          <w:szCs w:val="18"/>
        </w:rPr>
      </w:pPr>
      <w:r>
        <w:rPr>
          <w:szCs w:val="18"/>
        </w:rPr>
        <w:tab/>
      </w:r>
      <w:r w:rsidRPr="008370A6">
        <w:rPr>
          <w:rStyle w:val="FootnoteReference"/>
          <w:szCs w:val="18"/>
        </w:rPr>
        <w:footnoteRef/>
      </w:r>
      <w:r>
        <w:rPr>
          <w:szCs w:val="18"/>
        </w:rPr>
        <w:tab/>
      </w:r>
      <w:r w:rsidRPr="00747D9C">
        <w:rPr>
          <w:sz w:val="18"/>
          <w:szCs w:val="18"/>
        </w:rPr>
        <w:t xml:space="preserve">À l’époque où le mandat d’arrêt européen a été émis le requérant purgeait une peine de réclusion en France pour d’autres faits. </w:t>
      </w:r>
    </w:p>
  </w:footnote>
  <w:footnote w:id="5">
    <w:p w14:paraId="7F280E94" w14:textId="6943FFD0" w:rsidR="00184FDF" w:rsidRPr="00FD2227" w:rsidRDefault="00184FDF" w:rsidP="00747D9C">
      <w:pPr>
        <w:pStyle w:val="FootnoteText"/>
        <w:tabs>
          <w:tab w:val="clear" w:pos="1021"/>
          <w:tab w:val="right" w:pos="993"/>
          <w:tab w:val="left" w:pos="1134"/>
        </w:tabs>
      </w:pPr>
      <w:r w:rsidRPr="008370A6">
        <w:rPr>
          <w:szCs w:val="18"/>
        </w:rPr>
        <w:tab/>
      </w:r>
      <w:r w:rsidRPr="008370A6">
        <w:rPr>
          <w:rStyle w:val="FootnoteReference"/>
          <w:szCs w:val="18"/>
        </w:rPr>
        <w:footnoteRef/>
      </w:r>
      <w:r>
        <w:rPr>
          <w:szCs w:val="18"/>
        </w:rPr>
        <w:tab/>
      </w:r>
      <w:r w:rsidRPr="008370A6">
        <w:rPr>
          <w:szCs w:val="18"/>
        </w:rPr>
        <w:t>Les rapports du médecin légiste figurent dans le dossier devant le Comité.</w:t>
      </w:r>
    </w:p>
  </w:footnote>
  <w:footnote w:id="6">
    <w:p w14:paraId="3EC435E2" w14:textId="40677ED3" w:rsidR="00184FDF" w:rsidRPr="00B311D6" w:rsidRDefault="00184FDF" w:rsidP="00FE1274">
      <w:pPr>
        <w:pStyle w:val="Heading3"/>
        <w:tabs>
          <w:tab w:val="right" w:pos="993"/>
        </w:tabs>
        <w:ind w:left="1134" w:right="1134" w:hanging="1134"/>
        <w:rPr>
          <w:color w:val="000000"/>
          <w:sz w:val="18"/>
          <w:szCs w:val="18"/>
          <w:lang w:val="en-US" w:eastAsia="en-GB"/>
        </w:rPr>
      </w:pPr>
      <w:r>
        <w:rPr>
          <w:sz w:val="18"/>
          <w:szCs w:val="18"/>
        </w:rPr>
        <w:tab/>
      </w:r>
      <w:r w:rsidRPr="00747D9C">
        <w:rPr>
          <w:szCs w:val="18"/>
          <w:vertAlign w:val="superscript"/>
        </w:rPr>
        <w:footnoteRef/>
      </w:r>
      <w:r w:rsidRPr="00580BA7">
        <w:rPr>
          <w:sz w:val="18"/>
          <w:szCs w:val="18"/>
          <w:lang w:val="en-GB"/>
        </w:rPr>
        <w:tab/>
      </w:r>
      <w:r w:rsidRPr="00B311D6">
        <w:rPr>
          <w:sz w:val="18"/>
          <w:szCs w:val="18"/>
          <w:lang w:val="en-US"/>
        </w:rPr>
        <w:t>CCPR/C/ESP/CO/5.</w:t>
      </w:r>
    </w:p>
  </w:footnote>
  <w:footnote w:id="7">
    <w:p w14:paraId="0853EB28" w14:textId="5B4D2DF2" w:rsidR="00184FDF" w:rsidRPr="00B311D6" w:rsidRDefault="00184FDF" w:rsidP="00801166">
      <w:pPr>
        <w:pStyle w:val="FootnoteText"/>
        <w:tabs>
          <w:tab w:val="clear" w:pos="1021"/>
          <w:tab w:val="right" w:pos="993"/>
        </w:tabs>
        <w:rPr>
          <w:szCs w:val="18"/>
          <w:lang w:val="en-US"/>
        </w:rPr>
      </w:pPr>
      <w:r w:rsidRPr="00B311D6">
        <w:rPr>
          <w:szCs w:val="18"/>
          <w:lang w:val="en-US"/>
        </w:rPr>
        <w:tab/>
      </w:r>
      <w:r w:rsidRPr="008370A6">
        <w:rPr>
          <w:rStyle w:val="FootnoteReference"/>
          <w:szCs w:val="18"/>
        </w:rPr>
        <w:footnoteRef/>
      </w:r>
      <w:r>
        <w:rPr>
          <w:szCs w:val="18"/>
          <w:lang w:val="en-GB"/>
        </w:rPr>
        <w:tab/>
      </w:r>
      <w:r w:rsidRPr="00FE1274">
        <w:rPr>
          <w:szCs w:val="18"/>
          <w:lang w:val="en-GB"/>
        </w:rPr>
        <w:t xml:space="preserve">« Report to the Spanish Government on the visit to Spain carried out by the European Committee for </w:t>
      </w:r>
      <w:r w:rsidRPr="00FE1274">
        <w:rPr>
          <w:szCs w:val="18"/>
          <w:lang w:val="en-GB"/>
        </w:rPr>
        <w:tab/>
        <w:t xml:space="preserve">the Prevention of Torture and Inhuman or Degrading Treatment or Punishment </w:t>
      </w:r>
      <w:r w:rsidRPr="00801166">
        <w:rPr>
          <w:szCs w:val="18"/>
          <w:lang w:val="en-GB"/>
        </w:rPr>
        <w:t xml:space="preserve">(CPT) </w:t>
      </w:r>
      <w:r w:rsidR="005E6A2C">
        <w:rPr>
          <w:szCs w:val="18"/>
          <w:lang w:val="en-GB"/>
        </w:rPr>
        <w:t>from 31 May to </w:t>
      </w:r>
      <w:r w:rsidRPr="00FE1274">
        <w:rPr>
          <w:szCs w:val="18"/>
          <w:lang w:val="en-GB"/>
        </w:rPr>
        <w:t>13 June 2011</w:t>
      </w:r>
      <w:r w:rsidRPr="00801166">
        <w:rPr>
          <w:szCs w:val="18"/>
          <w:lang w:val="en-GB"/>
        </w:rPr>
        <w:t> »</w:t>
      </w:r>
      <w:r w:rsidRPr="00FE1274">
        <w:rPr>
          <w:szCs w:val="18"/>
          <w:lang w:val="en-GB"/>
        </w:rPr>
        <w:t xml:space="preserve">, </w:t>
      </w:r>
      <w:r w:rsidRPr="00B311D6">
        <w:rPr>
          <w:szCs w:val="18"/>
          <w:lang w:val="en-GB"/>
        </w:rPr>
        <w:t>30 avril 2013 (disponible en anglais et en espagnol seulement), document </w:t>
      </w:r>
      <w:r w:rsidRPr="00B311D6">
        <w:rPr>
          <w:szCs w:val="18"/>
          <w:lang w:val="en-US"/>
        </w:rPr>
        <w:t>CPT/Inf (2013) 6.</w:t>
      </w:r>
    </w:p>
  </w:footnote>
  <w:footnote w:id="8">
    <w:p w14:paraId="16711F05" w14:textId="4E60859B" w:rsidR="00184FDF" w:rsidRPr="00580BA7" w:rsidRDefault="00184FDF" w:rsidP="00FE1274">
      <w:pPr>
        <w:pStyle w:val="FootnoteText"/>
        <w:tabs>
          <w:tab w:val="clear" w:pos="1021"/>
          <w:tab w:val="right" w:pos="993"/>
        </w:tabs>
      </w:pPr>
      <w:r w:rsidRPr="00B311D6">
        <w:rPr>
          <w:szCs w:val="18"/>
          <w:lang w:val="en-US"/>
        </w:rPr>
        <w:tab/>
      </w:r>
      <w:r w:rsidRPr="008370A6">
        <w:rPr>
          <w:rStyle w:val="FootnoteReference"/>
          <w:szCs w:val="18"/>
        </w:rPr>
        <w:footnoteRef/>
      </w:r>
      <w:r w:rsidRPr="00580BA7">
        <w:rPr>
          <w:szCs w:val="18"/>
        </w:rPr>
        <w:tab/>
        <w:t>CAT/C/ESP/CO/5.</w:t>
      </w:r>
    </w:p>
  </w:footnote>
  <w:footnote w:id="9">
    <w:p w14:paraId="13EEFA7C" w14:textId="71932611" w:rsidR="00184FDF" w:rsidRPr="00057C1E" w:rsidRDefault="00184FDF" w:rsidP="00801166">
      <w:pPr>
        <w:pStyle w:val="FootnoteText"/>
        <w:tabs>
          <w:tab w:val="clear" w:pos="1021"/>
          <w:tab w:val="right" w:pos="993"/>
        </w:tabs>
      </w:pPr>
      <w:r>
        <w:tab/>
      </w:r>
      <w:r>
        <w:rPr>
          <w:rStyle w:val="FootnoteReference"/>
        </w:rPr>
        <w:footnoteRef/>
      </w:r>
      <w:r>
        <w:tab/>
      </w:r>
      <w:r w:rsidRPr="00801166">
        <w:rPr>
          <w:i/>
        </w:rPr>
        <w:t>Etxeb</w:t>
      </w:r>
      <w:r>
        <w:rPr>
          <w:i/>
        </w:rPr>
        <w:t>a</w:t>
      </w:r>
      <w:r w:rsidRPr="00801166">
        <w:rPr>
          <w:i/>
        </w:rPr>
        <w:t>rria Caballero c. Espagne</w:t>
      </w:r>
      <w:r w:rsidRPr="00747D9C">
        <w:t xml:space="preserve">, </w:t>
      </w:r>
      <w:r>
        <w:t>n</w:t>
      </w:r>
      <w:r w:rsidRPr="00A74D44">
        <w:rPr>
          <w:vertAlign w:val="superscript"/>
        </w:rPr>
        <w:t>o</w:t>
      </w:r>
      <w:r>
        <w:t> </w:t>
      </w:r>
      <w:r w:rsidRPr="00747D9C">
        <w:t xml:space="preserve">74016/12, </w:t>
      </w:r>
      <w:r>
        <w:t>par. </w:t>
      </w:r>
      <w:r w:rsidRPr="00747D9C">
        <w:t>5</w:t>
      </w:r>
      <w:r>
        <w:t>7 et 5</w:t>
      </w:r>
      <w:r w:rsidRPr="00747D9C">
        <w:t>8</w:t>
      </w:r>
      <w:r>
        <w:t xml:space="preserve">, </w:t>
      </w:r>
      <w:r w:rsidRPr="00706E01">
        <w:t>7 octobre 2014. S’agissant des mauvais traitements dont Mme</w:t>
      </w:r>
      <w:r w:rsidRPr="00057C1E">
        <w:t xml:space="preserve"> Etxeb</w:t>
      </w:r>
      <w:r>
        <w:t>a</w:t>
      </w:r>
      <w:r w:rsidRPr="00057C1E">
        <w:t>rria Caballero aurait fait l’objet, la Cour a statué</w:t>
      </w:r>
      <w:r>
        <w:t> </w:t>
      </w:r>
      <w:r w:rsidRPr="00057C1E">
        <w:t xml:space="preserve">: </w:t>
      </w:r>
    </w:p>
    <w:p w14:paraId="0CBFD338" w14:textId="0ADE37ED" w:rsidR="00184FDF" w:rsidRPr="00580BA7" w:rsidRDefault="00184FDF" w:rsidP="00801166">
      <w:pPr>
        <w:pStyle w:val="FootnoteText"/>
        <w:tabs>
          <w:tab w:val="clear" w:pos="1021"/>
          <w:tab w:val="right" w:pos="993"/>
        </w:tabs>
      </w:pPr>
      <w:r>
        <w:tab/>
      </w:r>
      <w:r>
        <w:tab/>
        <w:t>« </w:t>
      </w:r>
      <w:r w:rsidRPr="00057C1E">
        <w:t>En conclusion, la Cour considère que les éléments dont elle dispose ne lui permettent pas d’établir, au-delà de tout doute raisonnable, que la requérante a été soumise à des traitements ayant atteint un minimum de gravité, en méconnaissance de l’article 3 de la Convention. À cet égard, elle tient à souligner que cette impossibilité découle en grande partie de l’absence d’une enquête approfondie et effective par les autorités nationales à la suite de la plainte présentée par la requérante pour mauvais traitements</w:t>
      </w:r>
      <w:r>
        <w:t> »</w:t>
      </w:r>
      <w:r w:rsidRPr="00580BA7">
        <w:t>.</w:t>
      </w:r>
    </w:p>
  </w:footnote>
  <w:footnote w:id="10">
    <w:p w14:paraId="3616BB00" w14:textId="2AC40513" w:rsidR="00184FDF" w:rsidRPr="00580BA7" w:rsidRDefault="00184FDF" w:rsidP="00801166">
      <w:pPr>
        <w:pStyle w:val="FootnoteText"/>
        <w:rPr>
          <w:lang w:val="en-GB"/>
        </w:rPr>
      </w:pPr>
      <w:r w:rsidRPr="00580BA7">
        <w:tab/>
      </w:r>
      <w:r>
        <w:rPr>
          <w:rStyle w:val="FootnoteReference"/>
        </w:rPr>
        <w:footnoteRef/>
      </w:r>
      <w:r>
        <w:rPr>
          <w:lang w:val="en-GB"/>
        </w:rPr>
        <w:tab/>
        <w:t>« </w:t>
      </w:r>
      <w:r w:rsidRPr="00FE1274">
        <w:rPr>
          <w:lang w:val="en-GB"/>
        </w:rPr>
        <w:t>Report to the Spanish Government on the visit to Spain</w:t>
      </w:r>
      <w:r w:rsidRPr="00EB54C5">
        <w:rPr>
          <w:lang w:val="en-GB"/>
        </w:rPr>
        <w:t>»</w:t>
      </w:r>
      <w:r w:rsidRPr="00580BA7">
        <w:rPr>
          <w:lang w:val="en-GB"/>
        </w:rPr>
        <w:t xml:space="preserve">. </w:t>
      </w:r>
    </w:p>
  </w:footnote>
  <w:footnote w:id="11">
    <w:p w14:paraId="2110B68F" w14:textId="4C7D8076" w:rsidR="00184FDF" w:rsidRPr="008370A6" w:rsidRDefault="00184FDF" w:rsidP="00801166">
      <w:pPr>
        <w:pStyle w:val="FootnoteText"/>
      </w:pPr>
      <w:r w:rsidRPr="00580BA7">
        <w:rPr>
          <w:lang w:val="en-GB"/>
        </w:rPr>
        <w:tab/>
      </w:r>
      <w:r>
        <w:rPr>
          <w:rStyle w:val="FootnoteReference"/>
        </w:rPr>
        <w:footnoteRef/>
      </w:r>
      <w:r>
        <w:tab/>
      </w:r>
      <w:r w:rsidRPr="000C413C">
        <w:t>CCPR/C/ESP/CO/5</w:t>
      </w:r>
      <w:r>
        <w:t>.</w:t>
      </w:r>
    </w:p>
  </w:footnote>
  <w:footnote w:id="12">
    <w:p w14:paraId="01162511" w14:textId="51BB610D" w:rsidR="00184FDF" w:rsidRDefault="00184FDF">
      <w:pPr>
        <w:pStyle w:val="FootnoteText"/>
      </w:pPr>
      <w:r>
        <w:tab/>
      </w:r>
      <w:r>
        <w:rPr>
          <w:rStyle w:val="FootnoteReference"/>
        </w:rPr>
        <w:footnoteRef/>
      </w:r>
      <w:r>
        <w:tab/>
      </w:r>
      <w:r w:rsidRPr="00B311D6">
        <w:t>V</w:t>
      </w:r>
      <w:r>
        <w:t>oir CAT/C/ESP/CO/5, par. 12.</w:t>
      </w:r>
    </w:p>
  </w:footnote>
  <w:footnote w:id="13">
    <w:p w14:paraId="20950B5D" w14:textId="4243F9A8" w:rsidR="00184FDF" w:rsidRPr="008370A6" w:rsidRDefault="00184FDF" w:rsidP="00801166">
      <w:pPr>
        <w:pStyle w:val="FootnoteText"/>
        <w:tabs>
          <w:tab w:val="clear" w:pos="1021"/>
          <w:tab w:val="right" w:pos="993"/>
        </w:tabs>
      </w:pPr>
      <w:r>
        <w:tab/>
      </w:r>
      <w:r>
        <w:rPr>
          <w:rStyle w:val="FootnoteReference"/>
        </w:rPr>
        <w:footnoteRef/>
      </w:r>
      <w:r>
        <w:tab/>
        <w:t xml:space="preserve">Aux termes du </w:t>
      </w:r>
      <w:r w:rsidRPr="008370A6">
        <w:t>paragraphe 1 de l’article 6</w:t>
      </w:r>
      <w:r>
        <w:t xml:space="preserve"> du traité sur l’Union européenne </w:t>
      </w:r>
      <w:r w:rsidRPr="008370A6">
        <w:t xml:space="preserve">: </w:t>
      </w:r>
      <w:r>
        <w:t>« </w:t>
      </w:r>
      <w:r w:rsidRPr="001A457B">
        <w:t>L</w:t>
      </w:r>
      <w:r>
        <w:t>’</w:t>
      </w:r>
      <w:r w:rsidRPr="001A457B">
        <w:t>Union reconnaît les</w:t>
      </w:r>
      <w:r>
        <w:t> </w:t>
      </w:r>
      <w:r w:rsidRPr="001A457B">
        <w:t>droits, les libertés et les principes énoncés dans la Charte des droits fondamentaux de l</w:t>
      </w:r>
      <w:r>
        <w:t>’</w:t>
      </w:r>
      <w:r w:rsidRPr="001A457B">
        <w:t>Union européenne du 7 décembre 2000, telle qu</w:t>
      </w:r>
      <w:r>
        <w:t>’</w:t>
      </w:r>
      <w:r w:rsidRPr="001A457B">
        <w:t>adaptée le 12 décembre 2007 à Strasbourg, laquelle a la même valeur juridique que les traités.</w:t>
      </w:r>
      <w:r>
        <w:t> »</w:t>
      </w:r>
    </w:p>
  </w:footnote>
  <w:footnote w:id="14">
    <w:p w14:paraId="10E1AE54" w14:textId="37BE12C5" w:rsidR="00184FDF" w:rsidRPr="00747D9C" w:rsidRDefault="00184FDF" w:rsidP="00801166">
      <w:pPr>
        <w:pStyle w:val="FootnoteText"/>
        <w:tabs>
          <w:tab w:val="clear" w:pos="1021"/>
          <w:tab w:val="right" w:pos="993"/>
        </w:tabs>
      </w:pPr>
      <w:r>
        <w:tab/>
      </w:r>
      <w:r>
        <w:rPr>
          <w:rStyle w:val="FootnoteReference"/>
        </w:rPr>
        <w:footnoteRef/>
      </w:r>
      <w:r>
        <w:tab/>
        <w:t>Cour de cassation, chambre criminelle (</w:t>
      </w:r>
      <w:r w:rsidRPr="00747D9C">
        <w:t>Cass</w:t>
      </w:r>
      <w:r>
        <w:t>.</w:t>
      </w:r>
      <w:r w:rsidRPr="00747D9C">
        <w:t xml:space="preserve"> </w:t>
      </w:r>
      <w:r>
        <w:t>c</w:t>
      </w:r>
      <w:r w:rsidRPr="00747D9C">
        <w:t>rim</w:t>
      </w:r>
      <w:r>
        <w:t>.</w:t>
      </w:r>
      <w:r w:rsidRPr="00747D9C">
        <w:t xml:space="preserve"> </w:t>
      </w:r>
      <w:r>
        <w:t>n</w:t>
      </w:r>
      <w:r w:rsidRPr="00A74D44">
        <w:rPr>
          <w:vertAlign w:val="superscript"/>
        </w:rPr>
        <w:t>o</w:t>
      </w:r>
      <w:r>
        <w:t> </w:t>
      </w:r>
      <w:r w:rsidRPr="00747D9C">
        <w:t>14-83.138</w:t>
      </w:r>
      <w:r>
        <w:t xml:space="preserve">), arrêt du 20 mai 2014, </w:t>
      </w:r>
      <w:r w:rsidRPr="00706E01">
        <w:rPr>
          <w:i/>
        </w:rPr>
        <w:t>Bulletin criminel 2014</w:t>
      </w:r>
      <w:r>
        <w:t>, n</w:t>
      </w:r>
      <w:r w:rsidRPr="00706E01">
        <w:rPr>
          <w:vertAlign w:val="superscript"/>
        </w:rPr>
        <w:t>o</w:t>
      </w:r>
      <w:r>
        <w:t> 135 (disponible en ligne sur le site Web : www.legifrance.gouv.fr).</w:t>
      </w:r>
    </w:p>
  </w:footnote>
  <w:footnote w:id="15">
    <w:p w14:paraId="3CE98131" w14:textId="410FBEEF" w:rsidR="00184FDF" w:rsidRPr="00747D9C" w:rsidRDefault="00184FDF" w:rsidP="00801166">
      <w:pPr>
        <w:pStyle w:val="FootnoteText"/>
        <w:tabs>
          <w:tab w:val="clear" w:pos="1021"/>
          <w:tab w:val="right" w:pos="993"/>
        </w:tabs>
      </w:pPr>
      <w:r>
        <w:tab/>
      </w:r>
      <w:r>
        <w:rPr>
          <w:rStyle w:val="FootnoteReference"/>
        </w:rPr>
        <w:footnoteRef/>
      </w:r>
      <w:r>
        <w:tab/>
      </w:r>
      <w:r w:rsidRPr="00EB54C5">
        <w:t xml:space="preserve">Voir </w:t>
      </w:r>
      <w:r w:rsidRPr="00EB54C5">
        <w:rPr>
          <w:i/>
        </w:rPr>
        <w:t xml:space="preserve">G. K. c. Suisse </w:t>
      </w:r>
      <w:r w:rsidRPr="00706E01">
        <w:t>(</w:t>
      </w:r>
      <w:r w:rsidRPr="00EB54C5">
        <w:t>CAT/C/30/D/219/2002), par. 6.11</w:t>
      </w:r>
      <w:r>
        <w:t>.</w:t>
      </w:r>
    </w:p>
  </w:footnote>
  <w:footnote w:id="16">
    <w:p w14:paraId="650E02E0" w14:textId="328B0A0A" w:rsidR="00184FDF" w:rsidRPr="00580BA7" w:rsidRDefault="00184FDF" w:rsidP="00801166">
      <w:pPr>
        <w:pStyle w:val="FootnoteText"/>
        <w:tabs>
          <w:tab w:val="clear" w:pos="1021"/>
          <w:tab w:val="right" w:pos="993"/>
        </w:tabs>
      </w:pPr>
      <w:r>
        <w:tab/>
      </w:r>
      <w:r>
        <w:rPr>
          <w:rStyle w:val="FootnoteReference"/>
        </w:rPr>
        <w:footnoteRef/>
      </w:r>
      <w:r>
        <w:tab/>
        <w:t xml:space="preserve">Voir </w:t>
      </w:r>
      <w:r w:rsidRPr="0030162A">
        <w:t>Cour européenne des droits de l’homme,</w:t>
      </w:r>
      <w:r>
        <w:t xml:space="preserve"> </w:t>
      </w:r>
      <w:r w:rsidRPr="00706E01">
        <w:rPr>
          <w:i/>
        </w:rPr>
        <w:t>Etxeb</w:t>
      </w:r>
      <w:r>
        <w:rPr>
          <w:i/>
        </w:rPr>
        <w:t>a</w:t>
      </w:r>
      <w:r w:rsidRPr="00706E01">
        <w:rPr>
          <w:i/>
        </w:rPr>
        <w:t>rria Caballero c. Espagne</w:t>
      </w:r>
      <w:r w:rsidRPr="008370A6">
        <w:t>, par.</w:t>
      </w:r>
      <w:r>
        <w:t> </w:t>
      </w:r>
      <w:r w:rsidRPr="00580BA7">
        <w:t>58.</w:t>
      </w:r>
    </w:p>
  </w:footnote>
  <w:footnote w:id="17">
    <w:p w14:paraId="65912F8D" w14:textId="1706472E" w:rsidR="00184FDF" w:rsidRPr="00580BA7" w:rsidRDefault="00184FDF" w:rsidP="00801166">
      <w:pPr>
        <w:pStyle w:val="FootnoteText"/>
        <w:tabs>
          <w:tab w:val="clear" w:pos="1021"/>
          <w:tab w:val="right" w:pos="993"/>
        </w:tabs>
      </w:pPr>
      <w:r>
        <w:tab/>
      </w:r>
      <w:r>
        <w:rPr>
          <w:rStyle w:val="FootnoteReference"/>
        </w:rPr>
        <w:footnoteRef/>
      </w:r>
      <w:r>
        <w:tab/>
      </w:r>
      <w:r w:rsidRPr="00EB54C5">
        <w:t xml:space="preserve">Voir </w:t>
      </w:r>
      <w:r w:rsidRPr="00580BA7">
        <w:rPr>
          <w:i/>
        </w:rPr>
        <w:t>Rasim Bairamov c. Kazahstan</w:t>
      </w:r>
      <w:r w:rsidRPr="00580BA7">
        <w:t xml:space="preserve"> (CAT/C/52/D/497/2012), par. 8.10.</w:t>
      </w:r>
    </w:p>
  </w:footnote>
  <w:footnote w:id="18">
    <w:p w14:paraId="0DDA2ECF" w14:textId="41F92B93" w:rsidR="00184FDF" w:rsidRPr="00580BA7" w:rsidRDefault="00184FDF" w:rsidP="00801166">
      <w:pPr>
        <w:pStyle w:val="FootnoteText"/>
        <w:tabs>
          <w:tab w:val="clear" w:pos="1021"/>
          <w:tab w:val="right" w:pos="993"/>
        </w:tabs>
        <w:rPr>
          <w:lang w:val="en-GB"/>
        </w:rPr>
      </w:pPr>
      <w:r w:rsidRPr="00580BA7">
        <w:tab/>
      </w:r>
      <w:r>
        <w:rPr>
          <w:rStyle w:val="FootnoteReference"/>
        </w:rPr>
        <w:footnoteRef/>
      </w:r>
      <w:r>
        <w:rPr>
          <w:lang w:val="en-GB"/>
        </w:rPr>
        <w:tab/>
        <w:t>« </w:t>
      </w:r>
      <w:r w:rsidRPr="00FE1274">
        <w:rPr>
          <w:lang w:val="en-GB"/>
        </w:rPr>
        <w:t>Report to the Spanish Government on the visit to Spain</w:t>
      </w:r>
      <w:r w:rsidRPr="00EB54C5">
        <w:rPr>
          <w:lang w:val="en-GB"/>
        </w:rPr>
        <w:t> »</w:t>
      </w:r>
      <w:r w:rsidRPr="00580BA7">
        <w:rPr>
          <w:lang w:val="en-GB"/>
        </w:rPr>
        <w:t>.</w:t>
      </w:r>
    </w:p>
  </w:footnote>
  <w:footnote w:id="19">
    <w:p w14:paraId="57F5B01E" w14:textId="798F8772" w:rsidR="00184FDF" w:rsidRDefault="00184FDF" w:rsidP="00801166">
      <w:pPr>
        <w:pStyle w:val="FootnoteText"/>
        <w:tabs>
          <w:tab w:val="clear" w:pos="1021"/>
          <w:tab w:val="right" w:pos="993"/>
        </w:tabs>
      </w:pPr>
      <w:r w:rsidRPr="00580BA7">
        <w:rPr>
          <w:lang w:val="en-GB"/>
        </w:rPr>
        <w:tab/>
      </w:r>
      <w:r>
        <w:rPr>
          <w:rStyle w:val="FootnoteReference"/>
        </w:rPr>
        <w:footnoteRef/>
      </w:r>
      <w:r>
        <w:tab/>
        <w:t xml:space="preserve">Voir </w:t>
      </w:r>
      <w:r w:rsidRPr="0030162A">
        <w:t>Cour européenne des droits de l’homme,</w:t>
      </w:r>
      <w:r>
        <w:t xml:space="preserve"> </w:t>
      </w:r>
      <w:r w:rsidRPr="00433B6E">
        <w:rPr>
          <w:i/>
        </w:rPr>
        <w:t>Etxeb</w:t>
      </w:r>
      <w:r>
        <w:rPr>
          <w:i/>
        </w:rPr>
        <w:t>a</w:t>
      </w:r>
      <w:r w:rsidRPr="00433B6E">
        <w:rPr>
          <w:i/>
        </w:rPr>
        <w:t>rria Caballero c. Espagne</w:t>
      </w:r>
      <w:r w:rsidRPr="008370A6">
        <w:t>, par.</w:t>
      </w:r>
      <w:r>
        <w:t> </w:t>
      </w:r>
      <w:r w:rsidRPr="008370A6">
        <w:t>58</w:t>
      </w:r>
      <w:r>
        <w:t>.</w:t>
      </w:r>
    </w:p>
  </w:footnote>
  <w:footnote w:id="20">
    <w:p w14:paraId="064274F9" w14:textId="446FB28F" w:rsidR="00184FDF" w:rsidRPr="008370A6" w:rsidRDefault="00184FDF" w:rsidP="00801166">
      <w:pPr>
        <w:pStyle w:val="FootnoteText"/>
        <w:tabs>
          <w:tab w:val="clear" w:pos="1021"/>
          <w:tab w:val="right" w:pos="993"/>
        </w:tabs>
      </w:pPr>
      <w:r>
        <w:tab/>
      </w:r>
      <w:r>
        <w:rPr>
          <w:rStyle w:val="FootnoteReference"/>
        </w:rPr>
        <w:footnoteRef/>
      </w:r>
      <w:r>
        <w:tab/>
      </w:r>
      <w:r w:rsidRPr="00801166">
        <w:rPr>
          <w:i/>
        </w:rPr>
        <w:t>R. A. Y. c. Maroc</w:t>
      </w:r>
      <w:r w:rsidRPr="00EB54C5">
        <w:t xml:space="preserve"> (CAT/C/52/D/525/2012), par. 7.4</w:t>
      </w:r>
      <w:r>
        <w:t>.</w:t>
      </w:r>
    </w:p>
  </w:footnote>
  <w:footnote w:id="21">
    <w:p w14:paraId="3E8E29A8" w14:textId="1A13DBA8" w:rsidR="00184FDF" w:rsidRPr="008370A6" w:rsidRDefault="00184FDF" w:rsidP="00801166">
      <w:pPr>
        <w:pStyle w:val="FootnoteText"/>
        <w:tabs>
          <w:tab w:val="clear" w:pos="1021"/>
          <w:tab w:val="right" w:pos="993"/>
        </w:tabs>
      </w:pPr>
      <w:r>
        <w:tab/>
      </w:r>
      <w:r>
        <w:rPr>
          <w:rStyle w:val="FootnoteReference"/>
        </w:rPr>
        <w:footnoteRef/>
      </w:r>
      <w:r>
        <w:tab/>
        <w:t xml:space="preserve">Voir </w:t>
      </w:r>
      <w:r w:rsidRPr="00801166">
        <w:rPr>
          <w:i/>
        </w:rPr>
        <w:t>Rasim Bairamov c</w:t>
      </w:r>
      <w:r>
        <w:rPr>
          <w:i/>
        </w:rPr>
        <w:t>.</w:t>
      </w:r>
      <w:r w:rsidRPr="00801166">
        <w:rPr>
          <w:i/>
        </w:rPr>
        <w:t xml:space="preserve"> Kazahstan</w:t>
      </w:r>
      <w:r w:rsidRPr="00F24769">
        <w:t>, par.</w:t>
      </w:r>
      <w:r>
        <w:t xml:space="preserve"> </w:t>
      </w:r>
      <w:r w:rsidRPr="00F24769">
        <w:t>8.10</w:t>
      </w:r>
      <w:r>
        <w:t>.</w:t>
      </w:r>
    </w:p>
  </w:footnote>
  <w:footnote w:id="22">
    <w:p w14:paraId="4591DE03" w14:textId="56134C7D" w:rsidR="00184FDF" w:rsidRPr="008370A6" w:rsidRDefault="00184FDF" w:rsidP="00801166">
      <w:pPr>
        <w:pStyle w:val="FootnoteText"/>
        <w:tabs>
          <w:tab w:val="clear" w:pos="1021"/>
          <w:tab w:val="right" w:pos="993"/>
        </w:tabs>
      </w:pPr>
      <w:r>
        <w:tab/>
      </w:r>
      <w:r>
        <w:rPr>
          <w:rStyle w:val="FootnoteReference"/>
        </w:rPr>
        <w:footnoteRef/>
      </w:r>
      <w:r>
        <w:tab/>
        <w:t xml:space="preserve">Voir </w:t>
      </w:r>
      <w:r w:rsidRPr="008370A6">
        <w:rPr>
          <w:i/>
        </w:rPr>
        <w:t>P.</w:t>
      </w:r>
      <w:r>
        <w:rPr>
          <w:i/>
        </w:rPr>
        <w:t xml:space="preserve"> </w:t>
      </w:r>
      <w:r w:rsidRPr="008370A6">
        <w:rPr>
          <w:i/>
        </w:rPr>
        <w:t xml:space="preserve">E. </w:t>
      </w:r>
      <w:r>
        <w:rPr>
          <w:i/>
        </w:rPr>
        <w:t>c</w:t>
      </w:r>
      <w:r w:rsidRPr="008370A6">
        <w:rPr>
          <w:i/>
        </w:rPr>
        <w:t>. France</w:t>
      </w:r>
      <w:r>
        <w:rPr>
          <w:i/>
        </w:rPr>
        <w:t xml:space="preserve"> </w:t>
      </w:r>
      <w:r>
        <w:t>(CAT/C/29/D/193/2001</w:t>
      </w:r>
      <w:r w:rsidRPr="008370A6">
        <w:t>), par</w:t>
      </w:r>
      <w:r>
        <w:t xml:space="preserve">. </w:t>
      </w:r>
      <w:r w:rsidRPr="008370A6">
        <w:t xml:space="preserve">6.3.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7E4A" w14:textId="737FCD01" w:rsidR="00184FDF" w:rsidRPr="00F107CF" w:rsidRDefault="00184FDF">
    <w:pPr>
      <w:pStyle w:val="Header"/>
    </w:pPr>
    <w:r w:rsidRPr="00747D9C">
      <w:t>CAT/C/62/D/675/2015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6882" w14:textId="647B6248" w:rsidR="00184FDF" w:rsidRPr="00F107CF" w:rsidRDefault="00184FDF" w:rsidP="00F107CF">
    <w:pPr>
      <w:pStyle w:val="Header"/>
      <w:jc w:val="right"/>
    </w:pPr>
    <w:r w:rsidRPr="00747D9C">
      <w:t>CAT/C/62/D/675/2015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983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CB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CF3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28D2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4CD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6681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8EB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7AD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21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C651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8B8"/>
    <w:multiLevelType w:val="hybridMultilevel"/>
    <w:tmpl w:val="62F01B68"/>
    <w:lvl w:ilvl="0" w:tplc="342AB990">
      <w:start w:val="1"/>
      <w:numFmt w:val="decimal"/>
      <w:lvlText w:val="9.%1"/>
      <w:lvlJc w:val="left"/>
      <w:pPr>
        <w:ind w:left="412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CF494B"/>
    <w:multiLevelType w:val="hybridMultilevel"/>
    <w:tmpl w:val="F8DA87FE"/>
    <w:lvl w:ilvl="0" w:tplc="640CAC72">
      <w:start w:val="1"/>
      <w:numFmt w:val="decimal"/>
      <w:lvlText w:val="6.%1"/>
      <w:lvlJc w:val="left"/>
      <w:pPr>
        <w:ind w:left="412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37D11"/>
    <w:multiLevelType w:val="hybridMultilevel"/>
    <w:tmpl w:val="A85E9538"/>
    <w:lvl w:ilvl="0" w:tplc="6110FD04">
      <w:start w:val="1"/>
      <w:numFmt w:val="decimal"/>
      <w:lvlText w:val="3.%1"/>
      <w:lvlJc w:val="left"/>
      <w:pPr>
        <w:ind w:left="461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4F5A753D"/>
    <w:multiLevelType w:val="hybridMultilevel"/>
    <w:tmpl w:val="0C265E30"/>
    <w:lvl w:ilvl="0" w:tplc="291EC986">
      <w:start w:val="1"/>
      <w:numFmt w:val="decimal"/>
      <w:lvlText w:val="9.%1"/>
      <w:lvlJc w:val="left"/>
      <w:pPr>
        <w:ind w:left="412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4D690D"/>
    <w:multiLevelType w:val="hybridMultilevel"/>
    <w:tmpl w:val="D99CB04C"/>
    <w:lvl w:ilvl="0" w:tplc="F92CD0CC">
      <w:start w:val="1"/>
      <w:numFmt w:val="decimal"/>
      <w:lvlText w:val="7.%1"/>
      <w:lvlJc w:val="left"/>
      <w:pPr>
        <w:ind w:left="412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76444EEA"/>
    <w:multiLevelType w:val="hybridMultilevel"/>
    <w:tmpl w:val="7C9AB6A6"/>
    <w:lvl w:ilvl="0" w:tplc="59AA61D0">
      <w:start w:val="1"/>
      <w:numFmt w:val="decimal"/>
      <w:lvlText w:val="2.%1"/>
      <w:lvlJc w:val="left"/>
      <w:pPr>
        <w:ind w:left="376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17"/>
  </w:num>
  <w:num w:numId="4">
    <w:abstractNumId w:val="12"/>
  </w:num>
  <w:num w:numId="5">
    <w:abstractNumId w:val="11"/>
  </w:num>
  <w:num w:numId="6">
    <w:abstractNumId w:val="15"/>
  </w:num>
  <w:num w:numId="7">
    <w:abstractNumId w:val="1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fr-CH" w:vendorID="64" w:dllVersion="131078" w:nlCheck="1" w:checkStyle="0"/>
  <w:activeWritingStyle w:appName="MSWord" w:lang="fr-FR"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9A"/>
    <w:rsid w:val="00002D23"/>
    <w:rsid w:val="00016AC5"/>
    <w:rsid w:val="000229C3"/>
    <w:rsid w:val="00032D21"/>
    <w:rsid w:val="0003544E"/>
    <w:rsid w:val="000441DD"/>
    <w:rsid w:val="000474CD"/>
    <w:rsid w:val="00056E5B"/>
    <w:rsid w:val="00057C1E"/>
    <w:rsid w:val="000600C2"/>
    <w:rsid w:val="00070B8C"/>
    <w:rsid w:val="000739AA"/>
    <w:rsid w:val="000779A4"/>
    <w:rsid w:val="000A746F"/>
    <w:rsid w:val="000A773B"/>
    <w:rsid w:val="000B0AE4"/>
    <w:rsid w:val="000B2153"/>
    <w:rsid w:val="000B781D"/>
    <w:rsid w:val="000C1A1F"/>
    <w:rsid w:val="000C413C"/>
    <w:rsid w:val="000C5199"/>
    <w:rsid w:val="000D2821"/>
    <w:rsid w:val="000D3958"/>
    <w:rsid w:val="000E1284"/>
    <w:rsid w:val="000E1E05"/>
    <w:rsid w:val="000F14E8"/>
    <w:rsid w:val="000F41F2"/>
    <w:rsid w:val="000F4C72"/>
    <w:rsid w:val="00102A6E"/>
    <w:rsid w:val="00107761"/>
    <w:rsid w:val="00111A75"/>
    <w:rsid w:val="00117817"/>
    <w:rsid w:val="00120C82"/>
    <w:rsid w:val="00131DCB"/>
    <w:rsid w:val="00136151"/>
    <w:rsid w:val="00140D90"/>
    <w:rsid w:val="00150326"/>
    <w:rsid w:val="00156821"/>
    <w:rsid w:val="0015798D"/>
    <w:rsid w:val="00160540"/>
    <w:rsid w:val="00162864"/>
    <w:rsid w:val="00166520"/>
    <w:rsid w:val="00184FDF"/>
    <w:rsid w:val="00187C16"/>
    <w:rsid w:val="001921BC"/>
    <w:rsid w:val="00192EEB"/>
    <w:rsid w:val="00193D7D"/>
    <w:rsid w:val="00197998"/>
    <w:rsid w:val="001A20FB"/>
    <w:rsid w:val="001A457B"/>
    <w:rsid w:val="001A467B"/>
    <w:rsid w:val="001A5093"/>
    <w:rsid w:val="001B38DF"/>
    <w:rsid w:val="001C2DC1"/>
    <w:rsid w:val="001C3FB5"/>
    <w:rsid w:val="001C43C9"/>
    <w:rsid w:val="001D04C0"/>
    <w:rsid w:val="001D7F8A"/>
    <w:rsid w:val="001E3FEB"/>
    <w:rsid w:val="001E4A02"/>
    <w:rsid w:val="001E4F2F"/>
    <w:rsid w:val="001E6176"/>
    <w:rsid w:val="002011EF"/>
    <w:rsid w:val="002045E6"/>
    <w:rsid w:val="00225982"/>
    <w:rsid w:val="00225A8C"/>
    <w:rsid w:val="00232CF4"/>
    <w:rsid w:val="00233436"/>
    <w:rsid w:val="00234D47"/>
    <w:rsid w:val="00243A4A"/>
    <w:rsid w:val="00243B3E"/>
    <w:rsid w:val="002448F3"/>
    <w:rsid w:val="00245786"/>
    <w:rsid w:val="00247024"/>
    <w:rsid w:val="00247519"/>
    <w:rsid w:val="002527D7"/>
    <w:rsid w:val="002659F1"/>
    <w:rsid w:val="00265DC8"/>
    <w:rsid w:val="00271371"/>
    <w:rsid w:val="00272A7A"/>
    <w:rsid w:val="00276AD4"/>
    <w:rsid w:val="00282656"/>
    <w:rsid w:val="00287A75"/>
    <w:rsid w:val="00287E79"/>
    <w:rsid w:val="002928F9"/>
    <w:rsid w:val="00297B00"/>
    <w:rsid w:val="002A5D07"/>
    <w:rsid w:val="002A61C8"/>
    <w:rsid w:val="002B2088"/>
    <w:rsid w:val="002C13E3"/>
    <w:rsid w:val="002D3B83"/>
    <w:rsid w:val="002D6683"/>
    <w:rsid w:val="002D7700"/>
    <w:rsid w:val="002D7D29"/>
    <w:rsid w:val="002E0C1D"/>
    <w:rsid w:val="002E1488"/>
    <w:rsid w:val="002E57D0"/>
    <w:rsid w:val="002E7EE7"/>
    <w:rsid w:val="002F1914"/>
    <w:rsid w:val="002F2606"/>
    <w:rsid w:val="003011CD"/>
    <w:rsid w:val="0030162A"/>
    <w:rsid w:val="003016B7"/>
    <w:rsid w:val="0030225F"/>
    <w:rsid w:val="00303D89"/>
    <w:rsid w:val="0030433A"/>
    <w:rsid w:val="003109E9"/>
    <w:rsid w:val="00311ADA"/>
    <w:rsid w:val="00315BA5"/>
    <w:rsid w:val="003203AC"/>
    <w:rsid w:val="003264F0"/>
    <w:rsid w:val="00334B25"/>
    <w:rsid w:val="00335BB7"/>
    <w:rsid w:val="00335F9E"/>
    <w:rsid w:val="00342F82"/>
    <w:rsid w:val="003502C2"/>
    <w:rsid w:val="003515AA"/>
    <w:rsid w:val="00353F06"/>
    <w:rsid w:val="00354C91"/>
    <w:rsid w:val="003560A5"/>
    <w:rsid w:val="00360158"/>
    <w:rsid w:val="00360E7D"/>
    <w:rsid w:val="00361FA4"/>
    <w:rsid w:val="0036328E"/>
    <w:rsid w:val="00363DF2"/>
    <w:rsid w:val="0037391E"/>
    <w:rsid w:val="00374106"/>
    <w:rsid w:val="003756CD"/>
    <w:rsid w:val="00375ECD"/>
    <w:rsid w:val="00384037"/>
    <w:rsid w:val="003976D5"/>
    <w:rsid w:val="003A1E2E"/>
    <w:rsid w:val="003A446B"/>
    <w:rsid w:val="003A51AC"/>
    <w:rsid w:val="003B07E4"/>
    <w:rsid w:val="003B0AA3"/>
    <w:rsid w:val="003B5F58"/>
    <w:rsid w:val="003C14E3"/>
    <w:rsid w:val="003C3482"/>
    <w:rsid w:val="003D3152"/>
    <w:rsid w:val="003D3B87"/>
    <w:rsid w:val="003D4E3D"/>
    <w:rsid w:val="003D6C68"/>
    <w:rsid w:val="003D727D"/>
    <w:rsid w:val="003E541B"/>
    <w:rsid w:val="003F1CC4"/>
    <w:rsid w:val="003F3972"/>
    <w:rsid w:val="003F4FA5"/>
    <w:rsid w:val="00413192"/>
    <w:rsid w:val="004154AD"/>
    <w:rsid w:val="004159D0"/>
    <w:rsid w:val="004209BB"/>
    <w:rsid w:val="00420F37"/>
    <w:rsid w:val="0042200A"/>
    <w:rsid w:val="004237DE"/>
    <w:rsid w:val="00435C0C"/>
    <w:rsid w:val="00455831"/>
    <w:rsid w:val="00455D94"/>
    <w:rsid w:val="00464498"/>
    <w:rsid w:val="004663B6"/>
    <w:rsid w:val="00473613"/>
    <w:rsid w:val="00484CA1"/>
    <w:rsid w:val="00493B2D"/>
    <w:rsid w:val="00497D96"/>
    <w:rsid w:val="004C1D88"/>
    <w:rsid w:val="004C28D5"/>
    <w:rsid w:val="004E2B06"/>
    <w:rsid w:val="004E5F65"/>
    <w:rsid w:val="004F1AB9"/>
    <w:rsid w:val="00503BF7"/>
    <w:rsid w:val="00512F1B"/>
    <w:rsid w:val="00513D9B"/>
    <w:rsid w:val="005156C2"/>
    <w:rsid w:val="005210D8"/>
    <w:rsid w:val="00524EFA"/>
    <w:rsid w:val="00525DBB"/>
    <w:rsid w:val="00527993"/>
    <w:rsid w:val="00543D5E"/>
    <w:rsid w:val="0054426C"/>
    <w:rsid w:val="0054444F"/>
    <w:rsid w:val="00546937"/>
    <w:rsid w:val="005479CC"/>
    <w:rsid w:val="00551E47"/>
    <w:rsid w:val="005610B3"/>
    <w:rsid w:val="00564DB0"/>
    <w:rsid w:val="00571F41"/>
    <w:rsid w:val="00580BA7"/>
    <w:rsid w:val="00585879"/>
    <w:rsid w:val="005861A4"/>
    <w:rsid w:val="005A39AA"/>
    <w:rsid w:val="005A447C"/>
    <w:rsid w:val="005A4A72"/>
    <w:rsid w:val="005A4D35"/>
    <w:rsid w:val="005A7A11"/>
    <w:rsid w:val="005B2026"/>
    <w:rsid w:val="005B2B32"/>
    <w:rsid w:val="005C11FE"/>
    <w:rsid w:val="005C1B70"/>
    <w:rsid w:val="005C5BA3"/>
    <w:rsid w:val="005C6B56"/>
    <w:rsid w:val="005D0E48"/>
    <w:rsid w:val="005D1E2D"/>
    <w:rsid w:val="005E5D1F"/>
    <w:rsid w:val="005E6A2C"/>
    <w:rsid w:val="005F0E1E"/>
    <w:rsid w:val="005F5755"/>
    <w:rsid w:val="00601CBA"/>
    <w:rsid w:val="00605004"/>
    <w:rsid w:val="00611D43"/>
    <w:rsid w:val="00612157"/>
    <w:rsid w:val="00612D48"/>
    <w:rsid w:val="00615DAC"/>
    <w:rsid w:val="00616B45"/>
    <w:rsid w:val="00617B93"/>
    <w:rsid w:val="00621475"/>
    <w:rsid w:val="00621591"/>
    <w:rsid w:val="00621F65"/>
    <w:rsid w:val="006267B9"/>
    <w:rsid w:val="00626E34"/>
    <w:rsid w:val="00630D9B"/>
    <w:rsid w:val="0063139F"/>
    <w:rsid w:val="00631953"/>
    <w:rsid w:val="006349FF"/>
    <w:rsid w:val="006357AA"/>
    <w:rsid w:val="00640CA2"/>
    <w:rsid w:val="006439EC"/>
    <w:rsid w:val="0064558B"/>
    <w:rsid w:val="006558C1"/>
    <w:rsid w:val="006647E0"/>
    <w:rsid w:val="00666F48"/>
    <w:rsid w:val="006718B5"/>
    <w:rsid w:val="00673644"/>
    <w:rsid w:val="00675550"/>
    <w:rsid w:val="00693424"/>
    <w:rsid w:val="0069495B"/>
    <w:rsid w:val="00696F45"/>
    <w:rsid w:val="006A31F3"/>
    <w:rsid w:val="006B22D2"/>
    <w:rsid w:val="006B39EB"/>
    <w:rsid w:val="006B4590"/>
    <w:rsid w:val="006B5162"/>
    <w:rsid w:val="006B5B80"/>
    <w:rsid w:val="006C0934"/>
    <w:rsid w:val="006C340C"/>
    <w:rsid w:val="006C5F70"/>
    <w:rsid w:val="006D3995"/>
    <w:rsid w:val="006E0F6F"/>
    <w:rsid w:val="006E53A4"/>
    <w:rsid w:val="0070347C"/>
    <w:rsid w:val="00706E01"/>
    <w:rsid w:val="0070707A"/>
    <w:rsid w:val="00710828"/>
    <w:rsid w:val="007162FC"/>
    <w:rsid w:val="007176C1"/>
    <w:rsid w:val="00721735"/>
    <w:rsid w:val="007301DB"/>
    <w:rsid w:val="00731137"/>
    <w:rsid w:val="00732443"/>
    <w:rsid w:val="00735193"/>
    <w:rsid w:val="00736002"/>
    <w:rsid w:val="00747D9C"/>
    <w:rsid w:val="00750D4D"/>
    <w:rsid w:val="0076573D"/>
    <w:rsid w:val="00777E36"/>
    <w:rsid w:val="007817C1"/>
    <w:rsid w:val="007841FD"/>
    <w:rsid w:val="00795B8D"/>
    <w:rsid w:val="007B4A72"/>
    <w:rsid w:val="007B6571"/>
    <w:rsid w:val="007C5200"/>
    <w:rsid w:val="007D3C05"/>
    <w:rsid w:val="007D3EF8"/>
    <w:rsid w:val="007F0479"/>
    <w:rsid w:val="007F55CB"/>
    <w:rsid w:val="00801166"/>
    <w:rsid w:val="00804B16"/>
    <w:rsid w:val="00812118"/>
    <w:rsid w:val="00816779"/>
    <w:rsid w:val="00822FB1"/>
    <w:rsid w:val="00824E0A"/>
    <w:rsid w:val="00832927"/>
    <w:rsid w:val="008359D6"/>
    <w:rsid w:val="008370A6"/>
    <w:rsid w:val="00843940"/>
    <w:rsid w:val="00843AD5"/>
    <w:rsid w:val="00844750"/>
    <w:rsid w:val="00845B88"/>
    <w:rsid w:val="008464C8"/>
    <w:rsid w:val="008513C4"/>
    <w:rsid w:val="0085327A"/>
    <w:rsid w:val="00861934"/>
    <w:rsid w:val="00870CB1"/>
    <w:rsid w:val="0087373F"/>
    <w:rsid w:val="00877C06"/>
    <w:rsid w:val="008853D7"/>
    <w:rsid w:val="0089563C"/>
    <w:rsid w:val="008A1A79"/>
    <w:rsid w:val="008B0C3C"/>
    <w:rsid w:val="008B44C4"/>
    <w:rsid w:val="008B64A3"/>
    <w:rsid w:val="008C386D"/>
    <w:rsid w:val="008C3B8D"/>
    <w:rsid w:val="008C5B3F"/>
    <w:rsid w:val="008D194D"/>
    <w:rsid w:val="008D48C3"/>
    <w:rsid w:val="008E1DF4"/>
    <w:rsid w:val="008E675E"/>
    <w:rsid w:val="008E7FAE"/>
    <w:rsid w:val="00907C6A"/>
    <w:rsid w:val="00911BF7"/>
    <w:rsid w:val="00922ECF"/>
    <w:rsid w:val="00927B5F"/>
    <w:rsid w:val="00933F39"/>
    <w:rsid w:val="0094004F"/>
    <w:rsid w:val="0094208A"/>
    <w:rsid w:val="009424B5"/>
    <w:rsid w:val="00952AEC"/>
    <w:rsid w:val="009610F7"/>
    <w:rsid w:val="00963F4E"/>
    <w:rsid w:val="00966DE6"/>
    <w:rsid w:val="00971CDD"/>
    <w:rsid w:val="00976C08"/>
    <w:rsid w:val="00977EC8"/>
    <w:rsid w:val="00986C67"/>
    <w:rsid w:val="00991E96"/>
    <w:rsid w:val="00992FD9"/>
    <w:rsid w:val="009978ED"/>
    <w:rsid w:val="009A097D"/>
    <w:rsid w:val="009A18CB"/>
    <w:rsid w:val="009B15C1"/>
    <w:rsid w:val="009B519A"/>
    <w:rsid w:val="009C07C1"/>
    <w:rsid w:val="009D3A8C"/>
    <w:rsid w:val="009D760D"/>
    <w:rsid w:val="009E05E1"/>
    <w:rsid w:val="009E64C9"/>
    <w:rsid w:val="009E7956"/>
    <w:rsid w:val="009F1F3D"/>
    <w:rsid w:val="009F33CE"/>
    <w:rsid w:val="00A04F3B"/>
    <w:rsid w:val="00A05DB3"/>
    <w:rsid w:val="00A151ED"/>
    <w:rsid w:val="00A154D2"/>
    <w:rsid w:val="00A218A7"/>
    <w:rsid w:val="00A22802"/>
    <w:rsid w:val="00A2492E"/>
    <w:rsid w:val="00A33EEB"/>
    <w:rsid w:val="00A34F3B"/>
    <w:rsid w:val="00A40C58"/>
    <w:rsid w:val="00A53032"/>
    <w:rsid w:val="00A56C38"/>
    <w:rsid w:val="00A56EA8"/>
    <w:rsid w:val="00A60EAB"/>
    <w:rsid w:val="00A7095B"/>
    <w:rsid w:val="00A82CF0"/>
    <w:rsid w:val="00A8467C"/>
    <w:rsid w:val="00A85694"/>
    <w:rsid w:val="00A85785"/>
    <w:rsid w:val="00A92109"/>
    <w:rsid w:val="00A926AE"/>
    <w:rsid w:val="00A94319"/>
    <w:rsid w:val="00AA0CB9"/>
    <w:rsid w:val="00AA24A1"/>
    <w:rsid w:val="00AA3C4C"/>
    <w:rsid w:val="00AB275B"/>
    <w:rsid w:val="00AB4273"/>
    <w:rsid w:val="00AC3153"/>
    <w:rsid w:val="00AC3673"/>
    <w:rsid w:val="00AC67A1"/>
    <w:rsid w:val="00AC7977"/>
    <w:rsid w:val="00AD3D1F"/>
    <w:rsid w:val="00AE158A"/>
    <w:rsid w:val="00AE1A84"/>
    <w:rsid w:val="00AE352C"/>
    <w:rsid w:val="00AE4F23"/>
    <w:rsid w:val="00AE68FC"/>
    <w:rsid w:val="00AF2F1C"/>
    <w:rsid w:val="00AF6EC2"/>
    <w:rsid w:val="00B004DB"/>
    <w:rsid w:val="00B16C41"/>
    <w:rsid w:val="00B24B70"/>
    <w:rsid w:val="00B250B6"/>
    <w:rsid w:val="00B25E6F"/>
    <w:rsid w:val="00B311D6"/>
    <w:rsid w:val="00B32E2D"/>
    <w:rsid w:val="00B34A74"/>
    <w:rsid w:val="00B540F4"/>
    <w:rsid w:val="00B601B0"/>
    <w:rsid w:val="00B605DD"/>
    <w:rsid w:val="00B61990"/>
    <w:rsid w:val="00B63A55"/>
    <w:rsid w:val="00B6476D"/>
    <w:rsid w:val="00B65A3B"/>
    <w:rsid w:val="00B66205"/>
    <w:rsid w:val="00B674C0"/>
    <w:rsid w:val="00B72307"/>
    <w:rsid w:val="00B76859"/>
    <w:rsid w:val="00B777A0"/>
    <w:rsid w:val="00B77C99"/>
    <w:rsid w:val="00B82390"/>
    <w:rsid w:val="00B82754"/>
    <w:rsid w:val="00B82C8E"/>
    <w:rsid w:val="00B86803"/>
    <w:rsid w:val="00B87B67"/>
    <w:rsid w:val="00B9582E"/>
    <w:rsid w:val="00BA11F4"/>
    <w:rsid w:val="00BA122A"/>
    <w:rsid w:val="00BA31B5"/>
    <w:rsid w:val="00BA7D5B"/>
    <w:rsid w:val="00BA7EE5"/>
    <w:rsid w:val="00BB156C"/>
    <w:rsid w:val="00BB2B18"/>
    <w:rsid w:val="00BB48F3"/>
    <w:rsid w:val="00BC6381"/>
    <w:rsid w:val="00BD4B79"/>
    <w:rsid w:val="00BD5B1F"/>
    <w:rsid w:val="00BE1AA4"/>
    <w:rsid w:val="00BE76FD"/>
    <w:rsid w:val="00BF0556"/>
    <w:rsid w:val="00BF19C3"/>
    <w:rsid w:val="00BF2CD0"/>
    <w:rsid w:val="00BF6B06"/>
    <w:rsid w:val="00BF74A8"/>
    <w:rsid w:val="00BF7B7F"/>
    <w:rsid w:val="00C005F9"/>
    <w:rsid w:val="00C0328D"/>
    <w:rsid w:val="00C07F4E"/>
    <w:rsid w:val="00C12AC2"/>
    <w:rsid w:val="00C1562D"/>
    <w:rsid w:val="00C20A27"/>
    <w:rsid w:val="00C2361D"/>
    <w:rsid w:val="00C261F8"/>
    <w:rsid w:val="00C27539"/>
    <w:rsid w:val="00C31A5C"/>
    <w:rsid w:val="00C33100"/>
    <w:rsid w:val="00C33CDE"/>
    <w:rsid w:val="00C355C7"/>
    <w:rsid w:val="00C36105"/>
    <w:rsid w:val="00C36F0F"/>
    <w:rsid w:val="00C41BB5"/>
    <w:rsid w:val="00C42566"/>
    <w:rsid w:val="00C43F1C"/>
    <w:rsid w:val="00C62B56"/>
    <w:rsid w:val="00C71999"/>
    <w:rsid w:val="00C74101"/>
    <w:rsid w:val="00C87ACC"/>
    <w:rsid w:val="00C87FA4"/>
    <w:rsid w:val="00C96786"/>
    <w:rsid w:val="00CA01A2"/>
    <w:rsid w:val="00CA3CB1"/>
    <w:rsid w:val="00CA7BD6"/>
    <w:rsid w:val="00CA7CAA"/>
    <w:rsid w:val="00CB1B08"/>
    <w:rsid w:val="00CB269B"/>
    <w:rsid w:val="00CB2FF1"/>
    <w:rsid w:val="00CB3718"/>
    <w:rsid w:val="00CC0CA7"/>
    <w:rsid w:val="00CD1636"/>
    <w:rsid w:val="00CD1A71"/>
    <w:rsid w:val="00CD1F86"/>
    <w:rsid w:val="00CD1FBB"/>
    <w:rsid w:val="00CD25E8"/>
    <w:rsid w:val="00CD4ECA"/>
    <w:rsid w:val="00CD5114"/>
    <w:rsid w:val="00CD55DD"/>
    <w:rsid w:val="00CD7F22"/>
    <w:rsid w:val="00CE21E1"/>
    <w:rsid w:val="00CE2EFE"/>
    <w:rsid w:val="00CF087D"/>
    <w:rsid w:val="00D016B5"/>
    <w:rsid w:val="00D0198A"/>
    <w:rsid w:val="00D03021"/>
    <w:rsid w:val="00D034F1"/>
    <w:rsid w:val="00D11A16"/>
    <w:rsid w:val="00D140AE"/>
    <w:rsid w:val="00D14C9B"/>
    <w:rsid w:val="00D24C5A"/>
    <w:rsid w:val="00D2653E"/>
    <w:rsid w:val="00D27D5E"/>
    <w:rsid w:val="00D30064"/>
    <w:rsid w:val="00D32CCC"/>
    <w:rsid w:val="00D34697"/>
    <w:rsid w:val="00D35B23"/>
    <w:rsid w:val="00D378A2"/>
    <w:rsid w:val="00D44033"/>
    <w:rsid w:val="00D46E65"/>
    <w:rsid w:val="00D5517A"/>
    <w:rsid w:val="00D63044"/>
    <w:rsid w:val="00D649D8"/>
    <w:rsid w:val="00D7210C"/>
    <w:rsid w:val="00D72EBC"/>
    <w:rsid w:val="00D74646"/>
    <w:rsid w:val="00D84B50"/>
    <w:rsid w:val="00D85020"/>
    <w:rsid w:val="00D86042"/>
    <w:rsid w:val="00D94448"/>
    <w:rsid w:val="00DA4EE1"/>
    <w:rsid w:val="00DA73D5"/>
    <w:rsid w:val="00DB0AE6"/>
    <w:rsid w:val="00DB0C0F"/>
    <w:rsid w:val="00DC01CE"/>
    <w:rsid w:val="00DC47D7"/>
    <w:rsid w:val="00DC6BD4"/>
    <w:rsid w:val="00DC78EF"/>
    <w:rsid w:val="00DD3240"/>
    <w:rsid w:val="00DE6D90"/>
    <w:rsid w:val="00DF002F"/>
    <w:rsid w:val="00DF0182"/>
    <w:rsid w:val="00DF13E4"/>
    <w:rsid w:val="00DF27D6"/>
    <w:rsid w:val="00E0244D"/>
    <w:rsid w:val="00E15704"/>
    <w:rsid w:val="00E16280"/>
    <w:rsid w:val="00E16BB5"/>
    <w:rsid w:val="00E17423"/>
    <w:rsid w:val="00E24C6B"/>
    <w:rsid w:val="00E26AFB"/>
    <w:rsid w:val="00E31651"/>
    <w:rsid w:val="00E353DE"/>
    <w:rsid w:val="00E36D4B"/>
    <w:rsid w:val="00E40D3D"/>
    <w:rsid w:val="00E5019F"/>
    <w:rsid w:val="00E61CE5"/>
    <w:rsid w:val="00E620D8"/>
    <w:rsid w:val="00E62870"/>
    <w:rsid w:val="00E64518"/>
    <w:rsid w:val="00E677AF"/>
    <w:rsid w:val="00E71894"/>
    <w:rsid w:val="00E71B78"/>
    <w:rsid w:val="00E7487A"/>
    <w:rsid w:val="00E76C8C"/>
    <w:rsid w:val="00E76F58"/>
    <w:rsid w:val="00E81E94"/>
    <w:rsid w:val="00E82078"/>
    <w:rsid w:val="00E8208B"/>
    <w:rsid w:val="00E82607"/>
    <w:rsid w:val="00E90BA6"/>
    <w:rsid w:val="00EA3367"/>
    <w:rsid w:val="00EB54C5"/>
    <w:rsid w:val="00EC314A"/>
    <w:rsid w:val="00EC409A"/>
    <w:rsid w:val="00ED35CA"/>
    <w:rsid w:val="00EE0FE3"/>
    <w:rsid w:val="00EE1A0D"/>
    <w:rsid w:val="00EE4B15"/>
    <w:rsid w:val="00EF34A7"/>
    <w:rsid w:val="00EF5305"/>
    <w:rsid w:val="00EF7835"/>
    <w:rsid w:val="00F044EC"/>
    <w:rsid w:val="00F04840"/>
    <w:rsid w:val="00F107CF"/>
    <w:rsid w:val="00F132A5"/>
    <w:rsid w:val="00F1384D"/>
    <w:rsid w:val="00F2055A"/>
    <w:rsid w:val="00F24769"/>
    <w:rsid w:val="00F27BDD"/>
    <w:rsid w:val="00F336F8"/>
    <w:rsid w:val="00F368D9"/>
    <w:rsid w:val="00F408BA"/>
    <w:rsid w:val="00F4158C"/>
    <w:rsid w:val="00F43CAF"/>
    <w:rsid w:val="00F44C7A"/>
    <w:rsid w:val="00F4531B"/>
    <w:rsid w:val="00F4682A"/>
    <w:rsid w:val="00F52EF6"/>
    <w:rsid w:val="00F5402B"/>
    <w:rsid w:val="00F557AA"/>
    <w:rsid w:val="00F578E0"/>
    <w:rsid w:val="00F672A8"/>
    <w:rsid w:val="00F85152"/>
    <w:rsid w:val="00F855BB"/>
    <w:rsid w:val="00F8668C"/>
    <w:rsid w:val="00F87817"/>
    <w:rsid w:val="00F939AC"/>
    <w:rsid w:val="00F93A56"/>
    <w:rsid w:val="00F9458D"/>
    <w:rsid w:val="00FA123B"/>
    <w:rsid w:val="00FA48C4"/>
    <w:rsid w:val="00FA5A79"/>
    <w:rsid w:val="00FA791F"/>
    <w:rsid w:val="00FB0BFE"/>
    <w:rsid w:val="00FB4C51"/>
    <w:rsid w:val="00FB5AD6"/>
    <w:rsid w:val="00FB7927"/>
    <w:rsid w:val="00FC07C9"/>
    <w:rsid w:val="00FC4197"/>
    <w:rsid w:val="00FC73DC"/>
    <w:rsid w:val="00FD2227"/>
    <w:rsid w:val="00FD3874"/>
    <w:rsid w:val="00FD4243"/>
    <w:rsid w:val="00FE1274"/>
    <w:rsid w:val="00FE2E4F"/>
    <w:rsid w:val="00FE6F4F"/>
    <w:rsid w:val="00FF003C"/>
    <w:rsid w:val="00FF02B5"/>
    <w:rsid w:val="00FF05A1"/>
    <w:rsid w:val="00FF1DBD"/>
    <w:rsid w:val="00FF6AD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AFC4"/>
  <w15:docId w15:val="{AFAB6524-D04B-42D0-9BB4-3A5DB068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AA"/>
    <w:pPr>
      <w:suppressAutoHyphens/>
      <w:spacing w:line="240" w:lineRule="atLeast"/>
    </w:pPr>
    <w:rPr>
      <w:lang w:val="fr-CH" w:eastAsia="en-US"/>
    </w:rPr>
  </w:style>
  <w:style w:type="paragraph" w:styleId="Heading1">
    <w:name w:val="heading 1"/>
    <w:aliases w:val="Table_G"/>
    <w:basedOn w:val="SingleTxtG"/>
    <w:next w:val="SingleTxtG"/>
    <w:qFormat/>
    <w:rsid w:val="00B77C99"/>
    <w:pPr>
      <w:keepNext/>
      <w:keepLines/>
      <w:spacing w:after="0" w:line="240" w:lineRule="auto"/>
      <w:ind w:right="0"/>
      <w:jc w:val="left"/>
      <w:outlineLvl w:val="0"/>
    </w:pPr>
  </w:style>
  <w:style w:type="paragraph" w:styleId="Heading2">
    <w:name w:val="heading 2"/>
    <w:basedOn w:val="Normal"/>
    <w:next w:val="Normal"/>
    <w:qFormat/>
    <w:rsid w:val="00287E79"/>
    <w:pPr>
      <w:outlineLvl w:val="1"/>
    </w:pPr>
  </w:style>
  <w:style w:type="paragraph" w:styleId="Heading3">
    <w:name w:val="heading 3"/>
    <w:basedOn w:val="Normal"/>
    <w:next w:val="Normal"/>
    <w:qFormat/>
    <w:rsid w:val="00287E79"/>
    <w:pPr>
      <w:outlineLvl w:val="2"/>
    </w:pPr>
  </w:style>
  <w:style w:type="paragraph" w:styleId="Heading4">
    <w:name w:val="heading 4"/>
    <w:basedOn w:val="Normal"/>
    <w:next w:val="Normal"/>
    <w:qFormat/>
    <w:rsid w:val="00527993"/>
    <w:pPr>
      <w:outlineLvl w:val="3"/>
    </w:pPr>
  </w:style>
  <w:style w:type="paragraph" w:styleId="Heading5">
    <w:name w:val="heading 5"/>
    <w:basedOn w:val="Normal"/>
    <w:next w:val="Normal"/>
    <w:qFormat/>
    <w:rsid w:val="00527993"/>
    <w:pPr>
      <w:outlineLvl w:val="4"/>
    </w:pPr>
  </w:style>
  <w:style w:type="paragraph" w:styleId="Heading6">
    <w:name w:val="heading 6"/>
    <w:basedOn w:val="Normal"/>
    <w:next w:val="Normal"/>
    <w:qFormat/>
    <w:rsid w:val="00527993"/>
    <w:pPr>
      <w:outlineLvl w:val="5"/>
    </w:pPr>
  </w:style>
  <w:style w:type="paragraph" w:styleId="Heading7">
    <w:name w:val="heading 7"/>
    <w:basedOn w:val="Normal"/>
    <w:next w:val="Normal"/>
    <w:qFormat/>
    <w:rsid w:val="00527993"/>
    <w:pPr>
      <w:outlineLvl w:val="6"/>
    </w:pPr>
  </w:style>
  <w:style w:type="paragraph" w:styleId="Heading8">
    <w:name w:val="heading 8"/>
    <w:basedOn w:val="Normal"/>
    <w:next w:val="Normal"/>
    <w:qFormat/>
    <w:rsid w:val="00527993"/>
    <w:pPr>
      <w:outlineLvl w:val="7"/>
    </w:pPr>
  </w:style>
  <w:style w:type="paragraph" w:styleId="Heading9">
    <w:name w:val="heading 9"/>
    <w:basedOn w:val="Normal"/>
    <w:next w:val="Normal"/>
    <w:qFormat/>
    <w:rsid w:val="005279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A7CAA"/>
    <w:pPr>
      <w:spacing w:after="120"/>
      <w:ind w:left="1134" w:right="1134"/>
      <w:jc w:val="both"/>
    </w:pPr>
  </w:style>
  <w:style w:type="character" w:styleId="FootnoteReference">
    <w:name w:val="footnote reference"/>
    <w:aliases w:val="4_G,Footnote number,Footnotes refss,Style 10,ftref,referencia nota al pie,BVI fnr,Footnote text,4_Footnote text,callout,Fago Fußnotenzeichen"/>
    <w:uiPriority w:val="99"/>
    <w:qFormat/>
    <w:rsid w:val="00CA7CAA"/>
    <w:rPr>
      <w:rFonts w:ascii="Times New Roman" w:hAnsi="Times New Roman"/>
      <w:sz w:val="18"/>
      <w:vertAlign w:val="superscript"/>
      <w:lang w:val="fr-CH"/>
    </w:rPr>
  </w:style>
  <w:style w:type="character" w:styleId="EndnoteReference">
    <w:name w:val="endnote reference"/>
    <w:aliases w:val="1_G"/>
    <w:basedOn w:val="FootnoteReference"/>
    <w:rsid w:val="00CA7CAA"/>
    <w:rPr>
      <w:rFonts w:ascii="Times New Roman" w:hAnsi="Times New Roman"/>
      <w:sz w:val="18"/>
      <w:vertAlign w:val="superscript"/>
      <w:lang w:val="fr-CH"/>
    </w:rPr>
  </w:style>
  <w:style w:type="paragraph" w:styleId="Header">
    <w:name w:val="header"/>
    <w:aliases w:val="6_G"/>
    <w:basedOn w:val="Normal"/>
    <w:next w:val="Normal"/>
    <w:rsid w:val="00CA7CAA"/>
    <w:pPr>
      <w:pBdr>
        <w:bottom w:val="single" w:sz="4" w:space="4" w:color="auto"/>
      </w:pBdr>
      <w:spacing w:line="240" w:lineRule="auto"/>
    </w:pPr>
    <w:rPr>
      <w:b/>
      <w:sz w:val="18"/>
    </w:rPr>
  </w:style>
  <w:style w:type="paragraph" w:styleId="FootnoteText">
    <w:name w:val="footnote text"/>
    <w:aliases w:val="5_G"/>
    <w:basedOn w:val="Normal"/>
    <w:link w:val="FootnoteTextChar"/>
    <w:uiPriority w:val="99"/>
    <w:qFormat/>
    <w:rsid w:val="00C1562D"/>
    <w:pPr>
      <w:tabs>
        <w:tab w:val="right" w:pos="1021"/>
      </w:tabs>
      <w:spacing w:line="220" w:lineRule="exact"/>
      <w:ind w:left="1134" w:right="1134" w:hanging="1134"/>
    </w:pPr>
    <w:rPr>
      <w:sz w:val="18"/>
    </w:rPr>
  </w:style>
  <w:style w:type="paragraph" w:styleId="EndnoteText">
    <w:name w:val="endnote text"/>
    <w:aliases w:val="2_G"/>
    <w:basedOn w:val="FootnoteText"/>
    <w:rsid w:val="00C1562D"/>
  </w:style>
  <w:style w:type="character" w:styleId="PageNumber">
    <w:name w:val="page number"/>
    <w:aliases w:val="7_G"/>
    <w:rsid w:val="00CA7CAA"/>
    <w:rPr>
      <w:rFonts w:ascii="Times New Roman" w:hAnsi="Times New Roman"/>
      <w:b/>
      <w:sz w:val="18"/>
      <w:lang w:val="fr-CH"/>
    </w:rPr>
  </w:style>
  <w:style w:type="paragraph" w:styleId="Footer">
    <w:name w:val="footer"/>
    <w:aliases w:val="3_G"/>
    <w:basedOn w:val="Normal"/>
    <w:next w:val="Normal"/>
    <w:link w:val="FooterChar"/>
    <w:uiPriority w:val="99"/>
    <w:qFormat/>
    <w:rsid w:val="00CA7CAA"/>
    <w:pPr>
      <w:spacing w:line="240" w:lineRule="auto"/>
    </w:pPr>
    <w:rPr>
      <w:sz w:val="16"/>
    </w:rPr>
  </w:style>
  <w:style w:type="paragraph" w:customStyle="1" w:styleId="H1G">
    <w:name w:val="_ H_1_G"/>
    <w:basedOn w:val="Normal"/>
    <w:next w:val="Normal"/>
    <w:link w:val="H1GChar"/>
    <w:uiPriority w:val="99"/>
    <w:qFormat/>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link w:val="HChGChar"/>
    <w:uiPriority w:val="99"/>
    <w:qFormat/>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
    <w:next w:val="Normal"/>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CA7CAA"/>
    <w:pPr>
      <w:keepNext/>
      <w:keepLines/>
      <w:tabs>
        <w:tab w:val="right" w:pos="851"/>
      </w:tabs>
      <w:spacing w:before="240" w:after="120" w:line="240" w:lineRule="exact"/>
      <w:ind w:left="1134" w:right="1134" w:hanging="1134"/>
    </w:pPr>
  </w:style>
  <w:style w:type="paragraph" w:customStyle="1" w:styleId="SMG">
    <w:name w:val="__S_M_G"/>
    <w:basedOn w:val="Normal"/>
    <w:next w:val="Normal"/>
    <w:rsid w:val="00CA7CAA"/>
    <w:pPr>
      <w:keepNext/>
      <w:keepLines/>
      <w:spacing w:before="240" w:after="240" w:line="420" w:lineRule="exact"/>
      <w:ind w:left="1134" w:right="1134"/>
    </w:pPr>
    <w:rPr>
      <w:b/>
      <w:sz w:val="40"/>
    </w:rPr>
  </w:style>
  <w:style w:type="paragraph" w:customStyle="1" w:styleId="SLG">
    <w:name w:val="__S_L_G"/>
    <w:basedOn w:val="Normal"/>
    <w:next w:val="Normal"/>
    <w:rsid w:val="00CA7CAA"/>
    <w:pPr>
      <w:keepNext/>
      <w:keepLines/>
      <w:spacing w:before="240" w:after="240" w:line="580" w:lineRule="exact"/>
      <w:ind w:left="1134" w:right="1134"/>
    </w:pPr>
    <w:rPr>
      <w:b/>
      <w:sz w:val="56"/>
    </w:rPr>
  </w:style>
  <w:style w:type="paragraph" w:customStyle="1" w:styleId="SSG">
    <w:name w:val="__S_S_G"/>
    <w:basedOn w:val="Normal"/>
    <w:next w:val="Normal"/>
    <w:rsid w:val="00CA7CAA"/>
    <w:pPr>
      <w:keepNext/>
      <w:keepLines/>
      <w:spacing w:before="240" w:after="240" w:line="300" w:lineRule="exact"/>
      <w:ind w:left="1134" w:right="1134"/>
    </w:pPr>
    <w:rPr>
      <w:b/>
      <w:sz w:val="28"/>
    </w:rPr>
  </w:style>
  <w:style w:type="paragraph" w:customStyle="1" w:styleId="XLargeG">
    <w:name w:val="__XLarge_G"/>
    <w:basedOn w:val="Normal"/>
    <w:next w:val="Normal"/>
    <w:rsid w:val="00CA7CAA"/>
    <w:pPr>
      <w:keepNext/>
      <w:keepLines/>
      <w:spacing w:before="240" w:after="240" w:line="420" w:lineRule="exact"/>
      <w:ind w:left="1134" w:right="1134"/>
    </w:pPr>
    <w:rPr>
      <w:b/>
      <w:sz w:val="40"/>
    </w:rPr>
  </w:style>
  <w:style w:type="paragraph" w:customStyle="1" w:styleId="Bullet1G">
    <w:name w:val="_Bullet 1_G"/>
    <w:basedOn w:val="Normal"/>
    <w:rsid w:val="00CA7CAA"/>
    <w:pPr>
      <w:numPr>
        <w:numId w:val="1"/>
      </w:numPr>
      <w:spacing w:after="120"/>
      <w:ind w:right="1134"/>
      <w:jc w:val="both"/>
    </w:pPr>
  </w:style>
  <w:style w:type="paragraph" w:customStyle="1" w:styleId="Bullet2G">
    <w:name w:val="_Bullet 2_G"/>
    <w:basedOn w:val="Normal"/>
    <w:rsid w:val="00CA7CAA"/>
    <w:pPr>
      <w:numPr>
        <w:numId w:val="2"/>
      </w:numPr>
      <w:spacing w:after="120"/>
      <w:ind w:right="1134"/>
      <w:jc w:val="both"/>
    </w:pPr>
  </w:style>
  <w:style w:type="character" w:customStyle="1" w:styleId="FootnoteTextChar">
    <w:name w:val="Footnote Text Char"/>
    <w:aliases w:val="5_G Char"/>
    <w:link w:val="FootnoteText"/>
    <w:uiPriority w:val="99"/>
    <w:rsid w:val="00976C08"/>
    <w:rPr>
      <w:sz w:val="18"/>
      <w:lang w:val="fr-CH" w:eastAsia="en-US" w:bidi="ar-SA"/>
    </w:rPr>
  </w:style>
  <w:style w:type="table" w:styleId="TableGrid">
    <w:name w:val="Table Grid"/>
    <w:basedOn w:val="TableNormal"/>
    <w:rsid w:val="00976C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6176"/>
    <w:rPr>
      <w:color w:val="auto"/>
      <w:u w:val="none"/>
    </w:rPr>
  </w:style>
  <w:style w:type="character" w:styleId="FollowedHyperlink">
    <w:name w:val="FollowedHyperlink"/>
    <w:rsid w:val="001E6176"/>
    <w:rPr>
      <w:color w:val="auto"/>
      <w:u w:val="none"/>
    </w:rPr>
  </w:style>
  <w:style w:type="table" w:styleId="TableGrid6">
    <w:name w:val="Table Grid 6"/>
    <w:basedOn w:val="TableNormal"/>
    <w:rsid w:val="007D3EF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ingleTxtGChar">
    <w:name w:val="_ Single Txt_G Char"/>
    <w:link w:val="SingleTxtG"/>
    <w:rsid w:val="00F5402B"/>
    <w:rPr>
      <w:lang w:val="fr-CH" w:eastAsia="en-US"/>
    </w:rPr>
  </w:style>
  <w:style w:type="character" w:customStyle="1" w:styleId="HChGChar">
    <w:name w:val="_ H _Ch_G Char"/>
    <w:link w:val="HChG"/>
    <w:uiPriority w:val="99"/>
    <w:rsid w:val="00F5402B"/>
    <w:rPr>
      <w:b/>
      <w:sz w:val="28"/>
      <w:lang w:val="fr-CH" w:eastAsia="en-US"/>
    </w:rPr>
  </w:style>
  <w:style w:type="character" w:customStyle="1" w:styleId="H1GChar">
    <w:name w:val="_ H_1_G Char"/>
    <w:link w:val="H1G"/>
    <w:uiPriority w:val="99"/>
    <w:locked/>
    <w:rsid w:val="00F5402B"/>
    <w:rPr>
      <w:b/>
      <w:sz w:val="24"/>
      <w:lang w:val="fr-CH" w:eastAsia="en-US"/>
    </w:rPr>
  </w:style>
  <w:style w:type="character" w:customStyle="1" w:styleId="FooterChar">
    <w:name w:val="Footer Char"/>
    <w:aliases w:val="3_G Char"/>
    <w:link w:val="Footer"/>
    <w:uiPriority w:val="99"/>
    <w:rsid w:val="00F5402B"/>
    <w:rPr>
      <w:sz w:val="16"/>
      <w:lang w:val="fr-CH" w:eastAsia="en-US"/>
    </w:rPr>
  </w:style>
  <w:style w:type="character" w:styleId="CommentReference">
    <w:name w:val="annotation reference"/>
    <w:rsid w:val="002D3B83"/>
    <w:rPr>
      <w:sz w:val="16"/>
      <w:szCs w:val="16"/>
    </w:rPr>
  </w:style>
  <w:style w:type="paragraph" w:styleId="CommentText">
    <w:name w:val="annotation text"/>
    <w:basedOn w:val="Normal"/>
    <w:link w:val="CommentTextChar"/>
    <w:rsid w:val="002D3B83"/>
  </w:style>
  <w:style w:type="character" w:customStyle="1" w:styleId="CommentTextChar">
    <w:name w:val="Comment Text Char"/>
    <w:link w:val="CommentText"/>
    <w:rsid w:val="002D3B83"/>
    <w:rPr>
      <w:lang w:val="fr-CH" w:eastAsia="en-US"/>
    </w:rPr>
  </w:style>
  <w:style w:type="paragraph" w:styleId="CommentSubject">
    <w:name w:val="annotation subject"/>
    <w:basedOn w:val="CommentText"/>
    <w:next w:val="CommentText"/>
    <w:link w:val="CommentSubjectChar"/>
    <w:rsid w:val="002D3B83"/>
    <w:rPr>
      <w:b/>
      <w:bCs/>
    </w:rPr>
  </w:style>
  <w:style w:type="character" w:customStyle="1" w:styleId="CommentSubjectChar">
    <w:name w:val="Comment Subject Char"/>
    <w:link w:val="CommentSubject"/>
    <w:rsid w:val="002D3B83"/>
    <w:rPr>
      <w:b/>
      <w:bCs/>
      <w:lang w:val="fr-CH" w:eastAsia="en-US"/>
    </w:rPr>
  </w:style>
  <w:style w:type="paragraph" w:styleId="BalloonText">
    <w:name w:val="Balloon Text"/>
    <w:basedOn w:val="Normal"/>
    <w:link w:val="BalloonTextChar"/>
    <w:rsid w:val="002D3B83"/>
    <w:pPr>
      <w:spacing w:line="240" w:lineRule="auto"/>
    </w:pPr>
    <w:rPr>
      <w:rFonts w:ascii="Segoe UI" w:hAnsi="Segoe UI"/>
      <w:sz w:val="18"/>
      <w:szCs w:val="18"/>
    </w:rPr>
  </w:style>
  <w:style w:type="character" w:customStyle="1" w:styleId="BalloonTextChar">
    <w:name w:val="Balloon Text Char"/>
    <w:link w:val="BalloonText"/>
    <w:rsid w:val="002D3B83"/>
    <w:rPr>
      <w:rFonts w:ascii="Segoe UI" w:hAnsi="Segoe UI" w:cs="Segoe UI"/>
      <w:sz w:val="18"/>
      <w:szCs w:val="18"/>
      <w:lang w:val="fr-CH" w:eastAsia="en-US"/>
    </w:rPr>
  </w:style>
  <w:style w:type="paragraph" w:styleId="Revision">
    <w:name w:val="Revision"/>
    <w:hidden/>
    <w:uiPriority w:val="99"/>
    <w:semiHidden/>
    <w:rsid w:val="00BC6381"/>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5712">
      <w:bodyDiv w:val="1"/>
      <w:marLeft w:val="0"/>
      <w:marRight w:val="0"/>
      <w:marTop w:val="0"/>
      <w:marBottom w:val="0"/>
      <w:divBdr>
        <w:top w:val="none" w:sz="0" w:space="0" w:color="auto"/>
        <w:left w:val="none" w:sz="0" w:space="0" w:color="auto"/>
        <w:bottom w:val="none" w:sz="0" w:space="0" w:color="auto"/>
        <w:right w:val="none" w:sz="0" w:space="0" w:color="auto"/>
      </w:divBdr>
      <w:divsChild>
        <w:div w:id="66464175">
          <w:marLeft w:val="0"/>
          <w:marRight w:val="0"/>
          <w:marTop w:val="0"/>
          <w:marBottom w:val="0"/>
          <w:divBdr>
            <w:top w:val="none" w:sz="0" w:space="0" w:color="auto"/>
            <w:left w:val="none" w:sz="0" w:space="0" w:color="auto"/>
            <w:bottom w:val="none" w:sz="0" w:space="0" w:color="auto"/>
            <w:right w:val="none" w:sz="0" w:space="0" w:color="auto"/>
          </w:divBdr>
          <w:divsChild>
            <w:div w:id="1067800359">
              <w:marLeft w:val="0"/>
              <w:marRight w:val="0"/>
              <w:marTop w:val="0"/>
              <w:marBottom w:val="0"/>
              <w:divBdr>
                <w:top w:val="none" w:sz="0" w:space="0" w:color="auto"/>
                <w:left w:val="none" w:sz="0" w:space="0" w:color="auto"/>
                <w:bottom w:val="none" w:sz="0" w:space="0" w:color="auto"/>
                <w:right w:val="none" w:sz="0" w:space="0" w:color="auto"/>
              </w:divBdr>
              <w:divsChild>
                <w:div w:id="1368792895">
                  <w:marLeft w:val="0"/>
                  <w:marRight w:val="0"/>
                  <w:marTop w:val="0"/>
                  <w:marBottom w:val="0"/>
                  <w:divBdr>
                    <w:top w:val="none" w:sz="0" w:space="0" w:color="auto"/>
                    <w:left w:val="none" w:sz="0" w:space="0" w:color="auto"/>
                    <w:bottom w:val="none" w:sz="0" w:space="0" w:color="auto"/>
                    <w:right w:val="none" w:sz="0" w:space="0" w:color="auto"/>
                  </w:divBdr>
                  <w:divsChild>
                    <w:div w:id="1971201369">
                      <w:marLeft w:val="0"/>
                      <w:marRight w:val="0"/>
                      <w:marTop w:val="0"/>
                      <w:marBottom w:val="0"/>
                      <w:divBdr>
                        <w:top w:val="none" w:sz="0" w:space="0" w:color="auto"/>
                        <w:left w:val="none" w:sz="0" w:space="0" w:color="auto"/>
                        <w:bottom w:val="none" w:sz="0" w:space="0" w:color="auto"/>
                        <w:right w:val="none" w:sz="0" w:space="0" w:color="auto"/>
                      </w:divBdr>
                      <w:divsChild>
                        <w:div w:id="1564179558">
                          <w:marLeft w:val="0"/>
                          <w:marRight w:val="0"/>
                          <w:marTop w:val="0"/>
                          <w:marBottom w:val="0"/>
                          <w:divBdr>
                            <w:top w:val="none" w:sz="0" w:space="0" w:color="auto"/>
                            <w:left w:val="none" w:sz="0" w:space="0" w:color="auto"/>
                            <w:bottom w:val="none" w:sz="0" w:space="0" w:color="auto"/>
                            <w:right w:val="none" w:sz="0" w:space="0" w:color="auto"/>
                          </w:divBdr>
                          <w:divsChild>
                            <w:div w:id="6486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of_document xmlns="843519ee-602c-4a77-9f98-e0b2d1df032d">Draft recommendations</Type_of_document>
    <Case_Year xmlns="843519ee-602c-4a77-9f98-e0b2d1df032d">2015</Case_Year>
    <Case xmlns="843519ee-602c-4a77-9f98-e0b2d1df032d">675</Case>
  </documentManagement>
</p:properties>
</file>

<file path=customXml/item2.xml><?xml version="1.0" encoding="utf-8"?>
<ct:contentTypeSchema xmlns:ct="http://schemas.microsoft.com/office/2006/metadata/contentType" xmlns:ma="http://schemas.microsoft.com/office/2006/metadata/properties/metaAttributes" ct:_="" ma:_="" ma:contentTypeName="Petition document" ma:contentTypeID="0x0101001FBEF448FF9B784A968C6EBDDDE5120A006A4E48024F0BDB4AA481D562A81C0CDB" ma:contentTypeVersion="8" ma:contentTypeDescription="" ma:contentTypeScope="" ma:versionID="9bcd38f0324f59f266e5c9d806c32ad9">
  <xsd:schema xmlns:xsd="http://www.w3.org/2001/XMLSchema" xmlns:xs="http://www.w3.org/2001/XMLSchema" xmlns:p="http://schemas.microsoft.com/office/2006/metadata/properties" xmlns:ns2="843519ee-602c-4a77-9f98-e0b2d1df032d" targetNamespace="http://schemas.microsoft.com/office/2006/metadata/properties" ma:root="true" ma:fieldsID="305412261bf5c1a4567048ed6c6efda4" ns2:_="">
    <xsd:import namespace="843519ee-602c-4a77-9f98-e0b2d1df032d"/>
    <xsd:element name="properties">
      <xsd:complexType>
        <xsd:sequence>
          <xsd:element name="documentManagement">
            <xsd:complexType>
              <xsd:all>
                <xsd:element ref="ns2:Type_of_document" minOccurs="0"/>
                <xsd:element ref="ns2:Case" minOccurs="0"/>
                <xsd:element ref="ns2:Case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519ee-602c-4a77-9f98-e0b2d1df032d" elementFormDefault="qualified">
    <xsd:import namespace="http://schemas.microsoft.com/office/2006/documentManagement/types"/>
    <xsd:import namespace="http://schemas.microsoft.com/office/infopath/2007/PartnerControls"/>
    <xsd:element name="Type_of_document" ma:index="8" nillable="true" ma:displayName="Document Type" ma:format="Dropdown" ma:internalName="Type_of_document">
      <xsd:simpleType>
        <xsd:restriction base="dms:Choice">
          <xsd:enumeration value="Agenda"/>
          <xsd:enumeration value="Cases for discontinuance"/>
          <xsd:enumeration value="Documents of the file"/>
          <xsd:enumeration value="Draft recommendations"/>
          <xsd:enumeration value="Draft views / decisions"/>
          <xsd:enumeration value="Final Decisions"/>
          <xsd:enumeration value="Final Views and Decisions"/>
          <xsd:enumeration value="Follow-up"/>
          <xsd:enumeration value="Follow-up on Views"/>
          <xsd:enumeration value="General comments"/>
          <xsd:enumeration value="Individual Opinions"/>
          <xsd:enumeration value="Interim follow-up report"/>
          <xsd:enumeration value="Jurisprudence of the HRCtte on disability and follow-up to views"/>
          <xsd:enumeration value="Jurisprudence of the HRCtte on disability related issues"/>
          <xsd:enumeration value="Miscellaneous"/>
          <xsd:enumeration value="Narratives (for general discussion)"/>
          <xsd:enumeration value="New communications"/>
          <xsd:enumeration value="Note by the Secretariat"/>
          <xsd:enumeration value="Note by the Secretary-General on communications received under the OP-CRPD"/>
          <xsd:enumeration value="Preliminary discussion on registered cases"/>
          <xsd:enumeration value="Recommendations"/>
          <xsd:enumeration value="Report of the previous Working Group"/>
          <xsd:enumeration value="Report of the Working Group"/>
        </xsd:restriction>
      </xsd:simpleType>
    </xsd:element>
    <xsd:element name="Case" ma:index="9" nillable="true" ma:displayName="Case" ma:decimals="0" ma:internalName="Case">
      <xsd:simpleType>
        <xsd:restriction base="dms:Number">
          <xsd:maxInclusive value="10000"/>
          <xsd:minInclusive value="1"/>
        </xsd:restriction>
      </xsd:simpleType>
    </xsd:element>
    <xsd:element name="Case_Year" ma:index="10" nillable="true" ma:displayName="Case_Year" ma:decimals="0" ma:internalName="Case_Year">
      <xsd:simpleType>
        <xsd:restriction base="dms:Number">
          <xsd:maxInclusive value="2099"/>
          <xsd:minInclusive value="199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0F27-A034-4C1A-8565-58DBD9FD0062}">
  <ds:schemaRefs>
    <ds:schemaRef ds:uri="http://schemas.microsoft.com/office/2006/metadata/properties"/>
    <ds:schemaRef ds:uri="http://schemas.microsoft.com/office/infopath/2007/PartnerControls"/>
    <ds:schemaRef ds:uri="843519ee-602c-4a77-9f98-e0b2d1df032d"/>
  </ds:schemaRefs>
</ds:datastoreItem>
</file>

<file path=customXml/itemProps2.xml><?xml version="1.0" encoding="utf-8"?>
<ds:datastoreItem xmlns:ds="http://schemas.openxmlformats.org/officeDocument/2006/customXml" ds:itemID="{66F28174-D180-47DC-A9EB-2ECD12DA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519ee-602c-4a77-9f98-e0b2d1df0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68118-B90A-4EBF-BF1C-54242AB55501}">
  <ds:schemaRefs>
    <ds:schemaRef ds:uri="http://schemas.microsoft.com/sharepoint/v3/contenttype/forms"/>
  </ds:schemaRefs>
</ds:datastoreItem>
</file>

<file path=customXml/itemProps4.xml><?xml version="1.0" encoding="utf-8"?>
<ds:datastoreItem xmlns:ds="http://schemas.openxmlformats.org/officeDocument/2006/customXml" ds:itemID="{23E97A54-6E34-4E86-8D95-65AC6161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4583</Words>
  <Characters>26124</Characters>
  <Application>Microsoft Office Word</Application>
  <DocSecurity>0</DocSecurity>
  <Lines>217</Lines>
  <Paragraphs>61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CAT/C/62/D/675/2015</vt:lpstr>
      <vt:lpstr>CAT/C/62/D/675/2015</vt:lpstr>
      <vt:lpstr>CAT/C/44/D/302/2006</vt:lpstr>
    </vt:vector>
  </TitlesOfParts>
  <Manager>cmv</Manager>
  <Company>CSD</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CAT/C/62/D/675/2015</dc:title>
  <dc:subject>Final (Naoual)</dc:subject>
  <dc:creator>Moret-Var</dc:creator>
  <cp:keywords/>
  <cp:lastModifiedBy>Sarah Willig</cp:lastModifiedBy>
  <cp:revision>2</cp:revision>
  <cp:lastPrinted>2018-01-19T13:14:00Z</cp:lastPrinted>
  <dcterms:created xsi:type="dcterms:W3CDTF">2019-01-10T19:35:00Z</dcterms:created>
  <dcterms:modified xsi:type="dcterms:W3CDTF">2019-01-10T19:35:00Z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0x0101001FBEF448FF9B784A968C6EBDDDE5120A006A4E48024F0BDB4AA481D562A81C0CDB</vt:lpwstr>
  </property>
</Properties>
</file>