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25061D" w14:textId="77777777" w:rsidR="00981F35" w:rsidRPr="00C31F8A" w:rsidRDefault="00981F35" w:rsidP="00981F35">
      <w:pPr>
        <w:spacing w:line="240" w:lineRule="auto"/>
        <w:rPr>
          <w:sz w:val="2"/>
        </w:rPr>
        <w:sectPr w:rsidR="00981F35" w:rsidRPr="00C31F8A" w:rsidSect="00981F35">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code="1"/>
          <w:pgMar w:top="1742" w:right="1200" w:bottom="1898" w:left="1200" w:header="576" w:footer="1030" w:gutter="0"/>
          <w:pgNumType w:start="1"/>
          <w:cols w:space="720"/>
          <w:noEndnote/>
          <w:titlePg/>
          <w:docGrid w:linePitch="278"/>
        </w:sectPr>
      </w:pPr>
      <w:r w:rsidRPr="00C31F8A">
        <w:rPr>
          <w:rStyle w:val="CommentReference"/>
        </w:rPr>
        <w:commentReference w:id="0"/>
      </w:r>
      <w:bookmarkStart w:id="1" w:name="_GoBack"/>
      <w:bookmarkEnd w:id="1"/>
    </w:p>
    <w:p w14:paraId="00685391" w14:textId="77777777" w:rsidR="009375B7" w:rsidRDefault="009375B7" w:rsidP="009375B7">
      <w:pPr>
        <w:pStyle w:val="H1"/>
        <w:tabs>
          <w:tab w:val="clear" w:pos="1742"/>
        </w:tabs>
        <w:ind w:left="0" w:right="0"/>
      </w:pPr>
      <w:r>
        <w:tab/>
        <w:t>Committee on the Elimination of Discrimination</w:t>
      </w:r>
    </w:p>
    <w:p w14:paraId="3D5A8AA9" w14:textId="77777777" w:rsidR="009375B7" w:rsidRDefault="009375B7" w:rsidP="009375B7">
      <w:pPr>
        <w:pStyle w:val="H1"/>
        <w:tabs>
          <w:tab w:val="clear" w:pos="1742"/>
        </w:tabs>
        <w:ind w:left="0" w:right="0"/>
      </w:pPr>
      <w:r>
        <w:tab/>
        <w:t>against Women</w:t>
      </w:r>
    </w:p>
    <w:p w14:paraId="55865CF2" w14:textId="77777777" w:rsidR="009375B7" w:rsidRPr="009375B7" w:rsidRDefault="009375B7" w:rsidP="009375B7">
      <w:pPr>
        <w:pStyle w:val="SingleTxt"/>
        <w:spacing w:after="0" w:line="120" w:lineRule="exact"/>
        <w:rPr>
          <w:sz w:val="10"/>
        </w:rPr>
      </w:pPr>
    </w:p>
    <w:p w14:paraId="1EA89931" w14:textId="77777777" w:rsidR="009375B7" w:rsidRPr="009375B7" w:rsidRDefault="009375B7" w:rsidP="009375B7">
      <w:pPr>
        <w:pStyle w:val="SingleTxt"/>
        <w:spacing w:after="0" w:line="120" w:lineRule="exact"/>
        <w:rPr>
          <w:sz w:val="10"/>
        </w:rPr>
      </w:pPr>
    </w:p>
    <w:p w14:paraId="4509A825" w14:textId="77777777" w:rsidR="009375B7" w:rsidRPr="009375B7" w:rsidRDefault="009375B7" w:rsidP="009375B7">
      <w:pPr>
        <w:pStyle w:val="SingleTxt"/>
        <w:spacing w:after="0" w:line="120" w:lineRule="exact"/>
        <w:rPr>
          <w:sz w:val="10"/>
        </w:rPr>
      </w:pPr>
    </w:p>
    <w:p w14:paraId="1E8467E3" w14:textId="77777777" w:rsidR="009375B7" w:rsidRDefault="009375B7" w:rsidP="009375B7">
      <w:pPr>
        <w:pStyle w:val="HCh"/>
        <w:ind w:left="1267" w:right="1260" w:hanging="1267"/>
      </w:pPr>
      <w:r>
        <w:tab/>
      </w:r>
      <w:r>
        <w:tab/>
        <w:t>Communication No. 50/2013</w:t>
      </w:r>
    </w:p>
    <w:p w14:paraId="58923E23" w14:textId="77777777" w:rsidR="009375B7" w:rsidRPr="009375B7" w:rsidRDefault="009375B7" w:rsidP="009375B7">
      <w:pPr>
        <w:pStyle w:val="SingleTxt"/>
        <w:spacing w:after="0" w:line="120" w:lineRule="exact"/>
        <w:rPr>
          <w:sz w:val="10"/>
        </w:rPr>
      </w:pPr>
    </w:p>
    <w:p w14:paraId="7D66BA46" w14:textId="77777777" w:rsidR="009375B7" w:rsidRPr="009375B7" w:rsidRDefault="009375B7" w:rsidP="009375B7">
      <w:pPr>
        <w:pStyle w:val="SingleTxt"/>
        <w:spacing w:after="0" w:line="120" w:lineRule="exact"/>
        <w:rPr>
          <w:sz w:val="10"/>
        </w:rPr>
      </w:pPr>
    </w:p>
    <w:p w14:paraId="69050F68" w14:textId="77777777" w:rsidR="009375B7" w:rsidRDefault="009375B7" w:rsidP="009375B7">
      <w:pPr>
        <w:pStyle w:val="H1"/>
        <w:ind w:right="1260"/>
      </w:pPr>
      <w:r>
        <w:tab/>
      </w:r>
      <w:r>
        <w:tab/>
        <w:t>Decision adopted by the Committee at its sixty-first session (6</w:t>
      </w:r>
      <w:r>
        <w:noBreakHyphen/>
        <w:t>24 July 2015)</w:t>
      </w:r>
    </w:p>
    <w:p w14:paraId="022CEBEA" w14:textId="77777777" w:rsidR="009375B7" w:rsidRPr="009375B7" w:rsidRDefault="009375B7" w:rsidP="009375B7">
      <w:pPr>
        <w:pStyle w:val="SingleTxt"/>
        <w:spacing w:after="0" w:line="120" w:lineRule="exact"/>
        <w:rPr>
          <w:sz w:val="10"/>
        </w:rPr>
      </w:pPr>
    </w:p>
    <w:p w14:paraId="10632F66" w14:textId="77777777" w:rsidR="009375B7" w:rsidRPr="009375B7" w:rsidRDefault="009375B7" w:rsidP="009375B7">
      <w:pPr>
        <w:pStyle w:val="SingleTxt"/>
        <w:spacing w:after="0" w:line="120" w:lineRule="exact"/>
        <w:rPr>
          <w:sz w:val="10"/>
        </w:rPr>
      </w:pPr>
    </w:p>
    <w:tbl>
      <w:tblPr>
        <w:tblStyle w:val="TableGrid"/>
        <w:tblW w:w="0" w:type="auto"/>
        <w:tblInd w:w="12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008"/>
        <w:gridCol w:w="3744"/>
      </w:tblGrid>
      <w:tr w:rsidR="00671D4B" w:rsidRPr="00671D4B" w14:paraId="3AE2158F" w14:textId="77777777" w:rsidTr="00126C46">
        <w:trPr>
          <w:trHeight w:hRule="exact" w:val="115"/>
          <w:tblHeader/>
        </w:trPr>
        <w:tc>
          <w:tcPr>
            <w:tcW w:w="3008" w:type="dxa"/>
            <w:shd w:val="clear" w:color="auto" w:fill="auto"/>
            <w:vAlign w:val="bottom"/>
          </w:tcPr>
          <w:p w14:paraId="481E2928" w14:textId="77777777" w:rsidR="00671D4B" w:rsidRPr="00671D4B" w:rsidRDefault="00671D4B" w:rsidP="00671D4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ind w:left="0" w:right="40"/>
            </w:pPr>
          </w:p>
        </w:tc>
        <w:tc>
          <w:tcPr>
            <w:tcW w:w="3744" w:type="dxa"/>
            <w:shd w:val="clear" w:color="auto" w:fill="auto"/>
            <w:vAlign w:val="bottom"/>
          </w:tcPr>
          <w:p w14:paraId="481DD0DA" w14:textId="77777777" w:rsidR="00671D4B" w:rsidRPr="00671D4B" w:rsidRDefault="00671D4B" w:rsidP="00671D4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ind w:left="144" w:right="40"/>
              <w:jc w:val="left"/>
            </w:pPr>
          </w:p>
        </w:tc>
      </w:tr>
      <w:tr w:rsidR="009375B7" w:rsidRPr="00671D4B" w14:paraId="7687DE31" w14:textId="77777777" w:rsidTr="00126C46">
        <w:tc>
          <w:tcPr>
            <w:tcW w:w="3008" w:type="dxa"/>
            <w:shd w:val="clear" w:color="auto" w:fill="auto"/>
          </w:tcPr>
          <w:p w14:paraId="0E61EB0A" w14:textId="77777777" w:rsidR="009375B7" w:rsidRPr="00671D4B" w:rsidRDefault="009375B7" w:rsidP="00671D4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pPr>
            <w:r w:rsidRPr="00671D4B">
              <w:rPr>
                <w:i/>
              </w:rPr>
              <w:t>Submitted by</w:t>
            </w:r>
            <w:r w:rsidRPr="00671D4B">
              <w:t>:</w:t>
            </w:r>
          </w:p>
        </w:tc>
        <w:tc>
          <w:tcPr>
            <w:tcW w:w="3744" w:type="dxa"/>
            <w:shd w:val="clear" w:color="auto" w:fill="auto"/>
          </w:tcPr>
          <w:p w14:paraId="5D829B2C" w14:textId="77777777" w:rsidR="009375B7" w:rsidRPr="00671D4B" w:rsidRDefault="009375B7" w:rsidP="00671D4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671D4B">
              <w:t>O. V. J. (not represented by counsel)</w:t>
            </w:r>
          </w:p>
        </w:tc>
      </w:tr>
      <w:tr w:rsidR="009375B7" w:rsidRPr="00671D4B" w14:paraId="144266F3" w14:textId="77777777" w:rsidTr="00126C46">
        <w:tc>
          <w:tcPr>
            <w:tcW w:w="3008" w:type="dxa"/>
            <w:shd w:val="clear" w:color="auto" w:fill="auto"/>
          </w:tcPr>
          <w:p w14:paraId="5563FDA1" w14:textId="77777777" w:rsidR="009375B7" w:rsidRPr="00671D4B" w:rsidRDefault="009375B7" w:rsidP="00671D4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pPr>
            <w:r w:rsidRPr="00671D4B">
              <w:rPr>
                <w:i/>
              </w:rPr>
              <w:t>Alleged victims</w:t>
            </w:r>
            <w:r w:rsidRPr="00671D4B">
              <w:t>:</w:t>
            </w:r>
          </w:p>
        </w:tc>
        <w:tc>
          <w:tcPr>
            <w:tcW w:w="3744" w:type="dxa"/>
            <w:shd w:val="clear" w:color="auto" w:fill="auto"/>
          </w:tcPr>
          <w:p w14:paraId="7805DED4" w14:textId="77777777" w:rsidR="009375B7" w:rsidRPr="00671D4B" w:rsidRDefault="009375B7" w:rsidP="00671D4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671D4B">
              <w:t>The author and her daughter</w:t>
            </w:r>
          </w:p>
        </w:tc>
      </w:tr>
      <w:tr w:rsidR="009375B7" w:rsidRPr="00671D4B" w14:paraId="3EF40BEB" w14:textId="77777777" w:rsidTr="00126C46">
        <w:tc>
          <w:tcPr>
            <w:tcW w:w="3008" w:type="dxa"/>
            <w:shd w:val="clear" w:color="auto" w:fill="auto"/>
          </w:tcPr>
          <w:p w14:paraId="52743C89" w14:textId="77777777" w:rsidR="009375B7" w:rsidRPr="00671D4B" w:rsidRDefault="009375B7" w:rsidP="00671D4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pPr>
            <w:r w:rsidRPr="00671D4B">
              <w:rPr>
                <w:i/>
              </w:rPr>
              <w:t>State party</w:t>
            </w:r>
            <w:r w:rsidRPr="00671D4B">
              <w:t>:</w:t>
            </w:r>
          </w:p>
        </w:tc>
        <w:tc>
          <w:tcPr>
            <w:tcW w:w="3744" w:type="dxa"/>
            <w:shd w:val="clear" w:color="auto" w:fill="auto"/>
          </w:tcPr>
          <w:p w14:paraId="50433FD1" w14:textId="77777777" w:rsidR="009375B7" w:rsidRPr="00671D4B" w:rsidRDefault="009375B7" w:rsidP="00671D4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671D4B">
              <w:t>Denmark</w:t>
            </w:r>
          </w:p>
        </w:tc>
      </w:tr>
      <w:tr w:rsidR="009375B7" w:rsidRPr="00671D4B" w14:paraId="1AB2BDBA" w14:textId="77777777" w:rsidTr="00126C46">
        <w:tc>
          <w:tcPr>
            <w:tcW w:w="3008" w:type="dxa"/>
            <w:shd w:val="clear" w:color="auto" w:fill="auto"/>
          </w:tcPr>
          <w:p w14:paraId="337A0BCA" w14:textId="77777777" w:rsidR="009375B7" w:rsidRPr="00671D4B" w:rsidRDefault="009375B7" w:rsidP="00671D4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pPr>
            <w:r w:rsidRPr="00671D4B">
              <w:rPr>
                <w:i/>
              </w:rPr>
              <w:t>Date of communication</w:t>
            </w:r>
            <w:r w:rsidRPr="00671D4B">
              <w:t>:</w:t>
            </w:r>
          </w:p>
        </w:tc>
        <w:tc>
          <w:tcPr>
            <w:tcW w:w="3744" w:type="dxa"/>
            <w:shd w:val="clear" w:color="auto" w:fill="auto"/>
          </w:tcPr>
          <w:p w14:paraId="6C2320EB" w14:textId="77777777" w:rsidR="009375B7" w:rsidRPr="00671D4B" w:rsidRDefault="009375B7" w:rsidP="00671D4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671D4B">
              <w:t>24 December 2012 (initial submission)</w:t>
            </w:r>
          </w:p>
        </w:tc>
      </w:tr>
      <w:tr w:rsidR="009375B7" w:rsidRPr="00671D4B" w14:paraId="10F4074D" w14:textId="77777777" w:rsidTr="00126C46">
        <w:tc>
          <w:tcPr>
            <w:tcW w:w="3008" w:type="dxa"/>
            <w:shd w:val="clear" w:color="auto" w:fill="auto"/>
          </w:tcPr>
          <w:p w14:paraId="562540D7" w14:textId="77777777" w:rsidR="009375B7" w:rsidRPr="00671D4B" w:rsidRDefault="009375B7" w:rsidP="00671D4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pPr>
            <w:r w:rsidRPr="00671D4B">
              <w:rPr>
                <w:i/>
              </w:rPr>
              <w:t>References</w:t>
            </w:r>
            <w:r w:rsidRPr="00671D4B">
              <w:t>:</w:t>
            </w:r>
          </w:p>
        </w:tc>
        <w:tc>
          <w:tcPr>
            <w:tcW w:w="3744" w:type="dxa"/>
            <w:shd w:val="clear" w:color="auto" w:fill="auto"/>
          </w:tcPr>
          <w:p w14:paraId="6E3561C0" w14:textId="77777777" w:rsidR="009375B7" w:rsidRPr="00671D4B" w:rsidRDefault="009375B7" w:rsidP="00C81517">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671D4B">
              <w:t>Transmitted to the State party on 12</w:t>
            </w:r>
            <w:r w:rsidR="00C81517">
              <w:t> </w:t>
            </w:r>
            <w:r w:rsidRPr="00671D4B">
              <w:t>March 2013 (not issued in document form)</w:t>
            </w:r>
          </w:p>
        </w:tc>
      </w:tr>
      <w:tr w:rsidR="009375B7" w:rsidRPr="00671D4B" w14:paraId="59EC8004" w14:textId="77777777" w:rsidTr="00126C46">
        <w:tc>
          <w:tcPr>
            <w:tcW w:w="3008" w:type="dxa"/>
            <w:shd w:val="clear" w:color="auto" w:fill="auto"/>
          </w:tcPr>
          <w:p w14:paraId="7CC8D4E2" w14:textId="77777777" w:rsidR="009375B7" w:rsidRPr="00671D4B" w:rsidRDefault="009375B7" w:rsidP="00671D4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pPr>
            <w:r w:rsidRPr="00671D4B">
              <w:rPr>
                <w:i/>
              </w:rPr>
              <w:t>Date of adoption of decision</w:t>
            </w:r>
            <w:r w:rsidRPr="00671D4B">
              <w:t>:</w:t>
            </w:r>
          </w:p>
        </w:tc>
        <w:tc>
          <w:tcPr>
            <w:tcW w:w="3744" w:type="dxa"/>
            <w:shd w:val="clear" w:color="auto" w:fill="auto"/>
          </w:tcPr>
          <w:p w14:paraId="3F9BDFFB" w14:textId="77777777" w:rsidR="009375B7" w:rsidRPr="00671D4B" w:rsidRDefault="009375B7" w:rsidP="00671D4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671D4B">
              <w:t>23 July 2015</w:t>
            </w:r>
          </w:p>
        </w:tc>
      </w:tr>
    </w:tbl>
    <w:p w14:paraId="60F7FF81" w14:textId="77777777" w:rsidR="009375B7" w:rsidRPr="00671D4B" w:rsidRDefault="009375B7" w:rsidP="00671D4B">
      <w:pPr>
        <w:pStyle w:val="SingleTxt"/>
        <w:spacing w:after="0" w:line="120" w:lineRule="exact"/>
        <w:rPr>
          <w:sz w:val="10"/>
        </w:rPr>
      </w:pPr>
    </w:p>
    <w:p w14:paraId="2511E0D7" w14:textId="77777777" w:rsidR="00671D4B" w:rsidRPr="00671D4B" w:rsidRDefault="00671D4B" w:rsidP="00671D4B">
      <w:pPr>
        <w:pStyle w:val="SingleTxt"/>
        <w:spacing w:after="0" w:line="120" w:lineRule="exact"/>
        <w:rPr>
          <w:sz w:val="10"/>
        </w:rPr>
      </w:pPr>
    </w:p>
    <w:p w14:paraId="39EB5DF0" w14:textId="77777777" w:rsidR="00921736" w:rsidRDefault="00921736">
      <w:pPr>
        <w:suppressAutoHyphens w:val="0"/>
        <w:spacing w:line="240" w:lineRule="auto"/>
      </w:pPr>
      <w:r>
        <w:br w:type="page"/>
      </w:r>
    </w:p>
    <w:p w14:paraId="157FA51E" w14:textId="77777777" w:rsidR="009375B7" w:rsidRDefault="009375B7" w:rsidP="00921736">
      <w:pPr>
        <w:pStyle w:val="HCh"/>
        <w:ind w:left="1267" w:right="1260" w:hanging="1267"/>
      </w:pPr>
      <w:r>
        <w:lastRenderedPageBreak/>
        <w:t>Annex</w:t>
      </w:r>
    </w:p>
    <w:p w14:paraId="5CEE3D13" w14:textId="77777777" w:rsidR="009375B7" w:rsidRPr="00671D4B" w:rsidRDefault="009375B7" w:rsidP="00921736">
      <w:pPr>
        <w:pStyle w:val="SingleTxt"/>
        <w:keepNext/>
        <w:keepLines/>
        <w:spacing w:after="0" w:line="120" w:lineRule="exact"/>
        <w:rPr>
          <w:sz w:val="10"/>
        </w:rPr>
      </w:pPr>
    </w:p>
    <w:p w14:paraId="3AA9DF30" w14:textId="77777777" w:rsidR="009375B7" w:rsidRDefault="009375B7" w:rsidP="00921736">
      <w:pPr>
        <w:pStyle w:val="HCh"/>
        <w:ind w:left="1267" w:right="1260" w:hanging="1267"/>
      </w:pPr>
      <w:r>
        <w:tab/>
      </w:r>
      <w:r>
        <w:tab/>
        <w:t>Decision of the Committee on the Elimination of Discrimination against Women under the Optional Protocol to the Convention on the Elimination of All Forms of Discrimination against Women (sixty-first session)</w:t>
      </w:r>
      <w:r w:rsidR="008F6469">
        <w:t xml:space="preserve"> </w:t>
      </w:r>
    </w:p>
    <w:p w14:paraId="21E413C0" w14:textId="77777777" w:rsidR="00671D4B" w:rsidRPr="00671D4B" w:rsidRDefault="00671D4B" w:rsidP="00671D4B">
      <w:pPr>
        <w:pStyle w:val="SingleTxt"/>
        <w:spacing w:after="0" w:line="120" w:lineRule="exact"/>
        <w:rPr>
          <w:sz w:val="10"/>
        </w:rPr>
      </w:pPr>
    </w:p>
    <w:p w14:paraId="45D66206" w14:textId="77777777" w:rsidR="00671D4B" w:rsidRPr="00671D4B" w:rsidRDefault="00671D4B" w:rsidP="00671D4B">
      <w:pPr>
        <w:pStyle w:val="SingleTxt"/>
        <w:spacing w:after="0" w:line="120" w:lineRule="exact"/>
        <w:rPr>
          <w:sz w:val="10"/>
        </w:rPr>
      </w:pPr>
    </w:p>
    <w:p w14:paraId="4C7B5FA3" w14:textId="77777777" w:rsidR="009375B7" w:rsidRDefault="009375B7" w:rsidP="009375B7">
      <w:pPr>
        <w:pStyle w:val="SingleTxt"/>
      </w:pPr>
      <w:r>
        <w:t>concerning</w:t>
      </w:r>
      <w:r w:rsidR="008F6469">
        <w:t xml:space="preserve"> </w:t>
      </w:r>
    </w:p>
    <w:p w14:paraId="3410D9CA" w14:textId="77777777" w:rsidR="00671D4B" w:rsidRPr="00671D4B" w:rsidRDefault="00671D4B" w:rsidP="00671D4B">
      <w:pPr>
        <w:pStyle w:val="SingleTxt"/>
        <w:spacing w:after="0" w:line="120" w:lineRule="exact"/>
        <w:rPr>
          <w:sz w:val="10"/>
        </w:rPr>
      </w:pPr>
    </w:p>
    <w:p w14:paraId="057FF19A" w14:textId="77777777" w:rsidR="00671D4B" w:rsidRPr="00671D4B" w:rsidRDefault="00671D4B" w:rsidP="00671D4B">
      <w:pPr>
        <w:pStyle w:val="SingleTxt"/>
        <w:spacing w:after="0" w:line="120" w:lineRule="exact"/>
        <w:rPr>
          <w:sz w:val="10"/>
        </w:rPr>
      </w:pPr>
    </w:p>
    <w:p w14:paraId="186464E8" w14:textId="77777777" w:rsidR="009375B7" w:rsidRDefault="009375B7" w:rsidP="00671D4B">
      <w:pPr>
        <w:pStyle w:val="HCh"/>
        <w:ind w:left="1267" w:right="1260" w:hanging="1267"/>
        <w:rPr>
          <w:b w:val="0"/>
          <w:sz w:val="20"/>
        </w:rPr>
      </w:pPr>
      <w:r>
        <w:tab/>
      </w:r>
      <w:r>
        <w:tab/>
        <w:t>Communication No. 50/2013</w:t>
      </w:r>
      <w:r w:rsidR="008F6469" w:rsidRPr="008F6469">
        <w:rPr>
          <w:rStyle w:val="FootnoteReference"/>
          <w:b w:val="0"/>
          <w:sz w:val="20"/>
          <w:vertAlign w:val="baseline"/>
        </w:rPr>
        <w:footnoteReference w:customMarkFollows="1" w:id="1"/>
        <w:t>*</w:t>
      </w:r>
      <w:r w:rsidR="008F6469">
        <w:rPr>
          <w:b w:val="0"/>
          <w:sz w:val="20"/>
        </w:rPr>
        <w:t xml:space="preserve"> </w:t>
      </w:r>
    </w:p>
    <w:p w14:paraId="5E7FE874" w14:textId="77777777" w:rsidR="00671D4B" w:rsidRPr="00671D4B" w:rsidRDefault="00671D4B" w:rsidP="00671D4B">
      <w:pPr>
        <w:pStyle w:val="SingleTxt"/>
        <w:spacing w:after="0" w:line="120" w:lineRule="exact"/>
        <w:rPr>
          <w:sz w:val="10"/>
        </w:rPr>
      </w:pPr>
    </w:p>
    <w:p w14:paraId="6C05919D" w14:textId="77777777" w:rsidR="00671D4B" w:rsidRPr="00671D4B" w:rsidRDefault="00671D4B" w:rsidP="00671D4B">
      <w:pPr>
        <w:pStyle w:val="SingleTxt"/>
        <w:spacing w:after="0" w:line="120" w:lineRule="exact"/>
        <w:rPr>
          <w:sz w:val="10"/>
        </w:rPr>
      </w:pPr>
    </w:p>
    <w:tbl>
      <w:tblPr>
        <w:tblStyle w:val="TableGrid"/>
        <w:tblW w:w="0" w:type="auto"/>
        <w:tblInd w:w="12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017"/>
        <w:gridCol w:w="4176"/>
      </w:tblGrid>
      <w:tr w:rsidR="00671D4B" w:rsidRPr="00671D4B" w14:paraId="2586EC68" w14:textId="77777777" w:rsidTr="00671D4B">
        <w:trPr>
          <w:trHeight w:hRule="exact" w:val="115"/>
          <w:tblHeader/>
        </w:trPr>
        <w:tc>
          <w:tcPr>
            <w:tcW w:w="3017" w:type="dxa"/>
            <w:shd w:val="clear" w:color="auto" w:fill="auto"/>
            <w:vAlign w:val="bottom"/>
          </w:tcPr>
          <w:p w14:paraId="2CB02E52" w14:textId="77777777" w:rsidR="00671D4B" w:rsidRPr="00671D4B" w:rsidRDefault="00671D4B" w:rsidP="00671D4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ind w:left="0" w:right="40"/>
            </w:pPr>
          </w:p>
        </w:tc>
        <w:tc>
          <w:tcPr>
            <w:tcW w:w="4176" w:type="dxa"/>
            <w:shd w:val="clear" w:color="auto" w:fill="auto"/>
            <w:vAlign w:val="bottom"/>
          </w:tcPr>
          <w:p w14:paraId="7DEDC40C" w14:textId="77777777" w:rsidR="00671D4B" w:rsidRPr="00671D4B" w:rsidRDefault="00671D4B" w:rsidP="00671D4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ind w:left="144" w:right="40"/>
              <w:jc w:val="left"/>
            </w:pPr>
          </w:p>
        </w:tc>
      </w:tr>
      <w:tr w:rsidR="00671D4B" w:rsidRPr="00671D4B" w14:paraId="264D4BA7" w14:textId="77777777" w:rsidTr="00671D4B">
        <w:tc>
          <w:tcPr>
            <w:tcW w:w="3017" w:type="dxa"/>
            <w:shd w:val="clear" w:color="auto" w:fill="auto"/>
          </w:tcPr>
          <w:p w14:paraId="442828EC" w14:textId="77777777" w:rsidR="00671D4B" w:rsidRPr="00671D4B" w:rsidRDefault="00671D4B" w:rsidP="00671D4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pPr>
            <w:r w:rsidRPr="00671D4B">
              <w:rPr>
                <w:i/>
              </w:rPr>
              <w:t>Submitted by</w:t>
            </w:r>
            <w:r w:rsidRPr="00671D4B">
              <w:t>:</w:t>
            </w:r>
          </w:p>
        </w:tc>
        <w:tc>
          <w:tcPr>
            <w:tcW w:w="4176" w:type="dxa"/>
            <w:shd w:val="clear" w:color="auto" w:fill="auto"/>
          </w:tcPr>
          <w:p w14:paraId="53B6C917" w14:textId="77777777" w:rsidR="00671D4B" w:rsidRPr="00671D4B" w:rsidRDefault="00671D4B" w:rsidP="00671D4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671D4B">
              <w:t>O. V. J. (not represented by counsel)</w:t>
            </w:r>
          </w:p>
        </w:tc>
      </w:tr>
      <w:tr w:rsidR="00671D4B" w:rsidRPr="00671D4B" w14:paraId="4D45B2A5" w14:textId="77777777" w:rsidTr="00671D4B">
        <w:tc>
          <w:tcPr>
            <w:tcW w:w="3017" w:type="dxa"/>
            <w:shd w:val="clear" w:color="auto" w:fill="auto"/>
          </w:tcPr>
          <w:p w14:paraId="7E5C0667" w14:textId="77777777" w:rsidR="00671D4B" w:rsidRPr="00671D4B" w:rsidRDefault="00671D4B" w:rsidP="00671D4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pPr>
            <w:r w:rsidRPr="00671D4B">
              <w:rPr>
                <w:i/>
              </w:rPr>
              <w:t>Alleged victims</w:t>
            </w:r>
            <w:r w:rsidRPr="00671D4B">
              <w:t>:</w:t>
            </w:r>
          </w:p>
        </w:tc>
        <w:tc>
          <w:tcPr>
            <w:tcW w:w="4176" w:type="dxa"/>
            <w:shd w:val="clear" w:color="auto" w:fill="auto"/>
          </w:tcPr>
          <w:p w14:paraId="2B6E9B39" w14:textId="77777777" w:rsidR="00671D4B" w:rsidRPr="00671D4B" w:rsidRDefault="00671D4B" w:rsidP="00671D4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671D4B">
              <w:t>The author and her daughter</w:t>
            </w:r>
          </w:p>
        </w:tc>
      </w:tr>
      <w:tr w:rsidR="00671D4B" w:rsidRPr="00671D4B" w14:paraId="319F5AE7" w14:textId="77777777" w:rsidTr="00671D4B">
        <w:tc>
          <w:tcPr>
            <w:tcW w:w="3017" w:type="dxa"/>
            <w:shd w:val="clear" w:color="auto" w:fill="auto"/>
          </w:tcPr>
          <w:p w14:paraId="05E35516" w14:textId="77777777" w:rsidR="00671D4B" w:rsidRPr="00671D4B" w:rsidRDefault="00671D4B" w:rsidP="00671D4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pPr>
            <w:r w:rsidRPr="00671D4B">
              <w:rPr>
                <w:i/>
              </w:rPr>
              <w:t>State party</w:t>
            </w:r>
            <w:r w:rsidRPr="00671D4B">
              <w:t>:</w:t>
            </w:r>
          </w:p>
        </w:tc>
        <w:tc>
          <w:tcPr>
            <w:tcW w:w="4176" w:type="dxa"/>
            <w:shd w:val="clear" w:color="auto" w:fill="auto"/>
          </w:tcPr>
          <w:p w14:paraId="7D43EB1B" w14:textId="77777777" w:rsidR="00671D4B" w:rsidRPr="00671D4B" w:rsidRDefault="00671D4B" w:rsidP="00671D4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671D4B">
              <w:t>Denmark</w:t>
            </w:r>
          </w:p>
        </w:tc>
      </w:tr>
      <w:tr w:rsidR="00671D4B" w:rsidRPr="00671D4B" w14:paraId="6C464F10" w14:textId="77777777" w:rsidTr="00671D4B">
        <w:tc>
          <w:tcPr>
            <w:tcW w:w="3017" w:type="dxa"/>
            <w:shd w:val="clear" w:color="auto" w:fill="auto"/>
          </w:tcPr>
          <w:p w14:paraId="496F1F91" w14:textId="77777777" w:rsidR="00671D4B" w:rsidRPr="00671D4B" w:rsidRDefault="00671D4B" w:rsidP="00671D4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pPr>
            <w:r w:rsidRPr="00671D4B">
              <w:rPr>
                <w:i/>
              </w:rPr>
              <w:t>Date of communication</w:t>
            </w:r>
            <w:r w:rsidRPr="00671D4B">
              <w:t>:</w:t>
            </w:r>
          </w:p>
        </w:tc>
        <w:tc>
          <w:tcPr>
            <w:tcW w:w="4176" w:type="dxa"/>
            <w:shd w:val="clear" w:color="auto" w:fill="auto"/>
          </w:tcPr>
          <w:p w14:paraId="471ADABD" w14:textId="77777777" w:rsidR="00671D4B" w:rsidRPr="00671D4B" w:rsidRDefault="00671D4B" w:rsidP="00671D4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671D4B">
              <w:t>24 December 2012 (initial submission)</w:t>
            </w:r>
          </w:p>
        </w:tc>
      </w:tr>
    </w:tbl>
    <w:p w14:paraId="605400D0" w14:textId="77777777" w:rsidR="009375B7" w:rsidRPr="00921736" w:rsidRDefault="009375B7" w:rsidP="00921736">
      <w:pPr>
        <w:pStyle w:val="SingleTxt"/>
        <w:spacing w:after="0" w:line="120" w:lineRule="exact"/>
        <w:rPr>
          <w:sz w:val="10"/>
        </w:rPr>
      </w:pPr>
    </w:p>
    <w:p w14:paraId="11B009E6" w14:textId="77777777" w:rsidR="00921736" w:rsidRPr="00921736" w:rsidRDefault="00921736" w:rsidP="00921736">
      <w:pPr>
        <w:pStyle w:val="SingleTxt"/>
        <w:spacing w:after="0" w:line="120" w:lineRule="exact"/>
        <w:rPr>
          <w:sz w:val="10"/>
        </w:rPr>
      </w:pPr>
    </w:p>
    <w:p w14:paraId="29788A55" w14:textId="77777777" w:rsidR="009375B7" w:rsidRDefault="009375B7" w:rsidP="009375B7">
      <w:pPr>
        <w:pStyle w:val="SingleTxt"/>
      </w:pPr>
      <w:r>
        <w:tab/>
      </w:r>
      <w:r w:rsidRPr="00921736">
        <w:rPr>
          <w:i/>
        </w:rPr>
        <w:t>The Committee on the Elimination of Discrimination against Women</w:t>
      </w:r>
      <w:r>
        <w:t>, established under article 17 of the Convention on the Elimination of All Forms of Discrimination against Women,</w:t>
      </w:r>
      <w:r w:rsidR="008F6469">
        <w:t xml:space="preserve"> </w:t>
      </w:r>
    </w:p>
    <w:p w14:paraId="105FA730" w14:textId="77777777" w:rsidR="009375B7" w:rsidRDefault="009375B7" w:rsidP="009375B7">
      <w:pPr>
        <w:pStyle w:val="SingleTxt"/>
      </w:pPr>
      <w:r>
        <w:tab/>
      </w:r>
      <w:r w:rsidRPr="00921736">
        <w:rPr>
          <w:i/>
        </w:rPr>
        <w:t xml:space="preserve">Meeting </w:t>
      </w:r>
      <w:r>
        <w:t>on 23 July 2015,</w:t>
      </w:r>
      <w:r w:rsidR="008F6469">
        <w:t xml:space="preserve"> </w:t>
      </w:r>
    </w:p>
    <w:p w14:paraId="409D9AC7" w14:textId="77777777" w:rsidR="009375B7" w:rsidRDefault="009375B7" w:rsidP="009375B7">
      <w:pPr>
        <w:pStyle w:val="SingleTxt"/>
      </w:pPr>
      <w:r>
        <w:tab/>
      </w:r>
      <w:r w:rsidRPr="00921736">
        <w:rPr>
          <w:i/>
        </w:rPr>
        <w:t>Adopts</w:t>
      </w:r>
      <w:r>
        <w:t xml:space="preserve"> the following:</w:t>
      </w:r>
      <w:r w:rsidR="008F6469">
        <w:t xml:space="preserve"> </w:t>
      </w:r>
    </w:p>
    <w:p w14:paraId="7947A2ED" w14:textId="77777777" w:rsidR="00921736" w:rsidRPr="00921736" w:rsidRDefault="00921736" w:rsidP="00921736">
      <w:pPr>
        <w:pStyle w:val="SingleTxt"/>
        <w:spacing w:after="0" w:line="120" w:lineRule="exact"/>
        <w:rPr>
          <w:sz w:val="10"/>
        </w:rPr>
      </w:pPr>
    </w:p>
    <w:p w14:paraId="4C4247BF" w14:textId="77777777" w:rsidR="00921736" w:rsidRPr="00921736" w:rsidRDefault="00921736" w:rsidP="00921736">
      <w:pPr>
        <w:pStyle w:val="SingleTxt"/>
        <w:spacing w:after="0" w:line="120" w:lineRule="exact"/>
        <w:rPr>
          <w:sz w:val="10"/>
        </w:rPr>
      </w:pPr>
    </w:p>
    <w:p w14:paraId="25C748B9" w14:textId="77777777" w:rsidR="009375B7" w:rsidRDefault="009375B7" w:rsidP="00921736">
      <w:pPr>
        <w:pStyle w:val="H1"/>
        <w:ind w:right="1260"/>
      </w:pPr>
      <w:r>
        <w:tab/>
      </w:r>
      <w:r>
        <w:tab/>
        <w:t>Decision on admissibility</w:t>
      </w:r>
      <w:r w:rsidR="008F6469">
        <w:t xml:space="preserve"> </w:t>
      </w:r>
    </w:p>
    <w:p w14:paraId="693DAEFB" w14:textId="77777777" w:rsidR="00921736" w:rsidRPr="00921736" w:rsidRDefault="00921736" w:rsidP="00921736">
      <w:pPr>
        <w:pStyle w:val="SingleTxt"/>
        <w:spacing w:after="0" w:line="120" w:lineRule="exact"/>
        <w:rPr>
          <w:sz w:val="10"/>
        </w:rPr>
      </w:pPr>
    </w:p>
    <w:p w14:paraId="7E6EC1D9" w14:textId="77777777" w:rsidR="00921736" w:rsidRPr="00921736" w:rsidRDefault="00921736" w:rsidP="00921736">
      <w:pPr>
        <w:pStyle w:val="SingleTxt"/>
        <w:spacing w:after="0" w:line="120" w:lineRule="exact"/>
        <w:rPr>
          <w:sz w:val="10"/>
        </w:rPr>
      </w:pPr>
    </w:p>
    <w:p w14:paraId="7A0FACE5" w14:textId="77777777" w:rsidR="009375B7" w:rsidRDefault="009375B7" w:rsidP="009375B7">
      <w:pPr>
        <w:pStyle w:val="SingleTxt"/>
      </w:pPr>
      <w:r>
        <w:t>1.</w:t>
      </w:r>
      <w:r>
        <w:tab/>
        <w:t>The author of the communication is O. V. J., a Russian national, who submits the communication on her own behalf and on that of her daughter, V. D. J.</w:t>
      </w:r>
      <w:r w:rsidR="00DE3FEA">
        <w:rPr>
          <w:rStyle w:val="FootnoteReference"/>
        </w:rPr>
        <w:footnoteReference w:id="2"/>
      </w:r>
      <w:r>
        <w:t xml:space="preserve"> She claims that she and her daughter are victims of a violation by Denmark of their rights under articles 1, 2 (d), 5 and 16 (1) (d) of the Convention on the Elimination of All Forms of Discrimination against Women. She is not represented by counsel. The Convention and the Optional Protocol thereto entered into force for Denmark on 21 May 1983 and 31 August 2000, respectively.</w:t>
      </w:r>
      <w:r w:rsidR="008F6469">
        <w:t xml:space="preserve"> </w:t>
      </w:r>
    </w:p>
    <w:p w14:paraId="4668D230" w14:textId="77777777" w:rsidR="00DE3FEA" w:rsidRPr="00DE3FEA" w:rsidRDefault="00DE3FEA" w:rsidP="00DE3FEA">
      <w:pPr>
        <w:pStyle w:val="SingleTxt"/>
        <w:spacing w:after="0" w:line="120" w:lineRule="exact"/>
        <w:rPr>
          <w:sz w:val="10"/>
        </w:rPr>
      </w:pPr>
    </w:p>
    <w:p w14:paraId="3E546529" w14:textId="77777777" w:rsidR="009375B7" w:rsidRDefault="009375B7" w:rsidP="00DE3FEA">
      <w:pPr>
        <w:pStyle w:val="H23"/>
        <w:ind w:right="1260"/>
      </w:pPr>
      <w:r>
        <w:tab/>
      </w:r>
      <w:r>
        <w:tab/>
        <w:t>Facts as presented by the author</w:t>
      </w:r>
      <w:r w:rsidR="008F6469">
        <w:t xml:space="preserve"> </w:t>
      </w:r>
    </w:p>
    <w:p w14:paraId="46B9BB0C" w14:textId="77777777" w:rsidR="00DE3FEA" w:rsidRPr="00DE3FEA" w:rsidRDefault="00DE3FEA" w:rsidP="00DE3FEA">
      <w:pPr>
        <w:pStyle w:val="SingleTxt"/>
        <w:spacing w:after="0" w:line="120" w:lineRule="exact"/>
        <w:rPr>
          <w:sz w:val="10"/>
        </w:rPr>
      </w:pPr>
    </w:p>
    <w:p w14:paraId="5E499D70" w14:textId="77777777" w:rsidR="009375B7" w:rsidRDefault="009375B7" w:rsidP="009375B7">
      <w:pPr>
        <w:pStyle w:val="SingleTxt"/>
      </w:pPr>
      <w:r>
        <w:t>2.1</w:t>
      </w:r>
      <w:r>
        <w:tab/>
        <w:t xml:space="preserve">The author married a Danish national on 31 December 2005. She contends that, shortly after their daughter was born, he changed his attitude towards her and became abusive towards her and their daughter. He allegedly isolated the author and forbade her from visiting her family and friends. He also reportedly demonstrated </w:t>
      </w:r>
      <w:r>
        <w:lastRenderedPageBreak/>
        <w:t>violent behaviour towards their daughter, turning her upside down and shaking her to make the author afraid.</w:t>
      </w:r>
      <w:r w:rsidR="008F6469">
        <w:t xml:space="preserve"> </w:t>
      </w:r>
    </w:p>
    <w:p w14:paraId="4929C8F9" w14:textId="77777777" w:rsidR="009375B7" w:rsidRDefault="009375B7" w:rsidP="009375B7">
      <w:pPr>
        <w:pStyle w:val="SingleTxt"/>
      </w:pPr>
      <w:r>
        <w:t>2.2</w:t>
      </w:r>
      <w:r>
        <w:tab/>
        <w:t>Pending a decision on the spouses</w:t>
      </w:r>
      <w:r w:rsidR="00D26A2A">
        <w:t>’</w:t>
      </w:r>
      <w:r>
        <w:t xml:space="preserve"> divorce, a temporary agreement was reached by the author and her husband, pursuant to which both parents cared for the child on a weekly (seven-day) basis. By a decision of 22 June 2010 of the District Court of Aalborg, the author was granted a divorce from her husband. The Court also assigned sole custody of the daughter to the father. The decision was based on a child welfare report, drafted by a welfare consultant after conducting a psychological assessment of the child and her parents. According to the report, the temporary access scheme of shared parental authority put in place by the Court until the case had been determined had worked in substance and the parties had been able to cooperate on practicalities. Nevertheless, after considering the parties</w:t>
      </w:r>
      <w:r w:rsidR="00D26A2A">
        <w:t>’</w:t>
      </w:r>
      <w:r>
        <w:t xml:space="preserve"> statements during the proceedings, the Court had </w:t>
      </w:r>
      <w:r w:rsidR="00D26A2A">
        <w:t>“</w:t>
      </w:r>
      <w:r>
        <w:t>found it highly dubious that the parties would be able to handle their disagreements about their daughter</w:t>
      </w:r>
      <w:r w:rsidR="00D26A2A">
        <w:t>’</w:t>
      </w:r>
      <w:r>
        <w:t>s affairs in general in a harmless manner</w:t>
      </w:r>
      <w:r w:rsidR="00D26A2A">
        <w:t>”</w:t>
      </w:r>
      <w:r>
        <w:t>. The Court also considered that, according to the report, both parties were suited to handle custody, but it was recommended that custody should be awarded to the father because the child appeared emotionally more attached to him. The Court therefore concluded that it was in the child</w:t>
      </w:r>
      <w:r w:rsidR="00D26A2A">
        <w:t>’</w:t>
      </w:r>
      <w:r>
        <w:t>s best interest to award sole custody to the father. The Court determined that the author</w:t>
      </w:r>
      <w:r w:rsidR="00D26A2A">
        <w:t>’</w:t>
      </w:r>
      <w:r>
        <w:t xml:space="preserve">s daughter should spend 5 of every 14 days with her. The Court also established that, given that </w:t>
      </w:r>
      <w:r w:rsidR="00D26A2A">
        <w:t>“</w:t>
      </w:r>
      <w:r>
        <w:t>the author had not had the opportunity to develop strong ties with the Danish labour market</w:t>
      </w:r>
      <w:r w:rsidR="00D26A2A">
        <w:t>”</w:t>
      </w:r>
      <w:r>
        <w:t>, her husband should pay her maintenance for two years, as from 15</w:t>
      </w:r>
      <w:r w:rsidR="00DE3FEA">
        <w:t> </w:t>
      </w:r>
      <w:r>
        <w:t>November 2009.</w:t>
      </w:r>
      <w:r w:rsidR="008F6469">
        <w:t xml:space="preserve"> </w:t>
      </w:r>
    </w:p>
    <w:p w14:paraId="630FD8E3" w14:textId="77777777" w:rsidR="009375B7" w:rsidRDefault="009375B7" w:rsidP="009375B7">
      <w:pPr>
        <w:pStyle w:val="SingleTxt"/>
      </w:pPr>
      <w:r>
        <w:t>2.3</w:t>
      </w:r>
      <w:r>
        <w:tab/>
        <w:t>By a decision of 8 December 2010, the High Court of Western Denmark upheld the District Court</w:t>
      </w:r>
      <w:r w:rsidR="00D26A2A">
        <w:t>’</w:t>
      </w:r>
      <w:r>
        <w:t>s decision, considering, on the basis of the child welfare report and the parties</w:t>
      </w:r>
      <w:r w:rsidR="00D26A2A">
        <w:t>’</w:t>
      </w:r>
      <w:r>
        <w:t xml:space="preserve"> statements, that it was in the child</w:t>
      </w:r>
      <w:r w:rsidR="00D26A2A">
        <w:t>’</w:t>
      </w:r>
      <w:r>
        <w:t>s best interest to assign sole custody to the father.</w:t>
      </w:r>
      <w:r w:rsidR="008F6469">
        <w:t xml:space="preserve"> </w:t>
      </w:r>
    </w:p>
    <w:p w14:paraId="720073E6" w14:textId="77777777" w:rsidR="009375B7" w:rsidRDefault="009375B7" w:rsidP="009375B7">
      <w:pPr>
        <w:pStyle w:val="SingleTxt"/>
      </w:pPr>
      <w:r>
        <w:t>2.4</w:t>
      </w:r>
      <w:r>
        <w:tab/>
        <w:t>On 28 June 2012, the author claimed joint custody of her daughter before the District Court of Aalborg. On 20 December, the Court again concluded that it was in the child</w:t>
      </w:r>
      <w:r w:rsidR="00D26A2A">
        <w:t>’</w:t>
      </w:r>
      <w:r>
        <w:t>s best interest to maintain the current arrangements, with the father having sole custody and the mother spending only 5 of every 14 days with her daughter. The Court based its decision on the child</w:t>
      </w:r>
      <w:r w:rsidR="00D26A2A">
        <w:t>’</w:t>
      </w:r>
      <w:r>
        <w:t xml:space="preserve">s current situation and on the fact that the cooperation between the parents was not good and that the period corresponding to the previous proceedings had been marked by </w:t>
      </w:r>
      <w:r w:rsidR="00D26A2A">
        <w:t>“</w:t>
      </w:r>
      <w:r>
        <w:t>difficulties of cooperation and a high conflict level</w:t>
      </w:r>
      <w:r w:rsidR="00D26A2A">
        <w:t>”</w:t>
      </w:r>
      <w:r>
        <w:t xml:space="preserve">. </w:t>
      </w:r>
    </w:p>
    <w:p w14:paraId="166B2CED" w14:textId="77777777" w:rsidR="009375B7" w:rsidRDefault="009375B7" w:rsidP="009375B7">
      <w:pPr>
        <w:pStyle w:val="SingleTxt"/>
      </w:pPr>
      <w:r>
        <w:t>2.5</w:t>
      </w:r>
      <w:r>
        <w:tab/>
        <w:t>On 10 January 2013, the author appealed against that decision. By a decision of 3 June, the High Court of Western Denmark upheld the decision, based on the same reasoning and considering that no new facts had been presented.</w:t>
      </w:r>
      <w:r w:rsidR="008F6469">
        <w:t xml:space="preserve"> </w:t>
      </w:r>
    </w:p>
    <w:p w14:paraId="28A74901" w14:textId="77777777" w:rsidR="00DE3FEA" w:rsidRPr="00DE3FEA" w:rsidRDefault="00DE3FEA" w:rsidP="00DE3FEA">
      <w:pPr>
        <w:pStyle w:val="SingleTxt"/>
        <w:spacing w:after="0" w:line="120" w:lineRule="exact"/>
        <w:rPr>
          <w:sz w:val="10"/>
        </w:rPr>
      </w:pPr>
    </w:p>
    <w:p w14:paraId="34A87B17" w14:textId="77777777" w:rsidR="009375B7" w:rsidRDefault="009375B7" w:rsidP="00DE3FEA">
      <w:pPr>
        <w:pStyle w:val="H23"/>
        <w:ind w:right="1260"/>
      </w:pPr>
      <w:r>
        <w:tab/>
      </w:r>
      <w:r>
        <w:tab/>
        <w:t>Complaint</w:t>
      </w:r>
      <w:r w:rsidR="008F6469">
        <w:t xml:space="preserve"> </w:t>
      </w:r>
    </w:p>
    <w:p w14:paraId="3E86DF06" w14:textId="77777777" w:rsidR="00DE3FEA" w:rsidRPr="00DE3FEA" w:rsidRDefault="00DE3FEA" w:rsidP="00DE3FEA">
      <w:pPr>
        <w:pStyle w:val="SingleTxt"/>
        <w:spacing w:after="0" w:line="120" w:lineRule="exact"/>
        <w:rPr>
          <w:sz w:val="10"/>
        </w:rPr>
      </w:pPr>
    </w:p>
    <w:p w14:paraId="5726AF76" w14:textId="77777777" w:rsidR="009375B7" w:rsidRDefault="009375B7" w:rsidP="009375B7">
      <w:pPr>
        <w:pStyle w:val="SingleTxt"/>
      </w:pPr>
      <w:r>
        <w:t>3.1</w:t>
      </w:r>
      <w:r>
        <w:tab/>
        <w:t>The author claims a violation of articles 1, 2 (d), 5 and 16 (1) (d) of the Convention. She contends that the State party has failed to provide effective measures of protection for her and her daughter against her ex-husband. She suggests that the Danish courts took into consideration only her husband</w:t>
      </w:r>
      <w:r w:rsidR="00D26A2A">
        <w:t>’</w:t>
      </w:r>
      <w:r>
        <w:t>s allegedly false statements and considered none of the evidence that she provided, assigning custody to him on the basis of his nationality alone. She adds that domestic remedies are unnecessarily prolonged and unlikely to bring relief.</w:t>
      </w:r>
      <w:r w:rsidR="008F6469">
        <w:t xml:space="preserve"> </w:t>
      </w:r>
    </w:p>
    <w:p w14:paraId="02262A3F" w14:textId="77777777" w:rsidR="009375B7" w:rsidRDefault="009375B7" w:rsidP="009375B7">
      <w:pPr>
        <w:pStyle w:val="SingleTxt"/>
      </w:pPr>
      <w:r>
        <w:lastRenderedPageBreak/>
        <w:t>3.2</w:t>
      </w:r>
      <w:r>
        <w:tab/>
        <w:t>The author requests the Committee, among other things, to secure the reinstatement to foreign mothers of their rights to family life and custody of their children; train the Danish authorities regarding domestic abuse; pass legislation that effectively protects foreign women and their children from abuse by Danish men and the application thereof; grant permanent residency and legal social protection and benefits to foreign mothers; immediately pass legislation and adopt other measures to ensure the prevention of and effective response to domestic abuse; and adopt urgent measures to protect foreign women who are victims of domestic violence from irreparable harm.</w:t>
      </w:r>
      <w:r w:rsidR="008F6469">
        <w:t xml:space="preserve"> </w:t>
      </w:r>
    </w:p>
    <w:p w14:paraId="0D2F6757" w14:textId="77777777" w:rsidR="00DE3FEA" w:rsidRPr="00DE3FEA" w:rsidRDefault="00DE3FEA" w:rsidP="00DE3FEA">
      <w:pPr>
        <w:pStyle w:val="SingleTxt"/>
        <w:spacing w:after="0" w:line="120" w:lineRule="exact"/>
        <w:rPr>
          <w:sz w:val="10"/>
        </w:rPr>
      </w:pPr>
    </w:p>
    <w:p w14:paraId="6E9C2DC7" w14:textId="77777777" w:rsidR="009375B7" w:rsidRDefault="009375B7" w:rsidP="00DE3FEA">
      <w:pPr>
        <w:pStyle w:val="H23"/>
        <w:ind w:right="1260"/>
      </w:pPr>
      <w:r>
        <w:tab/>
      </w:r>
      <w:r>
        <w:tab/>
        <w:t>State party</w:t>
      </w:r>
      <w:r w:rsidR="00D26A2A">
        <w:t>’</w:t>
      </w:r>
      <w:r>
        <w:t>s observations on admissibility</w:t>
      </w:r>
      <w:r w:rsidR="008F6469">
        <w:t xml:space="preserve"> </w:t>
      </w:r>
    </w:p>
    <w:p w14:paraId="78950C76" w14:textId="77777777" w:rsidR="00DE3FEA" w:rsidRPr="00DE3FEA" w:rsidRDefault="00DE3FEA" w:rsidP="00DE3FEA">
      <w:pPr>
        <w:pStyle w:val="SingleTxt"/>
        <w:spacing w:after="0" w:line="120" w:lineRule="exact"/>
        <w:rPr>
          <w:sz w:val="10"/>
        </w:rPr>
      </w:pPr>
    </w:p>
    <w:p w14:paraId="090C126B" w14:textId="77777777" w:rsidR="009375B7" w:rsidRDefault="009375B7" w:rsidP="009375B7">
      <w:pPr>
        <w:pStyle w:val="SingleTxt"/>
      </w:pPr>
      <w:r>
        <w:t>4.1</w:t>
      </w:r>
      <w:r>
        <w:tab/>
        <w:t>On 13 May 2013, the State party argued that the communication was inadmissible under article 4 (1) of the Optional Protocol because the author had failed to exhaust domestic remedies. It noted that the author</w:t>
      </w:r>
      <w:r w:rsidR="00D26A2A">
        <w:t>’</w:t>
      </w:r>
      <w:r>
        <w:t>s claims had not been raised before the Danish courts, invoking the Committee</w:t>
      </w:r>
      <w:r w:rsidR="00D26A2A">
        <w:t>’</w:t>
      </w:r>
      <w:r>
        <w:t>s jurisprudence in the sense that the author should have raised the substance of the claim before the Committee at the national level.</w:t>
      </w:r>
      <w:r w:rsidR="00DE3FEA">
        <w:rPr>
          <w:rStyle w:val="FootnoteReference"/>
        </w:rPr>
        <w:footnoteReference w:id="3"/>
      </w:r>
      <w:r>
        <w:t xml:space="preserve"> The State party observed that the author had made no allegations concerning gender-based discrimination by her ex-husband against her or her daughter before the Danish authorities, meaning that the national courts had had no opportunity to assess such allegations.</w:t>
      </w:r>
      <w:r w:rsidR="008F6469">
        <w:t xml:space="preserve"> </w:t>
      </w:r>
    </w:p>
    <w:p w14:paraId="2F2B369D" w14:textId="77777777" w:rsidR="009375B7" w:rsidRDefault="009375B7" w:rsidP="009375B7">
      <w:pPr>
        <w:pStyle w:val="SingleTxt"/>
      </w:pPr>
      <w:r>
        <w:t>4.2</w:t>
      </w:r>
      <w:r>
        <w:tab/>
        <w:t>The State party added that the author had submitted her complaint to the Committee while national-level custody proceedings (the author</w:t>
      </w:r>
      <w:r w:rsidR="00D26A2A">
        <w:t>’</w:t>
      </w:r>
      <w:r>
        <w:t>s appeal to the High Court of Western Denmark on 10 January 2013 against the decision rendered by the District Court of Aalborg) were under way, with a hearing before the High Court scheduled for 27 May.</w:t>
      </w:r>
      <w:r w:rsidR="008F6469">
        <w:t xml:space="preserve"> </w:t>
      </w:r>
    </w:p>
    <w:p w14:paraId="27DAF12A" w14:textId="77777777" w:rsidR="009375B7" w:rsidRDefault="009375B7" w:rsidP="009375B7">
      <w:pPr>
        <w:pStyle w:val="SingleTxt"/>
      </w:pPr>
      <w:r>
        <w:t>4.3</w:t>
      </w:r>
      <w:r>
        <w:tab/>
        <w:t>The State party also argued that the communication was inadmissible under article 4 (2) (c) of the Optional Protocol because it was manifestly ill-founded. The State party suggested that the author had completely failed to substantiate why or how her daughter</w:t>
      </w:r>
      <w:r w:rsidR="00D26A2A">
        <w:t>’</w:t>
      </w:r>
      <w:r>
        <w:t>s and her own rights under the articles invoked had been violated and to indicate in what manner specific decisions, acts or omissions by the Danish authorities had allegedly entailed a violation of those rights. Furthermore, no specific information on factual issues, including dates or court decisions, had been provided.</w:t>
      </w:r>
      <w:r w:rsidR="008F6469">
        <w:t xml:space="preserve"> </w:t>
      </w:r>
    </w:p>
    <w:p w14:paraId="1562A0B7" w14:textId="77777777" w:rsidR="009375B7" w:rsidRDefault="009375B7" w:rsidP="009375B7">
      <w:pPr>
        <w:pStyle w:val="SingleTxt"/>
      </w:pPr>
      <w:r>
        <w:t>4.4</w:t>
      </w:r>
      <w:r>
        <w:tab/>
        <w:t>Lastly, the State party argued that the communication was inadmissible under article 4 (2) (d) of the Optional Protocol because it constituted an abuse of the right to submit a communication. The State party noted that the author was solely seeking to obtain an additional review of the question of custody and to use the Committee as an additional forum fo</w:t>
      </w:r>
      <w:r w:rsidR="009C797A">
        <w:t xml:space="preserve">r appeal, or </w:t>
      </w:r>
      <w:r w:rsidR="00D26A2A">
        <w:t>“</w:t>
      </w:r>
      <w:r w:rsidR="009C797A">
        <w:t>fourth instance</w:t>
      </w:r>
      <w:r w:rsidR="00D26A2A">
        <w:t>”</w:t>
      </w:r>
      <w:r w:rsidR="009C797A">
        <w:t>.</w:t>
      </w:r>
      <w:r w:rsidR="008F6469">
        <w:t xml:space="preserve"> </w:t>
      </w:r>
    </w:p>
    <w:p w14:paraId="03BC58C3" w14:textId="77777777" w:rsidR="009C797A" w:rsidRPr="009C797A" w:rsidRDefault="009C797A" w:rsidP="009C797A">
      <w:pPr>
        <w:pStyle w:val="SingleTxt"/>
        <w:spacing w:after="0" w:line="120" w:lineRule="exact"/>
        <w:rPr>
          <w:sz w:val="10"/>
        </w:rPr>
      </w:pPr>
    </w:p>
    <w:p w14:paraId="6BA5E0DE" w14:textId="77777777" w:rsidR="009375B7" w:rsidRDefault="009375B7" w:rsidP="009C797A">
      <w:pPr>
        <w:pStyle w:val="H23"/>
        <w:ind w:right="1260"/>
      </w:pPr>
      <w:r>
        <w:tab/>
      </w:r>
      <w:r>
        <w:tab/>
        <w:t>Author</w:t>
      </w:r>
      <w:r w:rsidR="00D26A2A">
        <w:t>’</w:t>
      </w:r>
      <w:r>
        <w:t>s comments on the State party</w:t>
      </w:r>
      <w:r w:rsidR="00D26A2A">
        <w:t>’</w:t>
      </w:r>
      <w:r>
        <w:t>s observations</w:t>
      </w:r>
      <w:r w:rsidR="008F6469">
        <w:t xml:space="preserve"> </w:t>
      </w:r>
    </w:p>
    <w:p w14:paraId="55B08F0C" w14:textId="77777777" w:rsidR="009C797A" w:rsidRPr="009C797A" w:rsidRDefault="009C797A" w:rsidP="009C797A">
      <w:pPr>
        <w:pStyle w:val="SingleTxt"/>
        <w:spacing w:after="0" w:line="120" w:lineRule="exact"/>
        <w:rPr>
          <w:sz w:val="10"/>
        </w:rPr>
      </w:pPr>
    </w:p>
    <w:p w14:paraId="716C9680" w14:textId="77777777" w:rsidR="009375B7" w:rsidRDefault="009375B7" w:rsidP="009375B7">
      <w:pPr>
        <w:pStyle w:val="SingleTxt"/>
      </w:pPr>
      <w:r>
        <w:t>5.1</w:t>
      </w:r>
      <w:r>
        <w:tab/>
        <w:t>On 8 July 2013, the author challenged the State party</w:t>
      </w:r>
      <w:r w:rsidR="00D26A2A">
        <w:t>’</w:t>
      </w:r>
      <w:r>
        <w:t xml:space="preserve">s observations. She noted that she had previously sought to exhaust domestic remedies by filing an appeal with the High Court of Western Denmark, but that such remedies were </w:t>
      </w:r>
      <w:r>
        <w:lastRenderedPageBreak/>
        <w:t>ineffective because of the judicial bias in favour of Danish men. She noted that the Committee had found that domestic remedies did not have to be exhausted where they were unreasonably prolonged or unlikely to bring effective relief. She added that, in cases of domestic violence, the Committee had evaluated the requirement of exhaustion of domestic remedies in the light of the failure by the police to properly and thoroughly investigate and protect the applicants.</w:t>
      </w:r>
      <w:r w:rsidR="009C797A">
        <w:rPr>
          <w:rStyle w:val="FootnoteReference"/>
        </w:rPr>
        <w:footnoteReference w:id="4"/>
      </w:r>
      <w:r>
        <w:t xml:space="preserve"> She noted that, in her case, the relevant authorities had not exercised due diligence with regard to their obligation to effectively protect her and her daughter. She claimed that both she and her daughter had been subjected to threats, harassment and abuse by her ex-husband since 2009 and that she had been baselessly denied custody of her daughter. She also claimed that, as a foreign mother in Denmark, she was not allowed to participate in children</w:t>
      </w:r>
      <w:r w:rsidR="00D26A2A">
        <w:t>’</w:t>
      </w:r>
      <w:r>
        <w:t>s events at her daughter</w:t>
      </w:r>
      <w:r w:rsidR="00D26A2A">
        <w:t>’</w:t>
      </w:r>
      <w:r>
        <w:t xml:space="preserve">s kindergarten and that the holidays spent with her daughter had been reduced by the Danish authorities. </w:t>
      </w:r>
    </w:p>
    <w:p w14:paraId="6DD68FDA" w14:textId="77777777" w:rsidR="009375B7" w:rsidRDefault="009375B7" w:rsidP="009375B7">
      <w:pPr>
        <w:pStyle w:val="SingleTxt"/>
      </w:pPr>
      <w:r>
        <w:t>5.2</w:t>
      </w:r>
      <w:r>
        <w:tab/>
        <w:t xml:space="preserve">The author argued that she had provided the Committee with conclusive evidence of gender-based violence and the </w:t>
      </w:r>
      <w:r w:rsidR="00D26A2A">
        <w:t>“</w:t>
      </w:r>
      <w:r>
        <w:t>removal of their rights to family life</w:t>
      </w:r>
      <w:r w:rsidR="00D26A2A">
        <w:t>”</w:t>
      </w:r>
      <w:r>
        <w:t>, a form of gender-based discrimination. She recalled the Committee</w:t>
      </w:r>
      <w:r w:rsidR="00D26A2A">
        <w:t>’</w:t>
      </w:r>
      <w:r>
        <w:t>s jurisprudence that State parties had a responsibility to act with due diligence to prevent violations of rights by individuals or to investigate and punish acts of violence, and to provide compensation.</w:t>
      </w:r>
      <w:r w:rsidR="008F6469">
        <w:t xml:space="preserve"> </w:t>
      </w:r>
    </w:p>
    <w:p w14:paraId="5B599900" w14:textId="77777777" w:rsidR="009375B7" w:rsidRDefault="009375B7" w:rsidP="009375B7">
      <w:pPr>
        <w:pStyle w:val="SingleTxt"/>
      </w:pPr>
      <w:r>
        <w:t>5.3</w:t>
      </w:r>
      <w:r>
        <w:tab/>
        <w:t>The author questioned the assertion that the adoption of the national-level decisions had taken into account the best interest of the child. She argued that her ex-husband had been granted custody simply because he was ethnically Danish, adding that it was inhumane that her daughter was not allowed to live with her.</w:t>
      </w:r>
      <w:r w:rsidR="008F6469">
        <w:t xml:space="preserve"> </w:t>
      </w:r>
    </w:p>
    <w:p w14:paraId="174F8A1E" w14:textId="77777777" w:rsidR="009C797A" w:rsidRPr="009C797A" w:rsidRDefault="009C797A" w:rsidP="009C797A">
      <w:pPr>
        <w:pStyle w:val="SingleTxt"/>
        <w:spacing w:after="0" w:line="120" w:lineRule="exact"/>
        <w:rPr>
          <w:sz w:val="10"/>
        </w:rPr>
      </w:pPr>
    </w:p>
    <w:p w14:paraId="617250B3" w14:textId="77777777" w:rsidR="009375B7" w:rsidRDefault="009375B7" w:rsidP="009C797A">
      <w:pPr>
        <w:pStyle w:val="H23"/>
        <w:ind w:right="1260"/>
      </w:pPr>
      <w:r>
        <w:tab/>
      </w:r>
      <w:r>
        <w:tab/>
        <w:t>Issues and proceedings before the Committee concerning admissibility</w:t>
      </w:r>
      <w:r w:rsidR="008F6469">
        <w:t xml:space="preserve"> </w:t>
      </w:r>
    </w:p>
    <w:p w14:paraId="798EDEE1" w14:textId="77777777" w:rsidR="009C797A" w:rsidRPr="009C797A" w:rsidRDefault="009C797A" w:rsidP="009C797A">
      <w:pPr>
        <w:pStyle w:val="SingleTxt"/>
        <w:spacing w:after="0" w:line="120" w:lineRule="exact"/>
        <w:rPr>
          <w:sz w:val="10"/>
        </w:rPr>
      </w:pPr>
    </w:p>
    <w:p w14:paraId="7909679A" w14:textId="77777777" w:rsidR="009375B7" w:rsidRDefault="009375B7" w:rsidP="009375B7">
      <w:pPr>
        <w:pStyle w:val="SingleTxt"/>
      </w:pPr>
      <w:r>
        <w:t>6.1</w:t>
      </w:r>
      <w:r>
        <w:tab/>
        <w:t>At the State party</w:t>
      </w:r>
      <w:r w:rsidR="00D26A2A">
        <w:t>’</w:t>
      </w:r>
      <w:r>
        <w:t>s request, the Working Group on Communications under the Optional Protocol, acting on behalf of the Committee, decided, pursuant to rule 66 of the Committee</w:t>
      </w:r>
      <w:r w:rsidR="00D26A2A">
        <w:t>’</w:t>
      </w:r>
      <w:r>
        <w:t>s rules of procedure, to examine the admissibility of the communication separately from the merits.</w:t>
      </w:r>
      <w:r w:rsidR="008F6469">
        <w:t xml:space="preserve"> </w:t>
      </w:r>
    </w:p>
    <w:p w14:paraId="78D88789" w14:textId="77777777" w:rsidR="009375B7" w:rsidRDefault="009375B7" w:rsidP="009375B7">
      <w:pPr>
        <w:pStyle w:val="SingleTxt"/>
      </w:pPr>
      <w:r>
        <w:t>6.2</w:t>
      </w:r>
      <w:r>
        <w:tab/>
        <w:t>In accordance with rule 64 of its rules of procedure, the Committee must decide whether the communication is admissible under the Optional Protocol. Pursuant to rule 72 (4), it is to do so before considering the merits of the communication.</w:t>
      </w:r>
      <w:r w:rsidR="008F6469">
        <w:t xml:space="preserve"> </w:t>
      </w:r>
    </w:p>
    <w:p w14:paraId="25D49812" w14:textId="77777777" w:rsidR="009375B7" w:rsidRDefault="009375B7" w:rsidP="009375B7">
      <w:pPr>
        <w:pStyle w:val="SingleTxt"/>
      </w:pPr>
      <w:r>
        <w:t>6.3</w:t>
      </w:r>
      <w:r>
        <w:tab/>
        <w:t xml:space="preserve"> The Committee notes that the author has not submitted sufficient and relevant documentation and information in support of her communication, such as the child welfare report and, in particular, the court proceedings and the court judgements, the several reminders sent to her to that effect notwithstanding. In that regard, the Committee notes that, at its request, the State party submitted, on 29 June 2015, some translations of court judgements and trial transcripts.</w:t>
      </w:r>
      <w:r w:rsidR="008F6469">
        <w:t xml:space="preserve"> </w:t>
      </w:r>
    </w:p>
    <w:p w14:paraId="67DAA368" w14:textId="77777777" w:rsidR="009375B7" w:rsidRDefault="009375B7" w:rsidP="009375B7">
      <w:pPr>
        <w:pStyle w:val="SingleTxt"/>
      </w:pPr>
      <w:r>
        <w:t>6.4</w:t>
      </w:r>
      <w:r>
        <w:tab/>
        <w:t xml:space="preserve"> The Committee has taken note of the author</w:t>
      </w:r>
      <w:r w:rsidR="00D26A2A">
        <w:t>’</w:t>
      </w:r>
      <w:r>
        <w:t>s claims under articles 2 (d), 5</w:t>
      </w:r>
      <w:r w:rsidR="008F6469">
        <w:t xml:space="preserve"> </w:t>
      </w:r>
      <w:r>
        <w:t xml:space="preserve">and 16 (1) (d) of the Convention. It notes that the author has provided no information and explanations in support of her claims. In addition, the Committee notes that it does not examine allegations or claims of a general nature such as those expressed in paragraph 3.2. In the absence of any other pertinent information on </w:t>
      </w:r>
      <w:r>
        <w:lastRenderedPageBreak/>
        <w:t>file, the Committee considers that the communication is inadmissible under article</w:t>
      </w:r>
      <w:r w:rsidR="00126C46">
        <w:t> </w:t>
      </w:r>
      <w:r>
        <w:t>4</w:t>
      </w:r>
      <w:r w:rsidR="00126C46">
        <w:t> </w:t>
      </w:r>
      <w:r>
        <w:t xml:space="preserve">(2) (c) of the Optional Protocol as insufficiently substantiated. </w:t>
      </w:r>
    </w:p>
    <w:p w14:paraId="49BBC7D0" w14:textId="77777777" w:rsidR="009375B7" w:rsidRDefault="009375B7" w:rsidP="009375B7">
      <w:pPr>
        <w:pStyle w:val="SingleTxt"/>
      </w:pPr>
      <w:r>
        <w:t>6.5</w:t>
      </w:r>
      <w:r w:rsidR="009C797A">
        <w:tab/>
      </w:r>
      <w:r>
        <w:t>In the light of that conclusion, the Committee decides not to examine any other inadmissibility ground.</w:t>
      </w:r>
      <w:r w:rsidR="008F6469">
        <w:t xml:space="preserve"> </w:t>
      </w:r>
    </w:p>
    <w:p w14:paraId="43ED5A24" w14:textId="77777777" w:rsidR="009375B7" w:rsidRDefault="009375B7" w:rsidP="009375B7">
      <w:pPr>
        <w:pStyle w:val="SingleTxt"/>
      </w:pPr>
      <w:r>
        <w:t>7.</w:t>
      </w:r>
      <w:r>
        <w:tab/>
        <w:t>The Committee therefore decides:</w:t>
      </w:r>
      <w:r w:rsidR="008F6469">
        <w:t xml:space="preserve"> </w:t>
      </w:r>
    </w:p>
    <w:p w14:paraId="03A80048" w14:textId="77777777" w:rsidR="009375B7" w:rsidRDefault="009375B7" w:rsidP="009375B7">
      <w:pPr>
        <w:pStyle w:val="SingleTxt"/>
      </w:pPr>
      <w:r>
        <w:tab/>
        <w:t>(a)</w:t>
      </w:r>
      <w:r>
        <w:tab/>
        <w:t>That the communication is inadmissible under article 4 (2) (c) of the Optional Protocol;</w:t>
      </w:r>
      <w:r w:rsidR="008F6469">
        <w:t xml:space="preserve"> </w:t>
      </w:r>
    </w:p>
    <w:p w14:paraId="5F1F7E88" w14:textId="77777777" w:rsidR="009375B7" w:rsidRDefault="009375B7" w:rsidP="009375B7">
      <w:pPr>
        <w:pStyle w:val="SingleTxt"/>
      </w:pPr>
      <w:r>
        <w:tab/>
        <w:t>(b)</w:t>
      </w:r>
      <w:r>
        <w:tab/>
        <w:t>That this decision shall be communicated to the State party and to the author.</w:t>
      </w:r>
      <w:r w:rsidR="008F6469">
        <w:t xml:space="preserve"> </w:t>
      </w:r>
    </w:p>
    <w:p w14:paraId="5645FFF8" w14:textId="77777777" w:rsidR="00981F35" w:rsidRPr="009375B7" w:rsidRDefault="009C797A" w:rsidP="00981F35">
      <w:pPr>
        <w:pStyle w:val="SingleTxt"/>
      </w:pPr>
      <w:r>
        <w:rPr>
          <w:noProof/>
          <w:w w:val="100"/>
          <w:lang w:val="en-US"/>
        </w:rPr>
        <mc:AlternateContent>
          <mc:Choice Requires="wps">
            <w:drawing>
              <wp:anchor distT="0" distB="0" distL="114300" distR="114300" simplePos="0" relativeHeight="251659264" behindDoc="0" locked="0" layoutInCell="1" allowOverlap="1" wp14:anchorId="5679C1C2" wp14:editId="180B0233">
                <wp:simplePos x="0" y="0"/>
                <wp:positionH relativeFrom="column">
                  <wp:posOffset>2669540</wp:posOffset>
                </wp:positionH>
                <wp:positionV relativeFrom="paragraph">
                  <wp:posOffset>304800</wp:posOffset>
                </wp:positionV>
                <wp:extent cx="9144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0CFD22"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0.2pt,24pt" to="282.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" strokecolor="#010000" strokeweight=".25pt"/>
            </w:pict>
          </mc:Fallback>
        </mc:AlternateContent>
      </w:r>
    </w:p>
    <w:sectPr w:rsidR="00981F35" w:rsidRPr="009375B7" w:rsidSect="00981F35">
      <w:endnotePr>
        <w:numFmt w:val="decimal"/>
      </w:endnotePr>
      <w:type w:val="continuous"/>
      <w:pgSz w:w="12240" w:h="15840" w:code="1"/>
      <w:pgMar w:top="1742" w:right="1200" w:bottom="1898" w:left="1200" w:header="576" w:footer="1030" w:gutter="0"/>
      <w:pgNumType w:start="1"/>
      <w:cols w:space="720"/>
      <w:noEndnote/>
      <w:docGrid w:linePitch="278"/>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tart" w:date="2015-11-02T10:25:00Z" w:initials="Start">
    <w:p w14:paraId="79602661" w14:textId="77777777" w:rsidR="00981F35" w:rsidRDefault="00981F35">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&lt;&lt;ODS JOB NO&gt;&gt;N1526417E&lt;&lt;ODS JOB NO&gt;&gt;</w:t>
      </w:r>
    </w:p>
    <w:p w14:paraId="78AD5EDB" w14:textId="77777777" w:rsidR="00981F35" w:rsidRDefault="00981F35">
      <w:pPr>
        <w:pStyle w:val="CommentText"/>
      </w:pPr>
      <w:r>
        <w:t>&lt;&lt;ODS DOC SYMBOL1&gt;&gt;CEDAW/C/61/D/50/2013&lt;&lt;ODS DOC SYMBOL1&gt;&gt;</w:t>
      </w:r>
    </w:p>
    <w:p w14:paraId="2E1CEF12" w14:textId="77777777" w:rsidR="00981F35" w:rsidRDefault="00981F35">
      <w:pPr>
        <w:pStyle w:val="CommentText"/>
      </w:pPr>
      <w:r>
        <w:t>&lt;&lt;ODS DOC SYMBOL2&gt;&gt;&lt;&lt;ODS DOC SYMBOL2&gt;&gt;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E1CEF1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8FE81C" w14:textId="77777777" w:rsidR="00276E16" w:rsidRDefault="00276E16">
      <w:r>
        <w:separator/>
      </w:r>
    </w:p>
  </w:endnote>
  <w:endnote w:type="continuationSeparator" w:id="0">
    <w:p w14:paraId="5620AAB3" w14:textId="77777777" w:rsidR="00276E16" w:rsidRDefault="00276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rcode 3 of 9 by request">
    <w:altName w:val="Trebuchet MS"/>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Layout w:type="fixed"/>
      <w:tblLook w:val="0000" w:firstRow="0" w:lastRow="0" w:firstColumn="0" w:lastColumn="0" w:noHBand="0" w:noVBand="0"/>
    </w:tblPr>
    <w:tblGrid>
      <w:gridCol w:w="5028"/>
      <w:gridCol w:w="5028"/>
    </w:tblGrid>
    <w:tr w:rsidR="00981F35" w14:paraId="798C389D" w14:textId="77777777" w:rsidTr="00981F35">
      <w:tc>
        <w:tcPr>
          <w:tcW w:w="5028" w:type="dxa"/>
          <w:shd w:val="clear" w:color="auto" w:fill="auto"/>
        </w:tcPr>
        <w:p w14:paraId="2BB6D661" w14:textId="77777777" w:rsidR="00981F35" w:rsidRPr="00981F35" w:rsidRDefault="00981F35" w:rsidP="00981F35">
          <w:pPr>
            <w:pStyle w:val="Footer"/>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FB6776">
            <w:rPr>
              <w:b w:val="0"/>
              <w:w w:val="103"/>
              <w:sz w:val="14"/>
            </w:rPr>
            <w:t>15-14367</w:t>
          </w:r>
          <w:r>
            <w:rPr>
              <w:b w:val="0"/>
              <w:w w:val="103"/>
              <w:sz w:val="14"/>
            </w:rPr>
            <w:fldChar w:fldCharType="end"/>
          </w:r>
        </w:p>
      </w:tc>
      <w:tc>
        <w:tcPr>
          <w:tcW w:w="5028" w:type="dxa"/>
          <w:shd w:val="clear" w:color="auto" w:fill="auto"/>
        </w:tcPr>
        <w:p w14:paraId="204B085A" w14:textId="77777777" w:rsidR="00981F35" w:rsidRPr="00981F35" w:rsidRDefault="00981F35" w:rsidP="00981F35">
          <w:pPr>
            <w:pStyle w:val="Footer"/>
            <w:rPr>
              <w:w w:val="103"/>
            </w:rPr>
          </w:pPr>
          <w:r>
            <w:rPr>
              <w:w w:val="103"/>
            </w:rPr>
            <w:fldChar w:fldCharType="begin"/>
          </w:r>
          <w:r>
            <w:rPr>
              <w:w w:val="103"/>
            </w:rPr>
            <w:instrText xml:space="preserve"> PAGE  \* Arabic  \* MERGEFORMAT </w:instrText>
          </w:r>
          <w:r>
            <w:rPr>
              <w:w w:val="103"/>
            </w:rPr>
            <w:fldChar w:fldCharType="separate"/>
          </w:r>
          <w:r w:rsidR="00C646B7">
            <w:rPr>
              <w:w w:val="103"/>
            </w:rPr>
            <w:t>2</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C646B7">
            <w:rPr>
              <w:w w:val="103"/>
            </w:rPr>
            <w:t>6</w:t>
          </w:r>
          <w:r>
            <w:rPr>
              <w:w w:val="103"/>
            </w:rPr>
            <w:fldChar w:fldCharType="end"/>
          </w:r>
        </w:p>
      </w:tc>
    </w:tr>
  </w:tbl>
  <w:p w14:paraId="1364C9A9" w14:textId="77777777" w:rsidR="00981F35" w:rsidRPr="00981F35" w:rsidRDefault="00981F35" w:rsidP="00981F3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Layout w:type="fixed"/>
      <w:tblLook w:val="0000" w:firstRow="0" w:lastRow="0" w:firstColumn="0" w:lastColumn="0" w:noHBand="0" w:noVBand="0"/>
    </w:tblPr>
    <w:tblGrid>
      <w:gridCol w:w="5028"/>
      <w:gridCol w:w="5028"/>
    </w:tblGrid>
    <w:tr w:rsidR="00981F35" w14:paraId="57FA206E" w14:textId="77777777" w:rsidTr="00981F35">
      <w:tc>
        <w:tcPr>
          <w:tcW w:w="5028" w:type="dxa"/>
          <w:shd w:val="clear" w:color="auto" w:fill="auto"/>
        </w:tcPr>
        <w:p w14:paraId="39269C21" w14:textId="77777777" w:rsidR="00981F35" w:rsidRPr="00981F35" w:rsidRDefault="00981F35" w:rsidP="00981F35">
          <w:pPr>
            <w:pStyle w:val="Footer"/>
            <w:jc w:val="right"/>
            <w:rPr>
              <w:w w:val="103"/>
            </w:rPr>
          </w:pPr>
          <w:r>
            <w:rPr>
              <w:w w:val="103"/>
            </w:rPr>
            <w:fldChar w:fldCharType="begin"/>
          </w:r>
          <w:r>
            <w:rPr>
              <w:w w:val="103"/>
            </w:rPr>
            <w:instrText xml:space="preserve"> PAGE  \* Arabic  \* MERGEFORMAT </w:instrText>
          </w:r>
          <w:r>
            <w:rPr>
              <w:w w:val="103"/>
            </w:rPr>
            <w:fldChar w:fldCharType="separate"/>
          </w:r>
          <w:r w:rsidR="00C646B7">
            <w:rPr>
              <w:w w:val="103"/>
            </w:rPr>
            <w:t>3</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C646B7">
            <w:rPr>
              <w:w w:val="103"/>
            </w:rPr>
            <w:t>6</w:t>
          </w:r>
          <w:r>
            <w:rPr>
              <w:w w:val="103"/>
            </w:rPr>
            <w:fldChar w:fldCharType="end"/>
          </w:r>
        </w:p>
      </w:tc>
      <w:tc>
        <w:tcPr>
          <w:tcW w:w="5028" w:type="dxa"/>
          <w:shd w:val="clear" w:color="auto" w:fill="auto"/>
        </w:tcPr>
        <w:p w14:paraId="19406F4A" w14:textId="77777777" w:rsidR="00981F35" w:rsidRPr="00981F35" w:rsidRDefault="00981F35" w:rsidP="00981F35">
          <w:pPr>
            <w:pStyle w:val="Footer"/>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FB6776">
            <w:rPr>
              <w:b w:val="0"/>
              <w:w w:val="103"/>
              <w:sz w:val="14"/>
            </w:rPr>
            <w:t>15-14367</w:t>
          </w:r>
          <w:r>
            <w:rPr>
              <w:b w:val="0"/>
              <w:w w:val="103"/>
              <w:sz w:val="14"/>
            </w:rPr>
            <w:fldChar w:fldCharType="end"/>
          </w:r>
        </w:p>
      </w:tc>
    </w:tr>
  </w:tbl>
  <w:p w14:paraId="31BAFECB" w14:textId="77777777" w:rsidR="00981F35" w:rsidRPr="00981F35" w:rsidRDefault="00981F35" w:rsidP="00981F3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000" w:firstRow="0" w:lastRow="0" w:firstColumn="0" w:lastColumn="0" w:noHBand="0" w:noVBand="0"/>
    </w:tblPr>
    <w:tblGrid>
      <w:gridCol w:w="3801"/>
      <w:gridCol w:w="5028"/>
    </w:tblGrid>
    <w:tr w:rsidR="00981F35" w14:paraId="1F4DAE65" w14:textId="77777777" w:rsidTr="00981F35">
      <w:tc>
        <w:tcPr>
          <w:tcW w:w="3801" w:type="dxa"/>
        </w:tcPr>
        <w:p w14:paraId="6690DEF6" w14:textId="77777777" w:rsidR="00981F35" w:rsidRDefault="00981F35" w:rsidP="00981F35">
          <w:pPr>
            <w:pStyle w:val="ReleaseDate"/>
          </w:pPr>
          <w:r>
            <w:rPr>
              <w:noProof/>
              <w:lang w:val="en-US"/>
            </w:rPr>
            <w:drawing>
              <wp:anchor distT="0" distB="0" distL="114300" distR="114300" simplePos="0" relativeHeight="251658240" behindDoc="0" locked="0" layoutInCell="1" allowOverlap="1" wp14:anchorId="19DCA881" wp14:editId="413923BF">
                <wp:simplePos x="0" y="0"/>
                <wp:positionH relativeFrom="column">
                  <wp:posOffset>5541010</wp:posOffset>
                </wp:positionH>
                <wp:positionV relativeFrom="paragraph">
                  <wp:posOffset>-365760</wp:posOffset>
                </wp:positionV>
                <wp:extent cx="694690" cy="694690"/>
                <wp:effectExtent l="0" t="0" r="0" b="0"/>
                <wp:wrapNone/>
                <wp:docPr id="3" name="Picture 3" descr="http://undocs.org/m2/QRCode2.ashx?DS=CEDAW/C/61/D/50/2013&amp;Size =1&amp;Lang =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CEDAW/C/61/D/50/2013&amp;Size =1&amp;Lang = 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t xml:space="preserve">15-14367 (E)    </w:t>
          </w:r>
          <w:r w:rsidR="008F6469">
            <w:t>06</w:t>
          </w:r>
          <w:r>
            <w:t xml:space="preserve">1115    </w:t>
          </w:r>
        </w:p>
        <w:p w14:paraId="5EC683CB" w14:textId="77777777" w:rsidR="00981F35" w:rsidRPr="00981F35" w:rsidRDefault="00981F35" w:rsidP="00981F35">
          <w:pPr>
            <w:pStyle w:val="Footer"/>
            <w:spacing w:before="80" w:line="210" w:lineRule="exact"/>
            <w:rPr>
              <w:rFonts w:ascii="Barcode 3 of 9 by request" w:hAnsi="Barcode 3 of 9 by request"/>
              <w:sz w:val="24"/>
              <w:lang w:val="en-GB"/>
            </w:rPr>
          </w:pPr>
          <w:r>
            <w:rPr>
              <w:rFonts w:ascii="Barcode 3 of 9 by request" w:hAnsi="Barcode 3 of 9 by request"/>
              <w:sz w:val="24"/>
              <w:lang w:val="en-GB"/>
            </w:rPr>
            <w:t>*1514367*</w:t>
          </w:r>
        </w:p>
      </w:tc>
      <w:tc>
        <w:tcPr>
          <w:tcW w:w="5028" w:type="dxa"/>
        </w:tcPr>
        <w:p w14:paraId="00BAF4CB" w14:textId="77777777" w:rsidR="00981F35" w:rsidRDefault="00981F35" w:rsidP="00981F35">
          <w:pPr>
            <w:pStyle w:val="Footer"/>
            <w:jc w:val="right"/>
            <w:rPr>
              <w:b w:val="0"/>
              <w:sz w:val="20"/>
            </w:rPr>
          </w:pPr>
          <w:r>
            <w:rPr>
              <w:b w:val="0"/>
              <w:sz w:val="20"/>
            </w:rPr>
            <w:drawing>
              <wp:inline distT="0" distB="0" distL="0" distR="0" wp14:anchorId="481D29C8" wp14:editId="21D8BDDE">
                <wp:extent cx="929642" cy="231648"/>
                <wp:effectExtent l="0" t="0" r="381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929642" cy="231648"/>
                        </a:xfrm>
                        <a:prstGeom prst="rect">
                          <a:avLst/>
                        </a:prstGeom>
                      </pic:spPr>
                    </pic:pic>
                  </a:graphicData>
                </a:graphic>
              </wp:inline>
            </w:drawing>
          </w:r>
        </w:p>
      </w:tc>
    </w:tr>
  </w:tbl>
  <w:p w14:paraId="02281756" w14:textId="77777777" w:rsidR="00981F35" w:rsidRPr="00981F35" w:rsidRDefault="00981F35" w:rsidP="00981F35">
    <w:pPr>
      <w:pStyle w:val="Footer"/>
      <w:spacing w:line="56" w:lineRule="auto"/>
      <w:rPr>
        <w:b w:val="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43EA46" w14:textId="77777777" w:rsidR="00276E16" w:rsidRPr="008F6469" w:rsidRDefault="00276E16" w:rsidP="008F6469">
      <w:pPr>
        <w:pStyle w:val="Footer"/>
        <w:spacing w:after="80"/>
        <w:ind w:left="792"/>
        <w:rPr>
          <w:sz w:val="16"/>
        </w:rPr>
      </w:pPr>
      <w:r w:rsidRPr="008F6469">
        <w:rPr>
          <w:sz w:val="16"/>
        </w:rPr>
        <w:t>__________________</w:t>
      </w:r>
    </w:p>
  </w:footnote>
  <w:footnote w:type="continuationSeparator" w:id="0">
    <w:p w14:paraId="66CAA931" w14:textId="77777777" w:rsidR="00276E16" w:rsidRPr="008F6469" w:rsidRDefault="00276E16" w:rsidP="008F6469">
      <w:pPr>
        <w:pStyle w:val="Footer"/>
        <w:spacing w:after="80"/>
        <w:ind w:left="792"/>
        <w:rPr>
          <w:sz w:val="16"/>
        </w:rPr>
      </w:pPr>
      <w:r w:rsidRPr="008F6469">
        <w:rPr>
          <w:sz w:val="16"/>
        </w:rPr>
        <w:t>__________________</w:t>
      </w:r>
    </w:p>
  </w:footnote>
  <w:footnote w:id="1">
    <w:p w14:paraId="12F8A9D2" w14:textId="77777777" w:rsidR="008F6469" w:rsidRPr="008F6469" w:rsidRDefault="008F6469" w:rsidP="008F6469">
      <w:pPr>
        <w:pStyle w:val="FootnoteText"/>
        <w:tabs>
          <w:tab w:val="clear" w:pos="418"/>
          <w:tab w:val="right" w:pos="1195"/>
          <w:tab w:val="left" w:pos="1267"/>
          <w:tab w:val="left" w:pos="1742"/>
          <w:tab w:val="left" w:pos="2218"/>
          <w:tab w:val="left" w:pos="2693"/>
        </w:tabs>
        <w:ind w:left="1267" w:right="1260" w:hanging="432"/>
        <w:rPr>
          <w:lang w:val="en-US"/>
        </w:rPr>
      </w:pPr>
      <w:r>
        <w:tab/>
      </w:r>
      <w:r w:rsidRPr="008F6469">
        <w:rPr>
          <w:rStyle w:val="FootnoteReference"/>
          <w:vertAlign w:val="baseline"/>
        </w:rPr>
        <w:t>*</w:t>
      </w:r>
      <w:r w:rsidRPr="008F6469">
        <w:t xml:space="preserve"> </w:t>
      </w:r>
      <w:r>
        <w:tab/>
      </w:r>
      <w:r w:rsidRPr="008F6469">
        <w:t>The following members of the Committee took part in the consideration of the present communication: Ayse Feride Acar, Gladys Acosta Vargas, Nicole Ameline, Magalys Arocha Dominguez, Barbara Bailey, Niklas Bruun, Louiza Chalal, Náela Gabr, Hilary Gbedemah, Nahla Haidar, Ruth Halperin-Kaddari, Lilian Hofmeister, Ismat Jahan, Dalia Leinarte, Lia Nadaraia, Theodora Nwankwo, Pramila Patten, Biancamaria Pomeranz, Patricia Schulz and Xiaoqiao Zou.</w:t>
      </w:r>
      <w:r>
        <w:t xml:space="preserve"> </w:t>
      </w:r>
    </w:p>
  </w:footnote>
  <w:footnote w:id="2">
    <w:p w14:paraId="68978B4B" w14:textId="77777777" w:rsidR="00DE3FEA" w:rsidRPr="00DE3FEA" w:rsidRDefault="00DE3FEA" w:rsidP="008F6469">
      <w:pPr>
        <w:pStyle w:val="FootnoteText"/>
        <w:tabs>
          <w:tab w:val="clear" w:pos="418"/>
          <w:tab w:val="right" w:pos="1195"/>
          <w:tab w:val="left" w:pos="1267"/>
          <w:tab w:val="left" w:pos="1742"/>
          <w:tab w:val="left" w:pos="2218"/>
          <w:tab w:val="left" w:pos="2693"/>
        </w:tabs>
        <w:ind w:left="1267" w:right="1260" w:hanging="432"/>
        <w:rPr>
          <w:lang w:val="en-US"/>
        </w:rPr>
      </w:pPr>
      <w:r>
        <w:tab/>
      </w:r>
      <w:r>
        <w:rPr>
          <w:rStyle w:val="FootnoteReference"/>
        </w:rPr>
        <w:footnoteRef/>
      </w:r>
      <w:r>
        <w:t xml:space="preserve"> </w:t>
      </w:r>
      <w:r>
        <w:tab/>
      </w:r>
      <w:r w:rsidRPr="00DE3FEA">
        <w:t>While her daughter’s date of birth has not been provided, the author states that her daughter was 4 years old when she submitted the communication to the Committee.</w:t>
      </w:r>
      <w:r w:rsidR="008F6469">
        <w:t xml:space="preserve"> </w:t>
      </w:r>
    </w:p>
  </w:footnote>
  <w:footnote w:id="3">
    <w:p w14:paraId="18C7AA52" w14:textId="77777777" w:rsidR="00DE3FEA" w:rsidRPr="00DE3FEA" w:rsidRDefault="00DE3FEA" w:rsidP="008F6469">
      <w:pPr>
        <w:pStyle w:val="FootnoteText"/>
        <w:tabs>
          <w:tab w:val="clear" w:pos="418"/>
          <w:tab w:val="right" w:pos="1195"/>
          <w:tab w:val="left" w:pos="1267"/>
          <w:tab w:val="left" w:pos="1742"/>
          <w:tab w:val="left" w:pos="2218"/>
          <w:tab w:val="left" w:pos="2693"/>
        </w:tabs>
        <w:ind w:left="1267" w:right="1260" w:hanging="432"/>
        <w:rPr>
          <w:lang w:val="en-US"/>
        </w:rPr>
      </w:pPr>
      <w:r>
        <w:tab/>
      </w:r>
      <w:r>
        <w:rPr>
          <w:rStyle w:val="FootnoteReference"/>
        </w:rPr>
        <w:footnoteRef/>
      </w:r>
      <w:r>
        <w:t xml:space="preserve"> </w:t>
      </w:r>
      <w:r>
        <w:tab/>
      </w:r>
      <w:r w:rsidRPr="00DE3FEA">
        <w:t xml:space="preserve">The State party cites the Committee’s decisions in communication No. 8/2005, </w:t>
      </w:r>
      <w:r w:rsidRPr="00DE3FEA">
        <w:rPr>
          <w:i/>
        </w:rPr>
        <w:t>Kayhan v. Turkey</w:t>
      </w:r>
      <w:r w:rsidRPr="00DE3FEA">
        <w:t>, decision of inadmissibility adopted on 27 January 2006, para. 7.7, and communication No.</w:t>
      </w:r>
      <w:r w:rsidR="009C797A">
        <w:t> </w:t>
      </w:r>
      <w:r w:rsidRPr="00DE3FEA">
        <w:t xml:space="preserve">10/2005, </w:t>
      </w:r>
      <w:r w:rsidRPr="00DE3FEA">
        <w:rPr>
          <w:i/>
        </w:rPr>
        <w:t>N.S.F. v. the United Kingdom of Great Britain and Northern Ireland</w:t>
      </w:r>
      <w:r w:rsidRPr="00DE3FEA">
        <w:t>, decision of inadmissibility adopted on 30 May 2007, para. 7.3.</w:t>
      </w:r>
      <w:r w:rsidR="008F6469">
        <w:t xml:space="preserve"> </w:t>
      </w:r>
    </w:p>
  </w:footnote>
  <w:footnote w:id="4">
    <w:p w14:paraId="3EDDB8BF" w14:textId="77777777" w:rsidR="009C797A" w:rsidRPr="009C797A" w:rsidRDefault="009C797A" w:rsidP="008F6469">
      <w:pPr>
        <w:pStyle w:val="FootnoteText"/>
        <w:tabs>
          <w:tab w:val="clear" w:pos="418"/>
          <w:tab w:val="right" w:pos="1195"/>
          <w:tab w:val="left" w:pos="1267"/>
          <w:tab w:val="left" w:pos="1742"/>
          <w:tab w:val="left" w:pos="2218"/>
          <w:tab w:val="left" w:pos="2693"/>
        </w:tabs>
        <w:ind w:left="1267" w:right="1260" w:hanging="432"/>
        <w:rPr>
          <w:lang w:val="en-US"/>
        </w:rPr>
      </w:pPr>
      <w:r>
        <w:tab/>
      </w:r>
      <w:r>
        <w:rPr>
          <w:rStyle w:val="FootnoteReference"/>
        </w:rPr>
        <w:footnoteRef/>
      </w:r>
      <w:r>
        <w:t xml:space="preserve"> </w:t>
      </w:r>
      <w:r>
        <w:tab/>
      </w:r>
      <w:r w:rsidRPr="009C797A">
        <w:t xml:space="preserve">The author invokes the Committee’s decision in communication No. 2/2003, </w:t>
      </w:r>
      <w:r w:rsidRPr="009C797A">
        <w:rPr>
          <w:i/>
        </w:rPr>
        <w:t>A.T. v. Hungary</w:t>
      </w:r>
      <w:r w:rsidRPr="009C797A">
        <w:t xml:space="preserve">, views adopted on 26 January 2005, and communication No. 20/2008, </w:t>
      </w:r>
      <w:r w:rsidRPr="009C797A">
        <w:rPr>
          <w:i/>
        </w:rPr>
        <w:t>V.K. v. Bulgaria</w:t>
      </w:r>
      <w:r w:rsidRPr="009C797A">
        <w:t>, views adopted on 25 July 2011.</w:t>
      </w:r>
      <w:r w:rsidR="008F6469">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66" w:type="dxa"/>
      <w:tblBorders>
        <w:bottom w:val="single" w:sz="2" w:space="0" w:color="000000"/>
      </w:tblBorders>
      <w:tblLayout w:type="fixed"/>
      <w:tblCellMar>
        <w:left w:w="0" w:type="dxa"/>
        <w:right w:w="0" w:type="dxa"/>
      </w:tblCellMar>
      <w:tblLook w:val="0000" w:firstRow="0" w:lastRow="0" w:firstColumn="0" w:lastColumn="0" w:noHBand="0" w:noVBand="0"/>
    </w:tblPr>
    <w:tblGrid>
      <w:gridCol w:w="4838"/>
      <w:gridCol w:w="5028"/>
    </w:tblGrid>
    <w:tr w:rsidR="00981F35" w14:paraId="14FF8780" w14:textId="77777777" w:rsidTr="00981F35">
      <w:trPr>
        <w:trHeight w:hRule="exact" w:val="864"/>
      </w:trPr>
      <w:tc>
        <w:tcPr>
          <w:tcW w:w="4838" w:type="dxa"/>
          <w:shd w:val="clear" w:color="auto" w:fill="auto"/>
          <w:vAlign w:val="bottom"/>
        </w:tcPr>
        <w:p w14:paraId="2DAB1AFD" w14:textId="77777777" w:rsidR="00981F35" w:rsidRPr="00981F35" w:rsidRDefault="00981F35" w:rsidP="00981F35">
          <w:pPr>
            <w:pStyle w:val="Header"/>
            <w:spacing w:after="80"/>
            <w:rPr>
              <w:b/>
            </w:rPr>
          </w:pPr>
          <w:r>
            <w:rPr>
              <w:b/>
            </w:rPr>
            <w:fldChar w:fldCharType="begin"/>
          </w:r>
          <w:r>
            <w:rPr>
              <w:b/>
            </w:rPr>
            <w:instrText xml:space="preserve"> DOCVARIABLE "sss1" \* MERGEFORMAT </w:instrText>
          </w:r>
          <w:r>
            <w:rPr>
              <w:b/>
            </w:rPr>
            <w:fldChar w:fldCharType="separate"/>
          </w:r>
          <w:r w:rsidR="00FB6776">
            <w:rPr>
              <w:b/>
            </w:rPr>
            <w:t>CEDAW/C/61/D/50/2013</w:t>
          </w:r>
          <w:r>
            <w:rPr>
              <w:b/>
            </w:rPr>
            <w:fldChar w:fldCharType="end"/>
          </w:r>
        </w:p>
      </w:tc>
      <w:tc>
        <w:tcPr>
          <w:tcW w:w="5028" w:type="dxa"/>
          <w:shd w:val="clear" w:color="auto" w:fill="auto"/>
          <w:vAlign w:val="bottom"/>
        </w:tcPr>
        <w:p w14:paraId="18371A7A" w14:textId="77777777" w:rsidR="00981F35" w:rsidRDefault="00981F35" w:rsidP="00981F35">
          <w:pPr>
            <w:pStyle w:val="Header"/>
          </w:pPr>
        </w:p>
      </w:tc>
    </w:tr>
  </w:tbl>
  <w:p w14:paraId="29FDF06D" w14:textId="77777777" w:rsidR="00981F35" w:rsidRPr="00981F35" w:rsidRDefault="00981F35" w:rsidP="00981F3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66" w:type="dxa"/>
      <w:tblBorders>
        <w:bottom w:val="single" w:sz="2" w:space="0" w:color="000000"/>
      </w:tblBorders>
      <w:tblLayout w:type="fixed"/>
      <w:tblCellMar>
        <w:left w:w="0" w:type="dxa"/>
        <w:right w:w="0" w:type="dxa"/>
      </w:tblCellMar>
      <w:tblLook w:val="0000" w:firstRow="0" w:lastRow="0" w:firstColumn="0" w:lastColumn="0" w:noHBand="0" w:noVBand="0"/>
    </w:tblPr>
    <w:tblGrid>
      <w:gridCol w:w="4838"/>
      <w:gridCol w:w="5028"/>
    </w:tblGrid>
    <w:tr w:rsidR="00981F35" w14:paraId="50220FC6" w14:textId="77777777" w:rsidTr="00981F35">
      <w:trPr>
        <w:trHeight w:hRule="exact" w:val="864"/>
      </w:trPr>
      <w:tc>
        <w:tcPr>
          <w:tcW w:w="4838" w:type="dxa"/>
          <w:shd w:val="clear" w:color="auto" w:fill="auto"/>
          <w:vAlign w:val="bottom"/>
        </w:tcPr>
        <w:p w14:paraId="47553622" w14:textId="77777777" w:rsidR="00981F35" w:rsidRDefault="00981F35" w:rsidP="00981F35">
          <w:pPr>
            <w:pStyle w:val="Header"/>
          </w:pPr>
        </w:p>
      </w:tc>
      <w:tc>
        <w:tcPr>
          <w:tcW w:w="5028" w:type="dxa"/>
          <w:shd w:val="clear" w:color="auto" w:fill="auto"/>
          <w:vAlign w:val="bottom"/>
        </w:tcPr>
        <w:p w14:paraId="2B0A95D0" w14:textId="77777777" w:rsidR="00981F35" w:rsidRPr="00981F35" w:rsidRDefault="00981F35" w:rsidP="00981F35">
          <w:pPr>
            <w:pStyle w:val="Header"/>
            <w:spacing w:after="80"/>
            <w:jc w:val="right"/>
            <w:rPr>
              <w:b/>
            </w:rPr>
          </w:pPr>
          <w:r>
            <w:rPr>
              <w:b/>
            </w:rPr>
            <w:fldChar w:fldCharType="begin"/>
          </w:r>
          <w:r>
            <w:rPr>
              <w:b/>
            </w:rPr>
            <w:instrText xml:space="preserve"> DOCVARIABLE "sss1" \* MERGEFORMAT </w:instrText>
          </w:r>
          <w:r>
            <w:rPr>
              <w:b/>
            </w:rPr>
            <w:fldChar w:fldCharType="separate"/>
          </w:r>
          <w:r w:rsidR="00FB6776">
            <w:rPr>
              <w:b/>
            </w:rPr>
            <w:t>CEDAW/C/61/D/50/2013</w:t>
          </w:r>
          <w:r>
            <w:rPr>
              <w:b/>
            </w:rPr>
            <w:fldChar w:fldCharType="end"/>
          </w:r>
        </w:p>
      </w:tc>
    </w:tr>
  </w:tbl>
  <w:p w14:paraId="45C3F625" w14:textId="77777777" w:rsidR="00981F35" w:rsidRPr="00981F35" w:rsidRDefault="00981F35" w:rsidP="00981F3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07" w:type="dxa"/>
      <w:tblLayout w:type="fixed"/>
      <w:tblCellMar>
        <w:left w:w="0" w:type="dxa"/>
        <w:right w:w="0" w:type="dxa"/>
      </w:tblCellMar>
      <w:tblLook w:val="0000" w:firstRow="0" w:lastRow="0" w:firstColumn="0" w:lastColumn="0" w:noHBand="0" w:noVBand="0"/>
    </w:tblPr>
    <w:tblGrid>
      <w:gridCol w:w="1267"/>
      <w:gridCol w:w="1872"/>
      <w:gridCol w:w="245"/>
      <w:gridCol w:w="3110"/>
      <w:gridCol w:w="245"/>
      <w:gridCol w:w="3140"/>
      <w:gridCol w:w="28"/>
    </w:tblGrid>
    <w:tr w:rsidR="00981F35" w14:paraId="219965E5" w14:textId="77777777" w:rsidTr="00981F35">
      <w:trPr>
        <w:trHeight w:hRule="exact" w:val="864"/>
      </w:trPr>
      <w:tc>
        <w:tcPr>
          <w:tcW w:w="1267" w:type="dxa"/>
          <w:tcBorders>
            <w:bottom w:val="single" w:sz="4" w:space="0" w:color="auto"/>
          </w:tcBorders>
          <w:shd w:val="clear" w:color="auto" w:fill="auto"/>
          <w:vAlign w:val="bottom"/>
        </w:tcPr>
        <w:p w14:paraId="7F0C86B5" w14:textId="77777777" w:rsidR="00981F35" w:rsidRDefault="00981F35" w:rsidP="00981F35">
          <w:pPr>
            <w:pStyle w:val="Header"/>
            <w:spacing w:after="120"/>
          </w:pPr>
        </w:p>
      </w:tc>
      <w:tc>
        <w:tcPr>
          <w:tcW w:w="1872" w:type="dxa"/>
          <w:tcBorders>
            <w:bottom w:val="single" w:sz="4" w:space="0" w:color="auto"/>
          </w:tcBorders>
          <w:shd w:val="clear" w:color="auto" w:fill="auto"/>
          <w:vAlign w:val="bottom"/>
        </w:tcPr>
        <w:p w14:paraId="1E98C903" w14:textId="77777777" w:rsidR="00981F35" w:rsidRPr="00981F35" w:rsidRDefault="00981F35" w:rsidP="00981F35">
          <w:pPr>
            <w:pStyle w:val="HCh"/>
            <w:spacing w:after="80"/>
            <w:rPr>
              <w:b w:val="0"/>
              <w:spacing w:val="2"/>
              <w:w w:val="96"/>
            </w:rPr>
          </w:pPr>
          <w:r>
            <w:rPr>
              <w:b w:val="0"/>
              <w:spacing w:val="2"/>
              <w:w w:val="96"/>
            </w:rPr>
            <w:t>United Nations</w:t>
          </w:r>
        </w:p>
      </w:tc>
      <w:tc>
        <w:tcPr>
          <w:tcW w:w="245" w:type="dxa"/>
          <w:tcBorders>
            <w:bottom w:val="single" w:sz="4" w:space="0" w:color="auto"/>
          </w:tcBorders>
          <w:shd w:val="clear" w:color="auto" w:fill="auto"/>
          <w:vAlign w:val="bottom"/>
        </w:tcPr>
        <w:p w14:paraId="66644A49" w14:textId="77777777" w:rsidR="00981F35" w:rsidRDefault="00981F35" w:rsidP="00981F35">
          <w:pPr>
            <w:pStyle w:val="Header"/>
            <w:spacing w:after="120"/>
          </w:pPr>
        </w:p>
      </w:tc>
      <w:tc>
        <w:tcPr>
          <w:tcW w:w="6523" w:type="dxa"/>
          <w:gridSpan w:val="4"/>
          <w:tcBorders>
            <w:bottom w:val="single" w:sz="4" w:space="0" w:color="auto"/>
          </w:tcBorders>
          <w:shd w:val="clear" w:color="auto" w:fill="auto"/>
          <w:vAlign w:val="bottom"/>
        </w:tcPr>
        <w:p w14:paraId="3082B653" w14:textId="77777777" w:rsidR="00981F35" w:rsidRPr="00981F35" w:rsidRDefault="00981F35" w:rsidP="00981F35">
          <w:pPr>
            <w:spacing w:after="80" w:line="240" w:lineRule="auto"/>
            <w:jc w:val="right"/>
            <w:rPr>
              <w:position w:val="-4"/>
            </w:rPr>
          </w:pPr>
          <w:r>
            <w:rPr>
              <w:position w:val="-4"/>
              <w:sz w:val="40"/>
            </w:rPr>
            <w:t>CEDAW</w:t>
          </w:r>
          <w:r>
            <w:rPr>
              <w:position w:val="-4"/>
            </w:rPr>
            <w:t>/C/61/D/50/2013</w:t>
          </w:r>
        </w:p>
      </w:tc>
    </w:tr>
    <w:tr w:rsidR="00981F35" w:rsidRPr="00981F35" w14:paraId="44248E63" w14:textId="77777777" w:rsidTr="00981F35">
      <w:trPr>
        <w:gridAfter w:val="1"/>
        <w:wAfter w:w="28" w:type="dxa"/>
        <w:trHeight w:hRule="exact" w:val="2880"/>
      </w:trPr>
      <w:tc>
        <w:tcPr>
          <w:tcW w:w="1267" w:type="dxa"/>
          <w:tcBorders>
            <w:top w:val="single" w:sz="4" w:space="0" w:color="auto"/>
            <w:bottom w:val="single" w:sz="12" w:space="0" w:color="auto"/>
          </w:tcBorders>
          <w:shd w:val="clear" w:color="auto" w:fill="auto"/>
        </w:tcPr>
        <w:p w14:paraId="14E6D092" w14:textId="77777777" w:rsidR="00981F35" w:rsidRPr="00981F35" w:rsidRDefault="00981F35" w:rsidP="00981F35">
          <w:pPr>
            <w:pStyle w:val="Header"/>
            <w:spacing w:before="120"/>
            <w:jc w:val="center"/>
          </w:pPr>
          <w:r>
            <w:t xml:space="preserve"> </w:t>
          </w:r>
          <w:r>
            <w:drawing>
              <wp:inline distT="0" distB="0" distL="0" distR="0" wp14:anchorId="408B53D6" wp14:editId="3C1C0445">
                <wp:extent cx="713232" cy="59710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7103"/>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14:paraId="75DC245D" w14:textId="77777777" w:rsidR="00981F35" w:rsidRPr="00981F35" w:rsidRDefault="00981F35" w:rsidP="00981F35">
          <w:pPr>
            <w:pStyle w:val="XLarge"/>
            <w:spacing w:before="109"/>
          </w:pPr>
          <w:r>
            <w:t>Convention on the Elimination</w:t>
          </w:r>
          <w:r>
            <w:br/>
            <w:t>of All Forms of Discrimination against Women</w:t>
          </w:r>
        </w:p>
      </w:tc>
      <w:tc>
        <w:tcPr>
          <w:tcW w:w="245" w:type="dxa"/>
          <w:tcBorders>
            <w:top w:val="single" w:sz="4" w:space="0" w:color="auto"/>
            <w:bottom w:val="single" w:sz="12" w:space="0" w:color="auto"/>
          </w:tcBorders>
          <w:shd w:val="clear" w:color="auto" w:fill="auto"/>
        </w:tcPr>
        <w:p w14:paraId="196BEDE3" w14:textId="77777777" w:rsidR="00981F35" w:rsidRPr="00981F35" w:rsidRDefault="00981F35" w:rsidP="00981F35">
          <w:pPr>
            <w:pStyle w:val="Header"/>
            <w:spacing w:before="109"/>
          </w:pPr>
        </w:p>
      </w:tc>
      <w:tc>
        <w:tcPr>
          <w:tcW w:w="3140" w:type="dxa"/>
          <w:tcBorders>
            <w:top w:val="single" w:sz="4" w:space="0" w:color="auto"/>
            <w:bottom w:val="single" w:sz="12" w:space="0" w:color="auto"/>
          </w:tcBorders>
          <w:shd w:val="clear" w:color="auto" w:fill="auto"/>
        </w:tcPr>
        <w:p w14:paraId="5C91D8BB" w14:textId="77777777" w:rsidR="00981F35" w:rsidRDefault="00981F35" w:rsidP="00981F35">
          <w:pPr>
            <w:pStyle w:val="Distribution"/>
            <w:rPr>
              <w:color w:val="010000"/>
            </w:rPr>
          </w:pPr>
          <w:r>
            <w:rPr>
              <w:color w:val="010000"/>
            </w:rPr>
            <w:t>Distr.: General</w:t>
          </w:r>
        </w:p>
        <w:p w14:paraId="623471C5" w14:textId="77777777" w:rsidR="00981F35" w:rsidRDefault="00981F35" w:rsidP="00981F35">
          <w:pPr>
            <w:pStyle w:val="Publication"/>
            <w:rPr>
              <w:color w:val="010000"/>
            </w:rPr>
          </w:pPr>
          <w:r>
            <w:rPr>
              <w:color w:val="010000"/>
            </w:rPr>
            <w:t>25 August 2015</w:t>
          </w:r>
        </w:p>
        <w:p w14:paraId="10FD8BBB" w14:textId="77777777" w:rsidR="00981F35" w:rsidRDefault="00981F35" w:rsidP="00981F35"/>
        <w:p w14:paraId="69E62D65" w14:textId="77777777" w:rsidR="00981F35" w:rsidRDefault="00981F35" w:rsidP="00981F35">
          <w:pPr>
            <w:pStyle w:val="Original"/>
            <w:rPr>
              <w:color w:val="010000"/>
            </w:rPr>
          </w:pPr>
          <w:r>
            <w:rPr>
              <w:color w:val="010000"/>
            </w:rPr>
            <w:t>Original: English</w:t>
          </w:r>
        </w:p>
        <w:p w14:paraId="3E6858D4" w14:textId="77777777" w:rsidR="00981F35" w:rsidRPr="00981F35" w:rsidRDefault="00981F35" w:rsidP="00981F35"/>
      </w:tc>
    </w:tr>
  </w:tbl>
  <w:p w14:paraId="49774FD8" w14:textId="77777777" w:rsidR="00981F35" w:rsidRPr="00981F35" w:rsidRDefault="00981F35" w:rsidP="00981F35">
    <w:pPr>
      <w:pStyle w:val="Heade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E878E2"/>
    <w:multiLevelType w:val="hybridMultilevel"/>
    <w:tmpl w:val="EBF0DC2E"/>
    <w:lvl w:ilvl="0" w:tplc="151635A2">
      <w:start w:val="1"/>
      <w:numFmt w:val="bullet"/>
      <w:pStyle w:val="Bullet2"/>
      <w:lvlText w:val=""/>
      <w:lvlJc w:val="left"/>
      <w:pPr>
        <w:ind w:left="2447" w:hanging="360"/>
      </w:pPr>
      <w:rPr>
        <w:rFonts w:ascii="Symbol" w:hAnsi="Symbol" w:cs="Symbol" w:hint="default"/>
        <w:sz w:val="14"/>
        <w:szCs w:val="14"/>
      </w:rPr>
    </w:lvl>
    <w:lvl w:ilvl="1" w:tplc="04090003" w:tentative="1">
      <w:start w:val="1"/>
      <w:numFmt w:val="bullet"/>
      <w:lvlText w:val="o"/>
      <w:lvlJc w:val="left"/>
      <w:pPr>
        <w:ind w:left="3527" w:hanging="360"/>
      </w:pPr>
      <w:rPr>
        <w:rFonts w:ascii="Courier New" w:hAnsi="Courier New" w:cs="Courier New" w:hint="default"/>
      </w:rPr>
    </w:lvl>
    <w:lvl w:ilvl="2" w:tplc="04090005" w:tentative="1">
      <w:start w:val="1"/>
      <w:numFmt w:val="bullet"/>
      <w:lvlText w:val=""/>
      <w:lvlJc w:val="left"/>
      <w:pPr>
        <w:ind w:left="4247" w:hanging="360"/>
      </w:pPr>
      <w:rPr>
        <w:rFonts w:ascii="Wingdings" w:hAnsi="Wingdings" w:hint="default"/>
      </w:rPr>
    </w:lvl>
    <w:lvl w:ilvl="3" w:tplc="04090001" w:tentative="1">
      <w:start w:val="1"/>
      <w:numFmt w:val="bullet"/>
      <w:lvlText w:val=""/>
      <w:lvlJc w:val="left"/>
      <w:pPr>
        <w:ind w:left="4967" w:hanging="360"/>
      </w:pPr>
      <w:rPr>
        <w:rFonts w:ascii="Symbol" w:hAnsi="Symbol" w:hint="default"/>
      </w:rPr>
    </w:lvl>
    <w:lvl w:ilvl="4" w:tplc="04090003" w:tentative="1">
      <w:start w:val="1"/>
      <w:numFmt w:val="bullet"/>
      <w:lvlText w:val="o"/>
      <w:lvlJc w:val="left"/>
      <w:pPr>
        <w:ind w:left="5687" w:hanging="360"/>
      </w:pPr>
      <w:rPr>
        <w:rFonts w:ascii="Courier New" w:hAnsi="Courier New" w:cs="Courier New" w:hint="default"/>
      </w:rPr>
    </w:lvl>
    <w:lvl w:ilvl="5" w:tplc="04090005" w:tentative="1">
      <w:start w:val="1"/>
      <w:numFmt w:val="bullet"/>
      <w:lvlText w:val=""/>
      <w:lvlJc w:val="left"/>
      <w:pPr>
        <w:ind w:left="6407" w:hanging="360"/>
      </w:pPr>
      <w:rPr>
        <w:rFonts w:ascii="Wingdings" w:hAnsi="Wingdings" w:hint="default"/>
      </w:rPr>
    </w:lvl>
    <w:lvl w:ilvl="6" w:tplc="04090001" w:tentative="1">
      <w:start w:val="1"/>
      <w:numFmt w:val="bullet"/>
      <w:lvlText w:val=""/>
      <w:lvlJc w:val="left"/>
      <w:pPr>
        <w:ind w:left="7127" w:hanging="360"/>
      </w:pPr>
      <w:rPr>
        <w:rFonts w:ascii="Symbol" w:hAnsi="Symbol" w:hint="default"/>
      </w:rPr>
    </w:lvl>
    <w:lvl w:ilvl="7" w:tplc="04090003" w:tentative="1">
      <w:start w:val="1"/>
      <w:numFmt w:val="bullet"/>
      <w:lvlText w:val="o"/>
      <w:lvlJc w:val="left"/>
      <w:pPr>
        <w:ind w:left="7847" w:hanging="360"/>
      </w:pPr>
      <w:rPr>
        <w:rFonts w:ascii="Courier New" w:hAnsi="Courier New" w:cs="Courier New" w:hint="default"/>
      </w:rPr>
    </w:lvl>
    <w:lvl w:ilvl="8" w:tplc="04090005" w:tentative="1">
      <w:start w:val="1"/>
      <w:numFmt w:val="bullet"/>
      <w:lvlText w:val=""/>
      <w:lvlJc w:val="left"/>
      <w:pPr>
        <w:ind w:left="8567" w:hanging="360"/>
      </w:pPr>
      <w:rPr>
        <w:rFonts w:ascii="Wingdings" w:hAnsi="Wingdings" w:hint="default"/>
      </w:rPr>
    </w:lvl>
  </w:abstractNum>
  <w:abstractNum w:abstractNumId="1" w15:restartNumberingAfterBreak="0">
    <w:nsid w:val="3C456276"/>
    <w:multiLevelType w:val="hybridMultilevel"/>
    <w:tmpl w:val="19149710"/>
    <w:lvl w:ilvl="0" w:tplc="F4AAAF66">
      <w:start w:val="1"/>
      <w:numFmt w:val="bullet"/>
      <w:pStyle w:val="Bullet3"/>
      <w:lvlText w:val=""/>
      <w:lvlJc w:val="left"/>
      <w:pPr>
        <w:ind w:left="3283" w:hanging="360"/>
      </w:pPr>
      <w:rPr>
        <w:rFonts w:ascii="Symbol" w:hAnsi="Symbol" w:cs="Symbol" w:hint="default"/>
        <w:sz w:val="14"/>
        <w:szCs w:val="14"/>
      </w:rPr>
    </w:lvl>
    <w:lvl w:ilvl="1" w:tplc="08090003" w:tentative="1">
      <w:start w:val="1"/>
      <w:numFmt w:val="bullet"/>
      <w:lvlText w:val="o"/>
      <w:lvlJc w:val="left"/>
      <w:pPr>
        <w:ind w:left="4003" w:hanging="360"/>
      </w:pPr>
      <w:rPr>
        <w:rFonts w:ascii="Courier New" w:hAnsi="Courier New" w:cs="Courier New" w:hint="default"/>
      </w:rPr>
    </w:lvl>
    <w:lvl w:ilvl="2" w:tplc="08090005" w:tentative="1">
      <w:start w:val="1"/>
      <w:numFmt w:val="bullet"/>
      <w:lvlText w:val=""/>
      <w:lvlJc w:val="left"/>
      <w:pPr>
        <w:ind w:left="4723" w:hanging="360"/>
      </w:pPr>
      <w:rPr>
        <w:rFonts w:ascii="Wingdings" w:hAnsi="Wingdings" w:hint="default"/>
      </w:rPr>
    </w:lvl>
    <w:lvl w:ilvl="3" w:tplc="08090001" w:tentative="1">
      <w:start w:val="1"/>
      <w:numFmt w:val="bullet"/>
      <w:lvlText w:val=""/>
      <w:lvlJc w:val="left"/>
      <w:pPr>
        <w:ind w:left="5443" w:hanging="360"/>
      </w:pPr>
      <w:rPr>
        <w:rFonts w:ascii="Symbol" w:hAnsi="Symbol" w:hint="default"/>
      </w:rPr>
    </w:lvl>
    <w:lvl w:ilvl="4" w:tplc="08090003" w:tentative="1">
      <w:start w:val="1"/>
      <w:numFmt w:val="bullet"/>
      <w:lvlText w:val="o"/>
      <w:lvlJc w:val="left"/>
      <w:pPr>
        <w:ind w:left="6163" w:hanging="360"/>
      </w:pPr>
      <w:rPr>
        <w:rFonts w:ascii="Courier New" w:hAnsi="Courier New" w:cs="Courier New" w:hint="default"/>
      </w:rPr>
    </w:lvl>
    <w:lvl w:ilvl="5" w:tplc="08090005" w:tentative="1">
      <w:start w:val="1"/>
      <w:numFmt w:val="bullet"/>
      <w:lvlText w:val=""/>
      <w:lvlJc w:val="left"/>
      <w:pPr>
        <w:ind w:left="6883" w:hanging="360"/>
      </w:pPr>
      <w:rPr>
        <w:rFonts w:ascii="Wingdings" w:hAnsi="Wingdings" w:hint="default"/>
      </w:rPr>
    </w:lvl>
    <w:lvl w:ilvl="6" w:tplc="08090001" w:tentative="1">
      <w:start w:val="1"/>
      <w:numFmt w:val="bullet"/>
      <w:lvlText w:val=""/>
      <w:lvlJc w:val="left"/>
      <w:pPr>
        <w:ind w:left="7603" w:hanging="360"/>
      </w:pPr>
      <w:rPr>
        <w:rFonts w:ascii="Symbol" w:hAnsi="Symbol" w:hint="default"/>
      </w:rPr>
    </w:lvl>
    <w:lvl w:ilvl="7" w:tplc="08090003" w:tentative="1">
      <w:start w:val="1"/>
      <w:numFmt w:val="bullet"/>
      <w:lvlText w:val="o"/>
      <w:lvlJc w:val="left"/>
      <w:pPr>
        <w:ind w:left="8323" w:hanging="360"/>
      </w:pPr>
      <w:rPr>
        <w:rFonts w:ascii="Courier New" w:hAnsi="Courier New" w:cs="Courier New" w:hint="default"/>
      </w:rPr>
    </w:lvl>
    <w:lvl w:ilvl="8" w:tplc="08090005" w:tentative="1">
      <w:start w:val="1"/>
      <w:numFmt w:val="bullet"/>
      <w:lvlText w:val=""/>
      <w:lvlJc w:val="left"/>
      <w:pPr>
        <w:ind w:left="9043" w:hanging="360"/>
      </w:pPr>
      <w:rPr>
        <w:rFonts w:ascii="Wingdings" w:hAnsi="Wingdings" w:hint="default"/>
      </w:rPr>
    </w:lvl>
  </w:abstractNum>
  <w:abstractNum w:abstractNumId="2" w15:restartNumberingAfterBreak="0">
    <w:nsid w:val="64F14A04"/>
    <w:multiLevelType w:val="hybridMultilevel"/>
    <w:tmpl w:val="0F8E0BF2"/>
    <w:lvl w:ilvl="0" w:tplc="F404D8B4">
      <w:start w:val="1"/>
      <w:numFmt w:val="bullet"/>
      <w:pStyle w:val="Bullet1"/>
      <w:lvlText w:val=""/>
      <w:lvlJc w:val="left"/>
      <w:pPr>
        <w:ind w:left="1976" w:hanging="360"/>
      </w:pPr>
      <w:rPr>
        <w:rFonts w:ascii="Symbol" w:hAnsi="Symbol" w:cs="Symbol" w:hint="default"/>
        <w:sz w:val="14"/>
      </w:rPr>
    </w:lvl>
    <w:lvl w:ilvl="1" w:tplc="04090003" w:tentative="1">
      <w:start w:val="1"/>
      <w:numFmt w:val="bullet"/>
      <w:lvlText w:val="o"/>
      <w:lvlJc w:val="left"/>
      <w:pPr>
        <w:ind w:left="3056" w:hanging="360"/>
      </w:pPr>
      <w:rPr>
        <w:rFonts w:ascii="Courier New" w:hAnsi="Courier New" w:cs="Courier New" w:hint="default"/>
      </w:rPr>
    </w:lvl>
    <w:lvl w:ilvl="2" w:tplc="04090005" w:tentative="1">
      <w:start w:val="1"/>
      <w:numFmt w:val="bullet"/>
      <w:lvlText w:val=""/>
      <w:lvlJc w:val="left"/>
      <w:pPr>
        <w:ind w:left="3776" w:hanging="360"/>
      </w:pPr>
      <w:rPr>
        <w:rFonts w:ascii="Wingdings" w:hAnsi="Wingdings" w:hint="default"/>
      </w:rPr>
    </w:lvl>
    <w:lvl w:ilvl="3" w:tplc="04090001" w:tentative="1">
      <w:start w:val="1"/>
      <w:numFmt w:val="bullet"/>
      <w:lvlText w:val=""/>
      <w:lvlJc w:val="left"/>
      <w:pPr>
        <w:ind w:left="4496" w:hanging="360"/>
      </w:pPr>
      <w:rPr>
        <w:rFonts w:ascii="Symbol" w:hAnsi="Symbol" w:hint="default"/>
      </w:rPr>
    </w:lvl>
    <w:lvl w:ilvl="4" w:tplc="04090003" w:tentative="1">
      <w:start w:val="1"/>
      <w:numFmt w:val="bullet"/>
      <w:lvlText w:val="o"/>
      <w:lvlJc w:val="left"/>
      <w:pPr>
        <w:ind w:left="5216" w:hanging="360"/>
      </w:pPr>
      <w:rPr>
        <w:rFonts w:ascii="Courier New" w:hAnsi="Courier New" w:cs="Courier New" w:hint="default"/>
      </w:rPr>
    </w:lvl>
    <w:lvl w:ilvl="5" w:tplc="04090005" w:tentative="1">
      <w:start w:val="1"/>
      <w:numFmt w:val="bullet"/>
      <w:lvlText w:val=""/>
      <w:lvlJc w:val="left"/>
      <w:pPr>
        <w:ind w:left="5936" w:hanging="360"/>
      </w:pPr>
      <w:rPr>
        <w:rFonts w:ascii="Wingdings" w:hAnsi="Wingdings" w:hint="default"/>
      </w:rPr>
    </w:lvl>
    <w:lvl w:ilvl="6" w:tplc="04090001" w:tentative="1">
      <w:start w:val="1"/>
      <w:numFmt w:val="bullet"/>
      <w:lvlText w:val=""/>
      <w:lvlJc w:val="left"/>
      <w:pPr>
        <w:ind w:left="6656" w:hanging="360"/>
      </w:pPr>
      <w:rPr>
        <w:rFonts w:ascii="Symbol" w:hAnsi="Symbol" w:hint="default"/>
      </w:rPr>
    </w:lvl>
    <w:lvl w:ilvl="7" w:tplc="04090003" w:tentative="1">
      <w:start w:val="1"/>
      <w:numFmt w:val="bullet"/>
      <w:lvlText w:val="o"/>
      <w:lvlJc w:val="left"/>
      <w:pPr>
        <w:ind w:left="7376" w:hanging="360"/>
      </w:pPr>
      <w:rPr>
        <w:rFonts w:ascii="Courier New" w:hAnsi="Courier New" w:cs="Courier New" w:hint="default"/>
      </w:rPr>
    </w:lvl>
    <w:lvl w:ilvl="8" w:tplc="04090005" w:tentative="1">
      <w:start w:val="1"/>
      <w:numFmt w:val="bullet"/>
      <w:lvlText w:val=""/>
      <w:lvlJc w:val="left"/>
      <w:pPr>
        <w:ind w:left="8096"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75"/>
  <w:hyphenationZone w:val="20"/>
  <w:doNotHyphenateCaps/>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pos w:val="sectEnd"/>
    <w:numFmt w:val="decimal"/>
    <w:endnote w:id="-1"/>
    <w:endnote w:id="0"/>
  </w:endnotePr>
  <w:compat>
    <w:noColumnBalance/>
    <w:printColBlack/>
    <w:showBreaksInFrames/>
    <w:suppressBottomSpacing/>
    <w:suppressTopSpacing/>
    <w:shapeLayoutLikeWW8/>
    <w:layoutRawTableWidth/>
    <w:doNotBreakWrappedTables/>
    <w:doNotSnapToGridInCell/>
    <w:doNotUseEastAsian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arcode" w:val="*1514367*"/>
    <w:docVar w:name="CreationDt" w:val="02/11/2015 10:25 AM"/>
    <w:docVar w:name="DocCategory" w:val="Doc"/>
    <w:docVar w:name="DocType" w:val="Final"/>
    <w:docVar w:name="DutyStation" w:val="New York"/>
    <w:docVar w:name="FooterJN" w:val="15-14367"/>
    <w:docVar w:name="jobn" w:val="15-14367 (E)"/>
    <w:docVar w:name="jobnDT" w:val="15-14367 (E)   021115"/>
    <w:docVar w:name="jobnDTDT" w:val="15-14367 (E)   021115   021115"/>
    <w:docVar w:name="JobNo" w:val="1514367E"/>
    <w:docVar w:name="JobNo2" w:val="1526417E"/>
    <w:docVar w:name="LocalDrive" w:val="0"/>
    <w:docVar w:name="OandT" w:val=" "/>
    <w:docVar w:name="PaperSize" w:val="Letter"/>
    <w:docVar w:name="sss1" w:val="CEDAW/C/61/D/50/2013"/>
    <w:docVar w:name="sss2" w:val="-"/>
    <w:docVar w:name="Symbol1" w:val="CEDAW/C/61/D/50/2013"/>
    <w:docVar w:name="Symbol2" w:val="-"/>
  </w:docVars>
  <w:rsids>
    <w:rsidRoot w:val="007F27C6"/>
    <w:rsid w:val="0000301C"/>
    <w:rsid w:val="000044BD"/>
    <w:rsid w:val="00006ABE"/>
    <w:rsid w:val="00010CB2"/>
    <w:rsid w:val="00011F66"/>
    <w:rsid w:val="000137FE"/>
    <w:rsid w:val="00013C9F"/>
    <w:rsid w:val="0001793F"/>
    <w:rsid w:val="00021540"/>
    <w:rsid w:val="00023BDE"/>
    <w:rsid w:val="000243C1"/>
    <w:rsid w:val="00024B08"/>
    <w:rsid w:val="00024E5A"/>
    <w:rsid w:val="00025848"/>
    <w:rsid w:val="000308AA"/>
    <w:rsid w:val="00032100"/>
    <w:rsid w:val="0003242E"/>
    <w:rsid w:val="00034259"/>
    <w:rsid w:val="00041CAB"/>
    <w:rsid w:val="00045DEF"/>
    <w:rsid w:val="000509B8"/>
    <w:rsid w:val="00051981"/>
    <w:rsid w:val="00051D6F"/>
    <w:rsid w:val="00054828"/>
    <w:rsid w:val="00056CC8"/>
    <w:rsid w:val="00057F15"/>
    <w:rsid w:val="00057FD3"/>
    <w:rsid w:val="00060FB4"/>
    <w:rsid w:val="00062E0F"/>
    <w:rsid w:val="00070481"/>
    <w:rsid w:val="00073B00"/>
    <w:rsid w:val="00075E3E"/>
    <w:rsid w:val="00076459"/>
    <w:rsid w:val="0007729C"/>
    <w:rsid w:val="00077C68"/>
    <w:rsid w:val="00077DB0"/>
    <w:rsid w:val="00080953"/>
    <w:rsid w:val="00081CC0"/>
    <w:rsid w:val="000873DA"/>
    <w:rsid w:val="0009142F"/>
    <w:rsid w:val="000930EA"/>
    <w:rsid w:val="00095653"/>
    <w:rsid w:val="00096611"/>
    <w:rsid w:val="000A1401"/>
    <w:rsid w:val="000B2AB1"/>
    <w:rsid w:val="000B6F32"/>
    <w:rsid w:val="000B7349"/>
    <w:rsid w:val="000C30BC"/>
    <w:rsid w:val="000C49BE"/>
    <w:rsid w:val="000C676D"/>
    <w:rsid w:val="000D07EC"/>
    <w:rsid w:val="000D3616"/>
    <w:rsid w:val="000E3E97"/>
    <w:rsid w:val="000E454F"/>
    <w:rsid w:val="000E4DB4"/>
    <w:rsid w:val="000E578F"/>
    <w:rsid w:val="000E6736"/>
    <w:rsid w:val="000E7174"/>
    <w:rsid w:val="000E7902"/>
    <w:rsid w:val="000F0681"/>
    <w:rsid w:val="000F09C2"/>
    <w:rsid w:val="000F1CED"/>
    <w:rsid w:val="000F5752"/>
    <w:rsid w:val="000F6381"/>
    <w:rsid w:val="000F6E1A"/>
    <w:rsid w:val="00100B22"/>
    <w:rsid w:val="001026A3"/>
    <w:rsid w:val="00104C2F"/>
    <w:rsid w:val="00105C9B"/>
    <w:rsid w:val="00107D5F"/>
    <w:rsid w:val="001115D1"/>
    <w:rsid w:val="00111F5A"/>
    <w:rsid w:val="0011241F"/>
    <w:rsid w:val="00112598"/>
    <w:rsid w:val="00113764"/>
    <w:rsid w:val="00114F9E"/>
    <w:rsid w:val="0011565A"/>
    <w:rsid w:val="0012032E"/>
    <w:rsid w:val="001208CF"/>
    <w:rsid w:val="001223CB"/>
    <w:rsid w:val="00122FEC"/>
    <w:rsid w:val="0012652C"/>
    <w:rsid w:val="00126C46"/>
    <w:rsid w:val="00132F77"/>
    <w:rsid w:val="00135DA1"/>
    <w:rsid w:val="00136ECF"/>
    <w:rsid w:val="00146E4B"/>
    <w:rsid w:val="001477DE"/>
    <w:rsid w:val="001505B6"/>
    <w:rsid w:val="00152C51"/>
    <w:rsid w:val="001531AF"/>
    <w:rsid w:val="00154A7D"/>
    <w:rsid w:val="00163673"/>
    <w:rsid w:val="00164BCE"/>
    <w:rsid w:val="00164D53"/>
    <w:rsid w:val="001652E9"/>
    <w:rsid w:val="001653FB"/>
    <w:rsid w:val="0017380E"/>
    <w:rsid w:val="001745C0"/>
    <w:rsid w:val="001801E4"/>
    <w:rsid w:val="001809B5"/>
    <w:rsid w:val="00182B15"/>
    <w:rsid w:val="00184193"/>
    <w:rsid w:val="001917A6"/>
    <w:rsid w:val="00191E88"/>
    <w:rsid w:val="0019245C"/>
    <w:rsid w:val="00192845"/>
    <w:rsid w:val="001936F0"/>
    <w:rsid w:val="001947AD"/>
    <w:rsid w:val="00196A9E"/>
    <w:rsid w:val="00197346"/>
    <w:rsid w:val="001A06E7"/>
    <w:rsid w:val="001A077F"/>
    <w:rsid w:val="001A1DC8"/>
    <w:rsid w:val="001A5D2D"/>
    <w:rsid w:val="001A5D75"/>
    <w:rsid w:val="001A6BBE"/>
    <w:rsid w:val="001B071E"/>
    <w:rsid w:val="001B0B41"/>
    <w:rsid w:val="001B1926"/>
    <w:rsid w:val="001B1FD5"/>
    <w:rsid w:val="001B2AEA"/>
    <w:rsid w:val="001B3651"/>
    <w:rsid w:val="001B6CFE"/>
    <w:rsid w:val="001C0012"/>
    <w:rsid w:val="001C266D"/>
    <w:rsid w:val="001C26F7"/>
    <w:rsid w:val="001C5625"/>
    <w:rsid w:val="001C7E54"/>
    <w:rsid w:val="001D1798"/>
    <w:rsid w:val="001D1F8D"/>
    <w:rsid w:val="001D4790"/>
    <w:rsid w:val="001D5FF9"/>
    <w:rsid w:val="001D7216"/>
    <w:rsid w:val="001E06EC"/>
    <w:rsid w:val="001E077C"/>
    <w:rsid w:val="001E0B55"/>
    <w:rsid w:val="001E4D56"/>
    <w:rsid w:val="001E5AE9"/>
    <w:rsid w:val="001E6CDB"/>
    <w:rsid w:val="001F2BDA"/>
    <w:rsid w:val="001F2E45"/>
    <w:rsid w:val="001F5923"/>
    <w:rsid w:val="001F5FE7"/>
    <w:rsid w:val="001F670D"/>
    <w:rsid w:val="001F6818"/>
    <w:rsid w:val="001F6E66"/>
    <w:rsid w:val="001F78BC"/>
    <w:rsid w:val="001F7C50"/>
    <w:rsid w:val="001F7CCF"/>
    <w:rsid w:val="00203422"/>
    <w:rsid w:val="00203A1A"/>
    <w:rsid w:val="00210D7F"/>
    <w:rsid w:val="00211F3F"/>
    <w:rsid w:val="00213104"/>
    <w:rsid w:val="002141E3"/>
    <w:rsid w:val="002179A1"/>
    <w:rsid w:val="00217D97"/>
    <w:rsid w:val="0022004C"/>
    <w:rsid w:val="00221573"/>
    <w:rsid w:val="00222D9B"/>
    <w:rsid w:val="00223E81"/>
    <w:rsid w:val="00225B63"/>
    <w:rsid w:val="00232F19"/>
    <w:rsid w:val="002339E2"/>
    <w:rsid w:val="00234170"/>
    <w:rsid w:val="002346A6"/>
    <w:rsid w:val="00234C5B"/>
    <w:rsid w:val="00236DA6"/>
    <w:rsid w:val="00236E6D"/>
    <w:rsid w:val="00243655"/>
    <w:rsid w:val="002453F5"/>
    <w:rsid w:val="00247E83"/>
    <w:rsid w:val="002508E9"/>
    <w:rsid w:val="00251A44"/>
    <w:rsid w:val="00253D26"/>
    <w:rsid w:val="00254277"/>
    <w:rsid w:val="002549C4"/>
    <w:rsid w:val="00255264"/>
    <w:rsid w:val="00256A49"/>
    <w:rsid w:val="0025759D"/>
    <w:rsid w:val="00261D48"/>
    <w:rsid w:val="00261FDB"/>
    <w:rsid w:val="00264279"/>
    <w:rsid w:val="002665CB"/>
    <w:rsid w:val="002713B7"/>
    <w:rsid w:val="0027290F"/>
    <w:rsid w:val="002741C3"/>
    <w:rsid w:val="00274B66"/>
    <w:rsid w:val="00275106"/>
    <w:rsid w:val="00275598"/>
    <w:rsid w:val="00276B79"/>
    <w:rsid w:val="00276E16"/>
    <w:rsid w:val="00281885"/>
    <w:rsid w:val="00284AF2"/>
    <w:rsid w:val="002877DA"/>
    <w:rsid w:val="00287926"/>
    <w:rsid w:val="00287D43"/>
    <w:rsid w:val="002901C3"/>
    <w:rsid w:val="00290C42"/>
    <w:rsid w:val="00294980"/>
    <w:rsid w:val="00296E6C"/>
    <w:rsid w:val="002A2A24"/>
    <w:rsid w:val="002A5739"/>
    <w:rsid w:val="002A5D97"/>
    <w:rsid w:val="002A5DBE"/>
    <w:rsid w:val="002A6C02"/>
    <w:rsid w:val="002B0DEC"/>
    <w:rsid w:val="002B4B8E"/>
    <w:rsid w:val="002B649C"/>
    <w:rsid w:val="002B67EC"/>
    <w:rsid w:val="002B77DF"/>
    <w:rsid w:val="002C0552"/>
    <w:rsid w:val="002C12A1"/>
    <w:rsid w:val="002C171C"/>
    <w:rsid w:val="002C2E6F"/>
    <w:rsid w:val="002C3AE4"/>
    <w:rsid w:val="002C53F1"/>
    <w:rsid w:val="002C69A3"/>
    <w:rsid w:val="002D0A3F"/>
    <w:rsid w:val="002D25CC"/>
    <w:rsid w:val="002D4228"/>
    <w:rsid w:val="002D4776"/>
    <w:rsid w:val="002E1C17"/>
    <w:rsid w:val="002F0531"/>
    <w:rsid w:val="002F0B79"/>
    <w:rsid w:val="002F5FAC"/>
    <w:rsid w:val="002F7170"/>
    <w:rsid w:val="00300297"/>
    <w:rsid w:val="00303242"/>
    <w:rsid w:val="00312D4B"/>
    <w:rsid w:val="00314F83"/>
    <w:rsid w:val="00316C23"/>
    <w:rsid w:val="00320E1B"/>
    <w:rsid w:val="00321A47"/>
    <w:rsid w:val="00322E87"/>
    <w:rsid w:val="003245CB"/>
    <w:rsid w:val="003268E2"/>
    <w:rsid w:val="00326A29"/>
    <w:rsid w:val="0032749A"/>
    <w:rsid w:val="00327EBA"/>
    <w:rsid w:val="003302D1"/>
    <w:rsid w:val="00331963"/>
    <w:rsid w:val="00331C78"/>
    <w:rsid w:val="00332088"/>
    <w:rsid w:val="003345CC"/>
    <w:rsid w:val="00341AF8"/>
    <w:rsid w:val="00343E74"/>
    <w:rsid w:val="003466DC"/>
    <w:rsid w:val="003471DC"/>
    <w:rsid w:val="00347DD3"/>
    <w:rsid w:val="00350876"/>
    <w:rsid w:val="00357AA1"/>
    <w:rsid w:val="00365017"/>
    <w:rsid w:val="003769DF"/>
    <w:rsid w:val="00376C4C"/>
    <w:rsid w:val="0037786A"/>
    <w:rsid w:val="00383922"/>
    <w:rsid w:val="0038518C"/>
    <w:rsid w:val="00387FE0"/>
    <w:rsid w:val="0039024C"/>
    <w:rsid w:val="003928D1"/>
    <w:rsid w:val="00392946"/>
    <w:rsid w:val="00395DFD"/>
    <w:rsid w:val="003A09C3"/>
    <w:rsid w:val="003A5087"/>
    <w:rsid w:val="003B0DE7"/>
    <w:rsid w:val="003B102B"/>
    <w:rsid w:val="003C05E2"/>
    <w:rsid w:val="003C0D55"/>
    <w:rsid w:val="003C3A7D"/>
    <w:rsid w:val="003C42F4"/>
    <w:rsid w:val="003C43F7"/>
    <w:rsid w:val="003D1038"/>
    <w:rsid w:val="003D427B"/>
    <w:rsid w:val="003D5797"/>
    <w:rsid w:val="003D7908"/>
    <w:rsid w:val="003D7F08"/>
    <w:rsid w:val="003E0D98"/>
    <w:rsid w:val="003E7000"/>
    <w:rsid w:val="003E72BD"/>
    <w:rsid w:val="003E78BF"/>
    <w:rsid w:val="003F1E2B"/>
    <w:rsid w:val="003F49AB"/>
    <w:rsid w:val="003F4EDB"/>
    <w:rsid w:val="003F6918"/>
    <w:rsid w:val="003F7EC3"/>
    <w:rsid w:val="00401E19"/>
    <w:rsid w:val="0040560E"/>
    <w:rsid w:val="00405629"/>
    <w:rsid w:val="00407301"/>
    <w:rsid w:val="00410A02"/>
    <w:rsid w:val="00411C7D"/>
    <w:rsid w:val="004125C5"/>
    <w:rsid w:val="00412ACF"/>
    <w:rsid w:val="0041494A"/>
    <w:rsid w:val="00414F44"/>
    <w:rsid w:val="0041500E"/>
    <w:rsid w:val="00417309"/>
    <w:rsid w:val="00425258"/>
    <w:rsid w:val="00434183"/>
    <w:rsid w:val="00436FEA"/>
    <w:rsid w:val="004411C5"/>
    <w:rsid w:val="00441580"/>
    <w:rsid w:val="00441EF4"/>
    <w:rsid w:val="004423AB"/>
    <w:rsid w:val="00443A4A"/>
    <w:rsid w:val="00444725"/>
    <w:rsid w:val="004472AD"/>
    <w:rsid w:val="00447DF5"/>
    <w:rsid w:val="0045397A"/>
    <w:rsid w:val="00453E64"/>
    <w:rsid w:val="00455CD0"/>
    <w:rsid w:val="00457ADA"/>
    <w:rsid w:val="004677E2"/>
    <w:rsid w:val="00470EE0"/>
    <w:rsid w:val="00475672"/>
    <w:rsid w:val="0047572C"/>
    <w:rsid w:val="004774B3"/>
    <w:rsid w:val="00477F9F"/>
    <w:rsid w:val="004818A0"/>
    <w:rsid w:val="004831A5"/>
    <w:rsid w:val="00485B77"/>
    <w:rsid w:val="00487D0A"/>
    <w:rsid w:val="004907C3"/>
    <w:rsid w:val="00492648"/>
    <w:rsid w:val="00494C70"/>
    <w:rsid w:val="00496B26"/>
    <w:rsid w:val="00497BF5"/>
    <w:rsid w:val="004A06AE"/>
    <w:rsid w:val="004A36EA"/>
    <w:rsid w:val="004A492C"/>
    <w:rsid w:val="004A5068"/>
    <w:rsid w:val="004A635B"/>
    <w:rsid w:val="004A6F00"/>
    <w:rsid w:val="004B1595"/>
    <w:rsid w:val="004B6AB6"/>
    <w:rsid w:val="004B732D"/>
    <w:rsid w:val="004B7F75"/>
    <w:rsid w:val="004C0A4B"/>
    <w:rsid w:val="004C17D1"/>
    <w:rsid w:val="004C599F"/>
    <w:rsid w:val="004C72E0"/>
    <w:rsid w:val="004C7A38"/>
    <w:rsid w:val="004C7E05"/>
    <w:rsid w:val="004D0839"/>
    <w:rsid w:val="004D0C85"/>
    <w:rsid w:val="004D2970"/>
    <w:rsid w:val="004D3027"/>
    <w:rsid w:val="004D580C"/>
    <w:rsid w:val="004D5846"/>
    <w:rsid w:val="004D7A08"/>
    <w:rsid w:val="004E669B"/>
    <w:rsid w:val="004F0853"/>
    <w:rsid w:val="004F09C3"/>
    <w:rsid w:val="004F1019"/>
    <w:rsid w:val="004F269C"/>
    <w:rsid w:val="004F2B25"/>
    <w:rsid w:val="004F4085"/>
    <w:rsid w:val="004F410A"/>
    <w:rsid w:val="004F4AA8"/>
    <w:rsid w:val="004F71A8"/>
    <w:rsid w:val="00502499"/>
    <w:rsid w:val="00502739"/>
    <w:rsid w:val="00511E5A"/>
    <w:rsid w:val="00514854"/>
    <w:rsid w:val="00516D15"/>
    <w:rsid w:val="005200EA"/>
    <w:rsid w:val="005300F6"/>
    <w:rsid w:val="00534D74"/>
    <w:rsid w:val="00537D2B"/>
    <w:rsid w:val="00541089"/>
    <w:rsid w:val="00542A9C"/>
    <w:rsid w:val="00542FE7"/>
    <w:rsid w:val="00543905"/>
    <w:rsid w:val="00544AE5"/>
    <w:rsid w:val="00546F5D"/>
    <w:rsid w:val="005513EE"/>
    <w:rsid w:val="0055474C"/>
    <w:rsid w:val="00554CEC"/>
    <w:rsid w:val="00556788"/>
    <w:rsid w:val="00556945"/>
    <w:rsid w:val="0055753C"/>
    <w:rsid w:val="00560735"/>
    <w:rsid w:val="005607F2"/>
    <w:rsid w:val="005619C0"/>
    <w:rsid w:val="00566B69"/>
    <w:rsid w:val="00567F84"/>
    <w:rsid w:val="005709A1"/>
    <w:rsid w:val="005729BA"/>
    <w:rsid w:val="0057512C"/>
    <w:rsid w:val="005827E6"/>
    <w:rsid w:val="00583963"/>
    <w:rsid w:val="00586761"/>
    <w:rsid w:val="00586902"/>
    <w:rsid w:val="00586986"/>
    <w:rsid w:val="00591C19"/>
    <w:rsid w:val="00594A53"/>
    <w:rsid w:val="00595BC5"/>
    <w:rsid w:val="00595FBF"/>
    <w:rsid w:val="005A1973"/>
    <w:rsid w:val="005A3D90"/>
    <w:rsid w:val="005A49FD"/>
    <w:rsid w:val="005B0B96"/>
    <w:rsid w:val="005B426E"/>
    <w:rsid w:val="005B500B"/>
    <w:rsid w:val="005B6B7F"/>
    <w:rsid w:val="005C2441"/>
    <w:rsid w:val="005C394D"/>
    <w:rsid w:val="005C493E"/>
    <w:rsid w:val="005C5A80"/>
    <w:rsid w:val="005C639D"/>
    <w:rsid w:val="005C76B7"/>
    <w:rsid w:val="005D0BE5"/>
    <w:rsid w:val="005D1801"/>
    <w:rsid w:val="005D3D41"/>
    <w:rsid w:val="005D7A0E"/>
    <w:rsid w:val="005E0744"/>
    <w:rsid w:val="005E0C30"/>
    <w:rsid w:val="005E125B"/>
    <w:rsid w:val="005E360C"/>
    <w:rsid w:val="005E76CA"/>
    <w:rsid w:val="005F03CA"/>
    <w:rsid w:val="005F443D"/>
    <w:rsid w:val="005F5764"/>
    <w:rsid w:val="005F6860"/>
    <w:rsid w:val="00600132"/>
    <w:rsid w:val="00601E37"/>
    <w:rsid w:val="0060256A"/>
    <w:rsid w:val="006034E2"/>
    <w:rsid w:val="006035F9"/>
    <w:rsid w:val="0060441D"/>
    <w:rsid w:val="00604E50"/>
    <w:rsid w:val="00605495"/>
    <w:rsid w:val="00610819"/>
    <w:rsid w:val="00610AC8"/>
    <w:rsid w:val="0061160A"/>
    <w:rsid w:val="006165A5"/>
    <w:rsid w:val="00617904"/>
    <w:rsid w:val="006208E6"/>
    <w:rsid w:val="00620A95"/>
    <w:rsid w:val="0062207B"/>
    <w:rsid w:val="006242A5"/>
    <w:rsid w:val="006246A9"/>
    <w:rsid w:val="0062527E"/>
    <w:rsid w:val="006300B5"/>
    <w:rsid w:val="006300C2"/>
    <w:rsid w:val="00634617"/>
    <w:rsid w:val="00634FA8"/>
    <w:rsid w:val="00635451"/>
    <w:rsid w:val="006365D0"/>
    <w:rsid w:val="0064046C"/>
    <w:rsid w:val="006415B9"/>
    <w:rsid w:val="00645A2F"/>
    <w:rsid w:val="00647F62"/>
    <w:rsid w:val="006520C7"/>
    <w:rsid w:val="0065341F"/>
    <w:rsid w:val="00653B25"/>
    <w:rsid w:val="00655DC6"/>
    <w:rsid w:val="00655F4D"/>
    <w:rsid w:val="00656459"/>
    <w:rsid w:val="00657313"/>
    <w:rsid w:val="00657FD6"/>
    <w:rsid w:val="0066134F"/>
    <w:rsid w:val="0066368E"/>
    <w:rsid w:val="00665391"/>
    <w:rsid w:val="0067014A"/>
    <w:rsid w:val="00671D4B"/>
    <w:rsid w:val="00673A86"/>
    <w:rsid w:val="00673D70"/>
    <w:rsid w:val="00677C8D"/>
    <w:rsid w:val="00681FD5"/>
    <w:rsid w:val="006845F9"/>
    <w:rsid w:val="00685EF2"/>
    <w:rsid w:val="006904DC"/>
    <w:rsid w:val="00694438"/>
    <w:rsid w:val="00694DAB"/>
    <w:rsid w:val="006964B0"/>
    <w:rsid w:val="00696C4F"/>
    <w:rsid w:val="00696CE2"/>
    <w:rsid w:val="00696DA0"/>
    <w:rsid w:val="0069758C"/>
    <w:rsid w:val="006A012D"/>
    <w:rsid w:val="006A188B"/>
    <w:rsid w:val="006A33A3"/>
    <w:rsid w:val="006A39AB"/>
    <w:rsid w:val="006A45EA"/>
    <w:rsid w:val="006A630B"/>
    <w:rsid w:val="006A7C03"/>
    <w:rsid w:val="006A7D5D"/>
    <w:rsid w:val="006B2F19"/>
    <w:rsid w:val="006B4FAA"/>
    <w:rsid w:val="006B513C"/>
    <w:rsid w:val="006B6458"/>
    <w:rsid w:val="006B6CD0"/>
    <w:rsid w:val="006B6EDE"/>
    <w:rsid w:val="006C0277"/>
    <w:rsid w:val="006C3723"/>
    <w:rsid w:val="006C465B"/>
    <w:rsid w:val="006C4C17"/>
    <w:rsid w:val="006C7E5F"/>
    <w:rsid w:val="006D0C8A"/>
    <w:rsid w:val="006D217F"/>
    <w:rsid w:val="006D42DA"/>
    <w:rsid w:val="006D74B5"/>
    <w:rsid w:val="006D766E"/>
    <w:rsid w:val="006E0E18"/>
    <w:rsid w:val="006E44B8"/>
    <w:rsid w:val="006E5457"/>
    <w:rsid w:val="006E68D5"/>
    <w:rsid w:val="006F40EA"/>
    <w:rsid w:val="006F6266"/>
    <w:rsid w:val="006F795D"/>
    <w:rsid w:val="007004CC"/>
    <w:rsid w:val="00702C5A"/>
    <w:rsid w:val="00704652"/>
    <w:rsid w:val="00707C2F"/>
    <w:rsid w:val="00710880"/>
    <w:rsid w:val="007108C3"/>
    <w:rsid w:val="00716FBE"/>
    <w:rsid w:val="00717723"/>
    <w:rsid w:val="007222CF"/>
    <w:rsid w:val="0072272F"/>
    <w:rsid w:val="00724074"/>
    <w:rsid w:val="00730B23"/>
    <w:rsid w:val="00731357"/>
    <w:rsid w:val="00734332"/>
    <w:rsid w:val="007417DD"/>
    <w:rsid w:val="007444A3"/>
    <w:rsid w:val="00744698"/>
    <w:rsid w:val="00744F35"/>
    <w:rsid w:val="00753D40"/>
    <w:rsid w:val="007608D8"/>
    <w:rsid w:val="00762A8D"/>
    <w:rsid w:val="0076370D"/>
    <w:rsid w:val="0076482E"/>
    <w:rsid w:val="007669B0"/>
    <w:rsid w:val="00773746"/>
    <w:rsid w:val="0077656B"/>
    <w:rsid w:val="007772CC"/>
    <w:rsid w:val="0078007F"/>
    <w:rsid w:val="00780BE7"/>
    <w:rsid w:val="00783F24"/>
    <w:rsid w:val="0078480B"/>
    <w:rsid w:val="00787D22"/>
    <w:rsid w:val="00792C8E"/>
    <w:rsid w:val="007932C1"/>
    <w:rsid w:val="0079386A"/>
    <w:rsid w:val="00795305"/>
    <w:rsid w:val="00796A8E"/>
    <w:rsid w:val="007A196D"/>
    <w:rsid w:val="007A4518"/>
    <w:rsid w:val="007A4F17"/>
    <w:rsid w:val="007A4F77"/>
    <w:rsid w:val="007A5254"/>
    <w:rsid w:val="007A6F6C"/>
    <w:rsid w:val="007A78A7"/>
    <w:rsid w:val="007B3AC6"/>
    <w:rsid w:val="007B5ECA"/>
    <w:rsid w:val="007B6885"/>
    <w:rsid w:val="007C29F7"/>
    <w:rsid w:val="007C3EEC"/>
    <w:rsid w:val="007C5499"/>
    <w:rsid w:val="007C5AD3"/>
    <w:rsid w:val="007C78B7"/>
    <w:rsid w:val="007D2E6A"/>
    <w:rsid w:val="007D586B"/>
    <w:rsid w:val="007D5E0A"/>
    <w:rsid w:val="007D7C7B"/>
    <w:rsid w:val="007E18FA"/>
    <w:rsid w:val="007E304E"/>
    <w:rsid w:val="007E3D89"/>
    <w:rsid w:val="007E46AE"/>
    <w:rsid w:val="007E5210"/>
    <w:rsid w:val="007E7AFA"/>
    <w:rsid w:val="007F23CE"/>
    <w:rsid w:val="007F27C6"/>
    <w:rsid w:val="007F3C8D"/>
    <w:rsid w:val="007F4A1D"/>
    <w:rsid w:val="007F5F1E"/>
    <w:rsid w:val="007F621D"/>
    <w:rsid w:val="007F6537"/>
    <w:rsid w:val="00802C43"/>
    <w:rsid w:val="0080697C"/>
    <w:rsid w:val="00810F2C"/>
    <w:rsid w:val="00812539"/>
    <w:rsid w:val="008134C8"/>
    <w:rsid w:val="00816CF9"/>
    <w:rsid w:val="00826ECD"/>
    <w:rsid w:val="00827519"/>
    <w:rsid w:val="00835605"/>
    <w:rsid w:val="00835A0F"/>
    <w:rsid w:val="00836679"/>
    <w:rsid w:val="00837F18"/>
    <w:rsid w:val="00840F2D"/>
    <w:rsid w:val="00843B36"/>
    <w:rsid w:val="008446CE"/>
    <w:rsid w:val="00844846"/>
    <w:rsid w:val="008470B8"/>
    <w:rsid w:val="0084786F"/>
    <w:rsid w:val="0085025D"/>
    <w:rsid w:val="00852178"/>
    <w:rsid w:val="00853FF3"/>
    <w:rsid w:val="0085451D"/>
    <w:rsid w:val="00854EC8"/>
    <w:rsid w:val="008603B4"/>
    <w:rsid w:val="00861579"/>
    <w:rsid w:val="008640BE"/>
    <w:rsid w:val="008642D7"/>
    <w:rsid w:val="0086531E"/>
    <w:rsid w:val="00865C17"/>
    <w:rsid w:val="00867748"/>
    <w:rsid w:val="0086797E"/>
    <w:rsid w:val="00870BAC"/>
    <w:rsid w:val="00872D3A"/>
    <w:rsid w:val="00874731"/>
    <w:rsid w:val="00875AA2"/>
    <w:rsid w:val="00875D2D"/>
    <w:rsid w:val="0088069E"/>
    <w:rsid w:val="00880CB5"/>
    <w:rsid w:val="00882652"/>
    <w:rsid w:val="00884D77"/>
    <w:rsid w:val="008858E6"/>
    <w:rsid w:val="00885F41"/>
    <w:rsid w:val="008915FF"/>
    <w:rsid w:val="00891DB1"/>
    <w:rsid w:val="00895AA1"/>
    <w:rsid w:val="00896C72"/>
    <w:rsid w:val="008971FD"/>
    <w:rsid w:val="008A7260"/>
    <w:rsid w:val="008A7B66"/>
    <w:rsid w:val="008B026E"/>
    <w:rsid w:val="008B22EF"/>
    <w:rsid w:val="008B38BA"/>
    <w:rsid w:val="008B4249"/>
    <w:rsid w:val="008C0422"/>
    <w:rsid w:val="008C04D4"/>
    <w:rsid w:val="008C22D8"/>
    <w:rsid w:val="008C394A"/>
    <w:rsid w:val="008C3E90"/>
    <w:rsid w:val="008C4CE3"/>
    <w:rsid w:val="008C6B4B"/>
    <w:rsid w:val="008C6E76"/>
    <w:rsid w:val="008C7168"/>
    <w:rsid w:val="008D006F"/>
    <w:rsid w:val="008D2798"/>
    <w:rsid w:val="008D285F"/>
    <w:rsid w:val="008E0A8C"/>
    <w:rsid w:val="008E2435"/>
    <w:rsid w:val="008E2700"/>
    <w:rsid w:val="008E4C20"/>
    <w:rsid w:val="008E77FE"/>
    <w:rsid w:val="008E7B06"/>
    <w:rsid w:val="008F3AD2"/>
    <w:rsid w:val="008F6469"/>
    <w:rsid w:val="008F78FD"/>
    <w:rsid w:val="00902473"/>
    <w:rsid w:val="00902D37"/>
    <w:rsid w:val="00902F4F"/>
    <w:rsid w:val="00902F7B"/>
    <w:rsid w:val="00905226"/>
    <w:rsid w:val="009117E9"/>
    <w:rsid w:val="00913169"/>
    <w:rsid w:val="00913843"/>
    <w:rsid w:val="00914CC1"/>
    <w:rsid w:val="009154A1"/>
    <w:rsid w:val="00915506"/>
    <w:rsid w:val="00916EBB"/>
    <w:rsid w:val="00917137"/>
    <w:rsid w:val="00920276"/>
    <w:rsid w:val="00921736"/>
    <w:rsid w:val="0092264E"/>
    <w:rsid w:val="00923057"/>
    <w:rsid w:val="00923331"/>
    <w:rsid w:val="00923563"/>
    <w:rsid w:val="00924CEA"/>
    <w:rsid w:val="0092570A"/>
    <w:rsid w:val="00926CD2"/>
    <w:rsid w:val="00927DEE"/>
    <w:rsid w:val="00930C56"/>
    <w:rsid w:val="00933F9A"/>
    <w:rsid w:val="00934AED"/>
    <w:rsid w:val="00935F51"/>
    <w:rsid w:val="00936E96"/>
    <w:rsid w:val="00936F56"/>
    <w:rsid w:val="009375B7"/>
    <w:rsid w:val="00937A4F"/>
    <w:rsid w:val="00940A1A"/>
    <w:rsid w:val="00941EDA"/>
    <w:rsid w:val="00944FB6"/>
    <w:rsid w:val="00945C9B"/>
    <w:rsid w:val="00947B76"/>
    <w:rsid w:val="00952A4F"/>
    <w:rsid w:val="00954097"/>
    <w:rsid w:val="00955C4C"/>
    <w:rsid w:val="009567F0"/>
    <w:rsid w:val="00956D53"/>
    <w:rsid w:val="00956E53"/>
    <w:rsid w:val="00957F32"/>
    <w:rsid w:val="00961D71"/>
    <w:rsid w:val="00961E03"/>
    <w:rsid w:val="00963A67"/>
    <w:rsid w:val="009642DF"/>
    <w:rsid w:val="00966166"/>
    <w:rsid w:val="00966C76"/>
    <w:rsid w:val="0097107C"/>
    <w:rsid w:val="00974073"/>
    <w:rsid w:val="00976852"/>
    <w:rsid w:val="00981F35"/>
    <w:rsid w:val="009824C8"/>
    <w:rsid w:val="00986111"/>
    <w:rsid w:val="00987852"/>
    <w:rsid w:val="00993204"/>
    <w:rsid w:val="00993D85"/>
    <w:rsid w:val="009946BE"/>
    <w:rsid w:val="009956B4"/>
    <w:rsid w:val="0099600D"/>
    <w:rsid w:val="00997C03"/>
    <w:rsid w:val="009A08DF"/>
    <w:rsid w:val="009A64C4"/>
    <w:rsid w:val="009A7BFC"/>
    <w:rsid w:val="009A7DED"/>
    <w:rsid w:val="009B0CFA"/>
    <w:rsid w:val="009C20D0"/>
    <w:rsid w:val="009C219D"/>
    <w:rsid w:val="009C4614"/>
    <w:rsid w:val="009C797A"/>
    <w:rsid w:val="009C7D16"/>
    <w:rsid w:val="009D23EF"/>
    <w:rsid w:val="009D3A01"/>
    <w:rsid w:val="009D3EFA"/>
    <w:rsid w:val="009D51E6"/>
    <w:rsid w:val="009D5ECA"/>
    <w:rsid w:val="009D6159"/>
    <w:rsid w:val="009D7F7A"/>
    <w:rsid w:val="009E1D8F"/>
    <w:rsid w:val="009E1EC0"/>
    <w:rsid w:val="009E2D53"/>
    <w:rsid w:val="009E6C4F"/>
    <w:rsid w:val="009E70E6"/>
    <w:rsid w:val="009F0EFA"/>
    <w:rsid w:val="009F11CF"/>
    <w:rsid w:val="009F1279"/>
    <w:rsid w:val="009F2C4D"/>
    <w:rsid w:val="009F68B5"/>
    <w:rsid w:val="009F75F1"/>
    <w:rsid w:val="009F79AF"/>
    <w:rsid w:val="00A0449E"/>
    <w:rsid w:val="00A0545A"/>
    <w:rsid w:val="00A05B1C"/>
    <w:rsid w:val="00A0627B"/>
    <w:rsid w:val="00A07847"/>
    <w:rsid w:val="00A12857"/>
    <w:rsid w:val="00A160F6"/>
    <w:rsid w:val="00A16DCD"/>
    <w:rsid w:val="00A16FC1"/>
    <w:rsid w:val="00A224BA"/>
    <w:rsid w:val="00A24811"/>
    <w:rsid w:val="00A251C7"/>
    <w:rsid w:val="00A25D6E"/>
    <w:rsid w:val="00A2656D"/>
    <w:rsid w:val="00A26996"/>
    <w:rsid w:val="00A274FC"/>
    <w:rsid w:val="00A309AC"/>
    <w:rsid w:val="00A33319"/>
    <w:rsid w:val="00A33C7F"/>
    <w:rsid w:val="00A35945"/>
    <w:rsid w:val="00A35C59"/>
    <w:rsid w:val="00A4014F"/>
    <w:rsid w:val="00A42868"/>
    <w:rsid w:val="00A4417C"/>
    <w:rsid w:val="00A44A1E"/>
    <w:rsid w:val="00A4565A"/>
    <w:rsid w:val="00A50ED5"/>
    <w:rsid w:val="00A52CCD"/>
    <w:rsid w:val="00A545B2"/>
    <w:rsid w:val="00A554A0"/>
    <w:rsid w:val="00A56356"/>
    <w:rsid w:val="00A5745C"/>
    <w:rsid w:val="00A653A2"/>
    <w:rsid w:val="00A675FD"/>
    <w:rsid w:val="00A67A30"/>
    <w:rsid w:val="00A719F9"/>
    <w:rsid w:val="00A71BB0"/>
    <w:rsid w:val="00A74979"/>
    <w:rsid w:val="00A7696A"/>
    <w:rsid w:val="00A769C4"/>
    <w:rsid w:val="00A77231"/>
    <w:rsid w:val="00A7736C"/>
    <w:rsid w:val="00A77FFB"/>
    <w:rsid w:val="00A81690"/>
    <w:rsid w:val="00A822E9"/>
    <w:rsid w:val="00A83C88"/>
    <w:rsid w:val="00A850B7"/>
    <w:rsid w:val="00A90C30"/>
    <w:rsid w:val="00AA4BEA"/>
    <w:rsid w:val="00AA5215"/>
    <w:rsid w:val="00AA7474"/>
    <w:rsid w:val="00AB222F"/>
    <w:rsid w:val="00AB2280"/>
    <w:rsid w:val="00AB546D"/>
    <w:rsid w:val="00AB72B7"/>
    <w:rsid w:val="00AC1F01"/>
    <w:rsid w:val="00AC3BFA"/>
    <w:rsid w:val="00AC6D46"/>
    <w:rsid w:val="00AD4C00"/>
    <w:rsid w:val="00AD4D03"/>
    <w:rsid w:val="00AD64D8"/>
    <w:rsid w:val="00AD7301"/>
    <w:rsid w:val="00AE00C7"/>
    <w:rsid w:val="00AE1D5D"/>
    <w:rsid w:val="00AE3E85"/>
    <w:rsid w:val="00AE6470"/>
    <w:rsid w:val="00AE6AFF"/>
    <w:rsid w:val="00AF0A9D"/>
    <w:rsid w:val="00AF6C82"/>
    <w:rsid w:val="00AF71ED"/>
    <w:rsid w:val="00AF7784"/>
    <w:rsid w:val="00B10B5D"/>
    <w:rsid w:val="00B13D70"/>
    <w:rsid w:val="00B150ED"/>
    <w:rsid w:val="00B16B46"/>
    <w:rsid w:val="00B170A3"/>
    <w:rsid w:val="00B24A17"/>
    <w:rsid w:val="00B25FD4"/>
    <w:rsid w:val="00B27C06"/>
    <w:rsid w:val="00B377FF"/>
    <w:rsid w:val="00B37801"/>
    <w:rsid w:val="00B37A0A"/>
    <w:rsid w:val="00B400C6"/>
    <w:rsid w:val="00B434BE"/>
    <w:rsid w:val="00B44C9A"/>
    <w:rsid w:val="00B4752D"/>
    <w:rsid w:val="00B518D4"/>
    <w:rsid w:val="00B51E41"/>
    <w:rsid w:val="00B52F52"/>
    <w:rsid w:val="00B53945"/>
    <w:rsid w:val="00B54B9F"/>
    <w:rsid w:val="00B61B0D"/>
    <w:rsid w:val="00B62DB0"/>
    <w:rsid w:val="00B63FF7"/>
    <w:rsid w:val="00B64723"/>
    <w:rsid w:val="00B6608A"/>
    <w:rsid w:val="00B67B92"/>
    <w:rsid w:val="00B704AF"/>
    <w:rsid w:val="00B72250"/>
    <w:rsid w:val="00B76E81"/>
    <w:rsid w:val="00B8044B"/>
    <w:rsid w:val="00B81452"/>
    <w:rsid w:val="00B8270B"/>
    <w:rsid w:val="00B82AC7"/>
    <w:rsid w:val="00B85869"/>
    <w:rsid w:val="00B8709A"/>
    <w:rsid w:val="00B93C4E"/>
    <w:rsid w:val="00B93E9A"/>
    <w:rsid w:val="00BA0548"/>
    <w:rsid w:val="00BA07D8"/>
    <w:rsid w:val="00BA0F90"/>
    <w:rsid w:val="00BA1398"/>
    <w:rsid w:val="00BA2239"/>
    <w:rsid w:val="00BA2886"/>
    <w:rsid w:val="00BA4E0D"/>
    <w:rsid w:val="00BA76AF"/>
    <w:rsid w:val="00BB1AD4"/>
    <w:rsid w:val="00BB3145"/>
    <w:rsid w:val="00BC2DFF"/>
    <w:rsid w:val="00BC41F2"/>
    <w:rsid w:val="00BC44EE"/>
    <w:rsid w:val="00BD0908"/>
    <w:rsid w:val="00BD0DCE"/>
    <w:rsid w:val="00BD148B"/>
    <w:rsid w:val="00BD2782"/>
    <w:rsid w:val="00BD33F2"/>
    <w:rsid w:val="00BD54BF"/>
    <w:rsid w:val="00BD636C"/>
    <w:rsid w:val="00BD7175"/>
    <w:rsid w:val="00BE0DC8"/>
    <w:rsid w:val="00BE54EF"/>
    <w:rsid w:val="00BE79D1"/>
    <w:rsid w:val="00BF13A7"/>
    <w:rsid w:val="00BF4169"/>
    <w:rsid w:val="00BF472E"/>
    <w:rsid w:val="00BF7146"/>
    <w:rsid w:val="00BF7DFA"/>
    <w:rsid w:val="00C03CD1"/>
    <w:rsid w:val="00C07058"/>
    <w:rsid w:val="00C11584"/>
    <w:rsid w:val="00C12789"/>
    <w:rsid w:val="00C15933"/>
    <w:rsid w:val="00C167E7"/>
    <w:rsid w:val="00C20B4C"/>
    <w:rsid w:val="00C20CC5"/>
    <w:rsid w:val="00C21D9D"/>
    <w:rsid w:val="00C2494E"/>
    <w:rsid w:val="00C24D28"/>
    <w:rsid w:val="00C27D47"/>
    <w:rsid w:val="00C307BD"/>
    <w:rsid w:val="00C31F8A"/>
    <w:rsid w:val="00C3344D"/>
    <w:rsid w:val="00C33DA4"/>
    <w:rsid w:val="00C35789"/>
    <w:rsid w:val="00C42166"/>
    <w:rsid w:val="00C421CA"/>
    <w:rsid w:val="00C4296C"/>
    <w:rsid w:val="00C433B8"/>
    <w:rsid w:val="00C4446E"/>
    <w:rsid w:val="00C463AE"/>
    <w:rsid w:val="00C51E36"/>
    <w:rsid w:val="00C54CC6"/>
    <w:rsid w:val="00C604D0"/>
    <w:rsid w:val="00C61226"/>
    <w:rsid w:val="00C643AB"/>
    <w:rsid w:val="00C646B7"/>
    <w:rsid w:val="00C64C5A"/>
    <w:rsid w:val="00C65EDC"/>
    <w:rsid w:val="00C711CC"/>
    <w:rsid w:val="00C72EF9"/>
    <w:rsid w:val="00C81517"/>
    <w:rsid w:val="00C819A4"/>
    <w:rsid w:val="00C8247E"/>
    <w:rsid w:val="00C83786"/>
    <w:rsid w:val="00C84B2D"/>
    <w:rsid w:val="00C85CCE"/>
    <w:rsid w:val="00C870AF"/>
    <w:rsid w:val="00C903D3"/>
    <w:rsid w:val="00C91877"/>
    <w:rsid w:val="00C91CCF"/>
    <w:rsid w:val="00C926AF"/>
    <w:rsid w:val="00C93DC9"/>
    <w:rsid w:val="00CA07E4"/>
    <w:rsid w:val="00CA605D"/>
    <w:rsid w:val="00CA72F7"/>
    <w:rsid w:val="00CB0E45"/>
    <w:rsid w:val="00CB1B5C"/>
    <w:rsid w:val="00CB2F01"/>
    <w:rsid w:val="00CB6168"/>
    <w:rsid w:val="00CC1C6D"/>
    <w:rsid w:val="00CC4AF3"/>
    <w:rsid w:val="00CC5B87"/>
    <w:rsid w:val="00CD2056"/>
    <w:rsid w:val="00CD2501"/>
    <w:rsid w:val="00CD362B"/>
    <w:rsid w:val="00CD39B2"/>
    <w:rsid w:val="00CD3B11"/>
    <w:rsid w:val="00CD4E68"/>
    <w:rsid w:val="00CD5CFD"/>
    <w:rsid w:val="00CD5D29"/>
    <w:rsid w:val="00CD7F8F"/>
    <w:rsid w:val="00CE1B29"/>
    <w:rsid w:val="00CE29C5"/>
    <w:rsid w:val="00CE3C21"/>
    <w:rsid w:val="00CF08B0"/>
    <w:rsid w:val="00CF2576"/>
    <w:rsid w:val="00CF5802"/>
    <w:rsid w:val="00CF734C"/>
    <w:rsid w:val="00D048A7"/>
    <w:rsid w:val="00D05C08"/>
    <w:rsid w:val="00D13BFB"/>
    <w:rsid w:val="00D151CD"/>
    <w:rsid w:val="00D16C00"/>
    <w:rsid w:val="00D20003"/>
    <w:rsid w:val="00D244DC"/>
    <w:rsid w:val="00D269E0"/>
    <w:rsid w:val="00D26A2A"/>
    <w:rsid w:val="00D379B4"/>
    <w:rsid w:val="00D40316"/>
    <w:rsid w:val="00D413BF"/>
    <w:rsid w:val="00D426B1"/>
    <w:rsid w:val="00D42D47"/>
    <w:rsid w:val="00D43BD4"/>
    <w:rsid w:val="00D44AD6"/>
    <w:rsid w:val="00D513B3"/>
    <w:rsid w:val="00D5404C"/>
    <w:rsid w:val="00D54736"/>
    <w:rsid w:val="00D54B65"/>
    <w:rsid w:val="00D60660"/>
    <w:rsid w:val="00D6546A"/>
    <w:rsid w:val="00D703FE"/>
    <w:rsid w:val="00D7165F"/>
    <w:rsid w:val="00D750EB"/>
    <w:rsid w:val="00D77BBA"/>
    <w:rsid w:val="00D84F53"/>
    <w:rsid w:val="00D85A84"/>
    <w:rsid w:val="00D85C09"/>
    <w:rsid w:val="00D86EAE"/>
    <w:rsid w:val="00D936C9"/>
    <w:rsid w:val="00D94AF5"/>
    <w:rsid w:val="00DA26DF"/>
    <w:rsid w:val="00DA2FC4"/>
    <w:rsid w:val="00DA58BE"/>
    <w:rsid w:val="00DA6EC8"/>
    <w:rsid w:val="00DA7E22"/>
    <w:rsid w:val="00DB0521"/>
    <w:rsid w:val="00DB32C6"/>
    <w:rsid w:val="00DB537B"/>
    <w:rsid w:val="00DB623E"/>
    <w:rsid w:val="00DC15F1"/>
    <w:rsid w:val="00DC220C"/>
    <w:rsid w:val="00DD0473"/>
    <w:rsid w:val="00DD0B1F"/>
    <w:rsid w:val="00DD281C"/>
    <w:rsid w:val="00DD53BD"/>
    <w:rsid w:val="00DE0C29"/>
    <w:rsid w:val="00DE3FEA"/>
    <w:rsid w:val="00DF27DD"/>
    <w:rsid w:val="00E02BE4"/>
    <w:rsid w:val="00E049B4"/>
    <w:rsid w:val="00E0514B"/>
    <w:rsid w:val="00E05A3F"/>
    <w:rsid w:val="00E05FB1"/>
    <w:rsid w:val="00E06DAD"/>
    <w:rsid w:val="00E103B0"/>
    <w:rsid w:val="00E1107B"/>
    <w:rsid w:val="00E147DD"/>
    <w:rsid w:val="00E2569F"/>
    <w:rsid w:val="00E26E2E"/>
    <w:rsid w:val="00E33FE5"/>
    <w:rsid w:val="00E34A2A"/>
    <w:rsid w:val="00E35AF0"/>
    <w:rsid w:val="00E362B3"/>
    <w:rsid w:val="00E37EE7"/>
    <w:rsid w:val="00E422E3"/>
    <w:rsid w:val="00E43688"/>
    <w:rsid w:val="00E4452B"/>
    <w:rsid w:val="00E45616"/>
    <w:rsid w:val="00E456C6"/>
    <w:rsid w:val="00E47526"/>
    <w:rsid w:val="00E47B5C"/>
    <w:rsid w:val="00E5289B"/>
    <w:rsid w:val="00E535FA"/>
    <w:rsid w:val="00E56BA7"/>
    <w:rsid w:val="00E5771D"/>
    <w:rsid w:val="00E60187"/>
    <w:rsid w:val="00E606E9"/>
    <w:rsid w:val="00E63FCD"/>
    <w:rsid w:val="00E64F8A"/>
    <w:rsid w:val="00E67750"/>
    <w:rsid w:val="00E677E7"/>
    <w:rsid w:val="00E71190"/>
    <w:rsid w:val="00E75CA7"/>
    <w:rsid w:val="00E763F4"/>
    <w:rsid w:val="00E76523"/>
    <w:rsid w:val="00E76A46"/>
    <w:rsid w:val="00E76B5C"/>
    <w:rsid w:val="00E836AF"/>
    <w:rsid w:val="00E85601"/>
    <w:rsid w:val="00E85EF4"/>
    <w:rsid w:val="00E85EFB"/>
    <w:rsid w:val="00E86E91"/>
    <w:rsid w:val="00E92CEE"/>
    <w:rsid w:val="00E94566"/>
    <w:rsid w:val="00E94860"/>
    <w:rsid w:val="00E96491"/>
    <w:rsid w:val="00EA19C9"/>
    <w:rsid w:val="00EA63A7"/>
    <w:rsid w:val="00EA659F"/>
    <w:rsid w:val="00EA739D"/>
    <w:rsid w:val="00EB1E10"/>
    <w:rsid w:val="00EB4B23"/>
    <w:rsid w:val="00EB61B9"/>
    <w:rsid w:val="00EB7547"/>
    <w:rsid w:val="00EB7684"/>
    <w:rsid w:val="00EC008D"/>
    <w:rsid w:val="00EC0FD6"/>
    <w:rsid w:val="00EC2B23"/>
    <w:rsid w:val="00EC4A17"/>
    <w:rsid w:val="00EC744D"/>
    <w:rsid w:val="00ED10BE"/>
    <w:rsid w:val="00ED1D3A"/>
    <w:rsid w:val="00ED256B"/>
    <w:rsid w:val="00ED44D2"/>
    <w:rsid w:val="00ED65A6"/>
    <w:rsid w:val="00EE0440"/>
    <w:rsid w:val="00EE08E8"/>
    <w:rsid w:val="00EE6196"/>
    <w:rsid w:val="00EE77A2"/>
    <w:rsid w:val="00EF0867"/>
    <w:rsid w:val="00EF31CF"/>
    <w:rsid w:val="00EF478C"/>
    <w:rsid w:val="00EF4C0F"/>
    <w:rsid w:val="00EF5557"/>
    <w:rsid w:val="00EF5966"/>
    <w:rsid w:val="00EF63BE"/>
    <w:rsid w:val="00EF7692"/>
    <w:rsid w:val="00F115B7"/>
    <w:rsid w:val="00F12DCE"/>
    <w:rsid w:val="00F12FAD"/>
    <w:rsid w:val="00F13B57"/>
    <w:rsid w:val="00F141EC"/>
    <w:rsid w:val="00F142CB"/>
    <w:rsid w:val="00F16A17"/>
    <w:rsid w:val="00F20E96"/>
    <w:rsid w:val="00F25A51"/>
    <w:rsid w:val="00F260C9"/>
    <w:rsid w:val="00F272B2"/>
    <w:rsid w:val="00F27CCD"/>
    <w:rsid w:val="00F30B11"/>
    <w:rsid w:val="00F31418"/>
    <w:rsid w:val="00F32DEE"/>
    <w:rsid w:val="00F34519"/>
    <w:rsid w:val="00F34A43"/>
    <w:rsid w:val="00F35998"/>
    <w:rsid w:val="00F44C19"/>
    <w:rsid w:val="00F44F26"/>
    <w:rsid w:val="00F455C2"/>
    <w:rsid w:val="00F457C3"/>
    <w:rsid w:val="00F45C7C"/>
    <w:rsid w:val="00F47CAA"/>
    <w:rsid w:val="00F502BA"/>
    <w:rsid w:val="00F5385D"/>
    <w:rsid w:val="00F538CE"/>
    <w:rsid w:val="00F573A4"/>
    <w:rsid w:val="00F57711"/>
    <w:rsid w:val="00F65186"/>
    <w:rsid w:val="00F67DD9"/>
    <w:rsid w:val="00F7009B"/>
    <w:rsid w:val="00F70C0E"/>
    <w:rsid w:val="00F7137F"/>
    <w:rsid w:val="00F724E2"/>
    <w:rsid w:val="00F73835"/>
    <w:rsid w:val="00F73A5A"/>
    <w:rsid w:val="00F742F9"/>
    <w:rsid w:val="00F7764C"/>
    <w:rsid w:val="00F819EA"/>
    <w:rsid w:val="00F82744"/>
    <w:rsid w:val="00F828C2"/>
    <w:rsid w:val="00F82F67"/>
    <w:rsid w:val="00F8507F"/>
    <w:rsid w:val="00F864B6"/>
    <w:rsid w:val="00F90544"/>
    <w:rsid w:val="00F9421B"/>
    <w:rsid w:val="00F94FF9"/>
    <w:rsid w:val="00F95D36"/>
    <w:rsid w:val="00F9791A"/>
    <w:rsid w:val="00FA02D8"/>
    <w:rsid w:val="00FA0BA7"/>
    <w:rsid w:val="00FA2355"/>
    <w:rsid w:val="00FA2933"/>
    <w:rsid w:val="00FB05EA"/>
    <w:rsid w:val="00FB2AE2"/>
    <w:rsid w:val="00FB43F5"/>
    <w:rsid w:val="00FB6776"/>
    <w:rsid w:val="00FC3370"/>
    <w:rsid w:val="00FC372B"/>
    <w:rsid w:val="00FC3C0B"/>
    <w:rsid w:val="00FC43F4"/>
    <w:rsid w:val="00FC527B"/>
    <w:rsid w:val="00FC62E0"/>
    <w:rsid w:val="00FD0195"/>
    <w:rsid w:val="00FD4657"/>
    <w:rsid w:val="00FD489F"/>
    <w:rsid w:val="00FD78CF"/>
    <w:rsid w:val="00FD7E27"/>
    <w:rsid w:val="00FE0CE3"/>
    <w:rsid w:val="00FE18BF"/>
    <w:rsid w:val="00FE3E5B"/>
    <w:rsid w:val="00FE49B3"/>
    <w:rsid w:val="00FE6063"/>
    <w:rsid w:val="00FF1C46"/>
    <w:rsid w:val="00FF5537"/>
    <w:rsid w:val="00FF6478"/>
    <w:rsid w:val="00FF7B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0BD64B"/>
  <w15:docId w15:val="{4B5B2504-8F90-46C1-A460-E32FFE6A6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22D8"/>
    <w:pPr>
      <w:suppressAutoHyphens/>
      <w:spacing w:line="240" w:lineRule="exact"/>
    </w:pPr>
    <w:rPr>
      <w:spacing w:val="4"/>
      <w:w w:val="103"/>
      <w:kern w:val="1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SingleTxt"/>
    <w:rsid w:val="00E049B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1267" w:hanging="1267"/>
      <w:outlineLvl w:val="0"/>
    </w:pPr>
    <w:rPr>
      <w:b/>
      <w:sz w:val="24"/>
    </w:rPr>
  </w:style>
  <w:style w:type="paragraph" w:customStyle="1" w:styleId="HCh">
    <w:name w:val="_ H _Ch"/>
    <w:basedOn w:val="H1"/>
    <w:next w:val="SingleTxt"/>
    <w:rsid w:val="00E049B4"/>
    <w:pPr>
      <w:spacing w:line="300" w:lineRule="exact"/>
      <w:ind w:left="0" w:right="0" w:firstLine="0"/>
    </w:pPr>
    <w:rPr>
      <w:spacing w:val="-2"/>
      <w:sz w:val="28"/>
    </w:rPr>
  </w:style>
  <w:style w:type="paragraph" w:customStyle="1" w:styleId="HM">
    <w:name w:val="_ H __M"/>
    <w:basedOn w:val="HCh"/>
    <w:next w:val="Normal"/>
    <w:rsid w:val="00E049B4"/>
    <w:pPr>
      <w:spacing w:line="360" w:lineRule="exact"/>
    </w:pPr>
    <w:rPr>
      <w:spacing w:val="-3"/>
      <w:w w:val="99"/>
      <w:sz w:val="34"/>
    </w:rPr>
  </w:style>
  <w:style w:type="paragraph" w:customStyle="1" w:styleId="H23">
    <w:name w:val="_ H_2/3"/>
    <w:basedOn w:val="H1"/>
    <w:next w:val="SingleTxt"/>
    <w:rsid w:val="00E049B4"/>
    <w:pPr>
      <w:spacing w:line="240" w:lineRule="exact"/>
      <w:outlineLvl w:val="1"/>
    </w:pPr>
    <w:rPr>
      <w:spacing w:val="2"/>
      <w:sz w:val="20"/>
    </w:rPr>
  </w:style>
  <w:style w:type="paragraph" w:customStyle="1" w:styleId="H4">
    <w:name w:val="_ H_4"/>
    <w:basedOn w:val="Normal"/>
    <w:next w:val="Normal"/>
    <w:rsid w:val="00E049B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3"/>
    </w:pPr>
    <w:rPr>
      <w:i/>
      <w:spacing w:val="3"/>
    </w:rPr>
  </w:style>
  <w:style w:type="paragraph" w:customStyle="1" w:styleId="H56">
    <w:name w:val="_ H_5/6"/>
    <w:basedOn w:val="Normal"/>
    <w:next w:val="Normal"/>
    <w:rsid w:val="00E049B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4"/>
    </w:pPr>
  </w:style>
  <w:style w:type="paragraph" w:customStyle="1" w:styleId="DualTxt">
    <w:name w:val="__Dual Txt"/>
    <w:basedOn w:val="Normal"/>
    <w:rsid w:val="00546F5D"/>
    <w:pPr>
      <w:tabs>
        <w:tab w:val="left" w:pos="480"/>
        <w:tab w:val="left" w:pos="960"/>
        <w:tab w:val="left" w:pos="1440"/>
        <w:tab w:val="left" w:pos="1915"/>
        <w:tab w:val="left" w:pos="2405"/>
        <w:tab w:val="left" w:pos="2880"/>
        <w:tab w:val="left" w:pos="3355"/>
      </w:tabs>
      <w:spacing w:after="120"/>
      <w:jc w:val="both"/>
    </w:pPr>
  </w:style>
  <w:style w:type="paragraph" w:customStyle="1" w:styleId="SM">
    <w:name w:val="__S_M"/>
    <w:basedOn w:val="Normal"/>
    <w:next w:val="Normal"/>
    <w:rsid w:val="00546F5D"/>
    <w:pPr>
      <w:keepNext/>
      <w:keepLines/>
      <w:tabs>
        <w:tab w:val="right" w:leader="dot" w:pos="360"/>
      </w:tabs>
      <w:spacing w:line="390" w:lineRule="exact"/>
      <w:ind w:left="1267" w:right="1267"/>
      <w:outlineLvl w:val="0"/>
    </w:pPr>
    <w:rPr>
      <w:b/>
      <w:spacing w:val="-4"/>
      <w:w w:val="98"/>
      <w:sz w:val="40"/>
    </w:rPr>
  </w:style>
  <w:style w:type="paragraph" w:customStyle="1" w:styleId="SL">
    <w:name w:val="__S_L"/>
    <w:basedOn w:val="SM"/>
    <w:next w:val="Normal"/>
    <w:rsid w:val="00546F5D"/>
    <w:pPr>
      <w:spacing w:line="540" w:lineRule="exact"/>
    </w:pPr>
    <w:rPr>
      <w:spacing w:val="-8"/>
      <w:w w:val="96"/>
      <w:sz w:val="57"/>
    </w:rPr>
  </w:style>
  <w:style w:type="paragraph" w:customStyle="1" w:styleId="SS">
    <w:name w:val="__S_S"/>
    <w:basedOn w:val="HCh"/>
    <w:next w:val="Normal"/>
    <w:rsid w:val="00546F5D"/>
    <w:pPr>
      <w:ind w:left="1267" w:right="1267"/>
    </w:pPr>
  </w:style>
  <w:style w:type="paragraph" w:customStyle="1" w:styleId="SingleTxt">
    <w:name w:val="__Single Txt"/>
    <w:basedOn w:val="Normal"/>
    <w:rsid w:val="00546F5D"/>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style>
  <w:style w:type="paragraph" w:styleId="BalloonText">
    <w:name w:val="Balloon Text"/>
    <w:basedOn w:val="Normal"/>
    <w:semiHidden/>
    <w:rsid w:val="00546F5D"/>
    <w:rPr>
      <w:rFonts w:ascii="Tahoma" w:hAnsi="Tahoma" w:cs="Tahoma"/>
      <w:sz w:val="16"/>
      <w:szCs w:val="16"/>
    </w:rPr>
  </w:style>
  <w:style w:type="character" w:styleId="CommentReference">
    <w:name w:val="annotation reference"/>
    <w:semiHidden/>
    <w:rsid w:val="00546F5D"/>
    <w:rPr>
      <w:sz w:val="6"/>
    </w:rPr>
  </w:style>
  <w:style w:type="character" w:styleId="FootnoteReference">
    <w:name w:val="footnote reference"/>
    <w:semiHidden/>
    <w:rsid w:val="008C22D8"/>
    <w:rPr>
      <w:color w:val="auto"/>
      <w:spacing w:val="5"/>
      <w:w w:val="103"/>
      <w:kern w:val="14"/>
      <w:position w:val="0"/>
      <w:vertAlign w:val="superscript"/>
      <w14:ligatures w14:val="none"/>
      <w14:numForm w14:val="default"/>
      <w14:numSpacing w14:val="default"/>
      <w14:stylisticSets/>
      <w14:cntxtAlts w14:val="0"/>
    </w:rPr>
  </w:style>
  <w:style w:type="character" w:styleId="EndnoteReference">
    <w:name w:val="endnote reference"/>
    <w:semiHidden/>
    <w:rsid w:val="009956B4"/>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styleId="FootnoteText">
    <w:name w:val="footnote text"/>
    <w:basedOn w:val="Normal"/>
    <w:rsid w:val="005F5764"/>
    <w:pPr>
      <w:widowControl w:val="0"/>
      <w:tabs>
        <w:tab w:val="right" w:pos="418"/>
      </w:tabs>
      <w:spacing w:line="210" w:lineRule="exact"/>
      <w:ind w:left="475" w:hanging="475"/>
    </w:pPr>
    <w:rPr>
      <w:spacing w:val="5"/>
      <w:sz w:val="17"/>
    </w:rPr>
  </w:style>
  <w:style w:type="paragraph" w:styleId="EndnoteText">
    <w:name w:val="endnote text"/>
    <w:basedOn w:val="FootnoteText"/>
    <w:semiHidden/>
    <w:rsid w:val="00546F5D"/>
  </w:style>
  <w:style w:type="paragraph" w:styleId="Footer">
    <w:name w:val="footer"/>
    <w:rsid w:val="00546F5D"/>
    <w:pPr>
      <w:tabs>
        <w:tab w:val="center" w:pos="4320"/>
        <w:tab w:val="right" w:pos="8640"/>
      </w:tabs>
    </w:pPr>
    <w:rPr>
      <w:b/>
      <w:noProof/>
      <w:sz w:val="17"/>
    </w:rPr>
  </w:style>
  <w:style w:type="paragraph" w:styleId="Header">
    <w:name w:val="header"/>
    <w:rsid w:val="00546F5D"/>
    <w:pPr>
      <w:tabs>
        <w:tab w:val="center" w:pos="4320"/>
        <w:tab w:val="right" w:pos="8640"/>
      </w:tabs>
    </w:pPr>
    <w:rPr>
      <w:noProof/>
      <w:sz w:val="17"/>
    </w:rPr>
  </w:style>
  <w:style w:type="character" w:styleId="LineNumber">
    <w:name w:val="line number"/>
    <w:rsid w:val="00546F5D"/>
    <w:rPr>
      <w:sz w:val="14"/>
    </w:rPr>
  </w:style>
  <w:style w:type="paragraph" w:customStyle="1" w:styleId="Small">
    <w:name w:val="Small"/>
    <w:basedOn w:val="Normal"/>
    <w:next w:val="Normal"/>
    <w:rsid w:val="00546F5D"/>
    <w:pPr>
      <w:tabs>
        <w:tab w:val="right" w:pos="9965"/>
      </w:tabs>
      <w:spacing w:line="210" w:lineRule="exact"/>
    </w:pPr>
    <w:rPr>
      <w:spacing w:val="5"/>
      <w:w w:val="104"/>
      <w:sz w:val="17"/>
    </w:rPr>
  </w:style>
  <w:style w:type="paragraph" w:customStyle="1" w:styleId="SmallX">
    <w:name w:val="SmallX"/>
    <w:basedOn w:val="Small"/>
    <w:next w:val="Normal"/>
    <w:rsid w:val="00546F5D"/>
    <w:pPr>
      <w:spacing w:line="180" w:lineRule="exact"/>
      <w:jc w:val="right"/>
    </w:pPr>
    <w:rPr>
      <w:spacing w:val="6"/>
      <w:w w:val="106"/>
      <w:sz w:val="14"/>
    </w:rPr>
  </w:style>
  <w:style w:type="paragraph" w:customStyle="1" w:styleId="XLarge">
    <w:name w:val="XLarge"/>
    <w:basedOn w:val="HM"/>
    <w:rsid w:val="00546F5D"/>
    <w:pPr>
      <w:spacing w:line="390" w:lineRule="exact"/>
    </w:pPr>
    <w:rPr>
      <w:spacing w:val="-4"/>
      <w:w w:val="98"/>
      <w:sz w:val="40"/>
    </w:rPr>
  </w:style>
  <w:style w:type="paragraph" w:styleId="PlainText">
    <w:name w:val="Plain Text"/>
    <w:basedOn w:val="Normal"/>
    <w:rsid w:val="0067014A"/>
    <w:pPr>
      <w:suppressAutoHyphens w:val="0"/>
      <w:spacing w:line="240" w:lineRule="auto"/>
    </w:pPr>
    <w:rPr>
      <w:rFonts w:ascii="Courier New" w:eastAsia="Times New Roman" w:hAnsi="Courier New"/>
      <w:spacing w:val="0"/>
      <w:w w:val="100"/>
      <w:kern w:val="0"/>
      <w:lang w:val="en-US" w:eastAsia="en-GB"/>
    </w:rPr>
  </w:style>
  <w:style w:type="table" w:styleId="TableGrid">
    <w:name w:val="Table Grid"/>
    <w:basedOn w:val="TableNormal"/>
    <w:rsid w:val="0067014A"/>
    <w:pPr>
      <w:suppressAutoHyphens/>
      <w:spacing w:line="240" w:lineRule="exact"/>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endaTitle">
    <w:name w:val="AgendaTitle"/>
    <w:basedOn w:val="Normal"/>
    <w:next w:val="Normal"/>
    <w:rsid w:val="008C04D4"/>
  </w:style>
  <w:style w:type="paragraph" w:customStyle="1" w:styleId="Committee">
    <w:name w:val="Committee"/>
    <w:basedOn w:val="H1"/>
    <w:rsid w:val="008C04D4"/>
    <w:pPr>
      <w:ind w:left="0" w:firstLine="0"/>
    </w:pPr>
  </w:style>
  <w:style w:type="paragraph" w:customStyle="1" w:styleId="Session">
    <w:name w:val="Session"/>
    <w:basedOn w:val="H23"/>
    <w:rsid w:val="00146E4B"/>
    <w:pPr>
      <w:ind w:left="0" w:firstLine="0"/>
    </w:pPr>
    <w:rPr>
      <w:spacing w:val="4"/>
    </w:rPr>
  </w:style>
  <w:style w:type="paragraph" w:customStyle="1" w:styleId="Sponsors">
    <w:name w:val="Sponsors"/>
    <w:basedOn w:val="H23"/>
    <w:rsid w:val="008C04D4"/>
  </w:style>
  <w:style w:type="paragraph" w:customStyle="1" w:styleId="Title1">
    <w:name w:val="Title 1"/>
    <w:basedOn w:val="HCh"/>
    <w:rsid w:val="00146E4B"/>
    <w:pPr>
      <w:ind w:left="1267" w:right="1267" w:hanging="1267"/>
    </w:pPr>
  </w:style>
  <w:style w:type="paragraph" w:customStyle="1" w:styleId="Title2">
    <w:name w:val="Title 2"/>
    <w:basedOn w:val="H1"/>
    <w:rsid w:val="008C04D4"/>
    <w:pPr>
      <w:ind w:left="0" w:right="0" w:firstLine="0"/>
    </w:pPr>
  </w:style>
  <w:style w:type="paragraph" w:customStyle="1" w:styleId="Type">
    <w:name w:val="Type"/>
    <w:basedOn w:val="H23"/>
    <w:autoRedefine/>
    <w:rsid w:val="00225B63"/>
    <w:pPr>
      <w:ind w:left="0" w:right="576" w:firstLine="0"/>
    </w:pPr>
  </w:style>
  <w:style w:type="paragraph" w:customStyle="1" w:styleId="Distribution">
    <w:name w:val="Distribution"/>
    <w:next w:val="Normal"/>
    <w:rsid w:val="00275598"/>
    <w:pPr>
      <w:spacing w:before="240"/>
    </w:pPr>
    <w:rPr>
      <w:spacing w:val="4"/>
      <w:w w:val="103"/>
      <w:kern w:val="14"/>
      <w:lang w:val="en-GB"/>
    </w:rPr>
  </w:style>
  <w:style w:type="paragraph" w:customStyle="1" w:styleId="Publication">
    <w:name w:val="Publication"/>
    <w:next w:val="Normal"/>
    <w:rsid w:val="009F0EFA"/>
    <w:rPr>
      <w:spacing w:val="4"/>
      <w:w w:val="103"/>
      <w:kern w:val="14"/>
      <w:lang w:val="en-GB"/>
    </w:rPr>
  </w:style>
  <w:style w:type="paragraph" w:customStyle="1" w:styleId="Original">
    <w:name w:val="Original"/>
    <w:next w:val="Normal"/>
    <w:rsid w:val="009F0EFA"/>
    <w:rPr>
      <w:spacing w:val="4"/>
      <w:w w:val="103"/>
      <w:kern w:val="14"/>
      <w:lang w:val="en-GB"/>
    </w:rPr>
  </w:style>
  <w:style w:type="paragraph" w:customStyle="1" w:styleId="ReleaseDate">
    <w:name w:val="Release Date"/>
    <w:next w:val="Footer"/>
    <w:rsid w:val="009F0EFA"/>
    <w:rPr>
      <w:spacing w:val="4"/>
      <w:w w:val="103"/>
      <w:kern w:val="14"/>
      <w:lang w:val="en-GB"/>
    </w:rPr>
  </w:style>
  <w:style w:type="character" w:styleId="Hyperlink">
    <w:name w:val="Hyperlink"/>
    <w:basedOn w:val="DefaultParagraphFont"/>
    <w:rsid w:val="00AC3BFA"/>
    <w:rPr>
      <w:color w:val="0000FF"/>
      <w:u w:val="none"/>
    </w:rPr>
  </w:style>
  <w:style w:type="paragraph" w:customStyle="1" w:styleId="Bullet1">
    <w:name w:val="Bullet 1"/>
    <w:basedOn w:val="Normal"/>
    <w:qFormat/>
    <w:rsid w:val="00BA2886"/>
    <w:pPr>
      <w:numPr>
        <w:numId w:val="2"/>
      </w:numPr>
      <w:spacing w:after="120" w:line="240" w:lineRule="atLeast"/>
      <w:ind w:left="1743" w:right="1267" w:hanging="130"/>
      <w:jc w:val="both"/>
    </w:pPr>
  </w:style>
  <w:style w:type="paragraph" w:customStyle="1" w:styleId="Bullet2">
    <w:name w:val="Bullet 2"/>
    <w:basedOn w:val="Normal"/>
    <w:qFormat/>
    <w:rsid w:val="00BA2886"/>
    <w:pPr>
      <w:numPr>
        <w:numId w:val="1"/>
      </w:numPr>
      <w:spacing w:after="120"/>
      <w:ind w:left="2217" w:right="1264" w:hanging="130"/>
      <w:jc w:val="both"/>
    </w:pPr>
  </w:style>
  <w:style w:type="paragraph" w:customStyle="1" w:styleId="Bullet3">
    <w:name w:val="Bullet 3"/>
    <w:basedOn w:val="SingleTxt"/>
    <w:qFormat/>
    <w:rsid w:val="00F47CAA"/>
    <w:pPr>
      <w:numPr>
        <w:numId w:val="3"/>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paragraph" w:styleId="CommentText">
    <w:name w:val="annotation text"/>
    <w:basedOn w:val="Normal"/>
    <w:link w:val="CommentTextChar"/>
    <w:rsid w:val="00981F35"/>
    <w:pPr>
      <w:spacing w:line="240" w:lineRule="auto"/>
    </w:pPr>
  </w:style>
  <w:style w:type="character" w:customStyle="1" w:styleId="CommentTextChar">
    <w:name w:val="Comment Text Char"/>
    <w:basedOn w:val="DefaultParagraphFont"/>
    <w:link w:val="CommentText"/>
    <w:rsid w:val="00981F35"/>
    <w:rPr>
      <w:spacing w:val="4"/>
      <w:w w:val="103"/>
      <w:kern w:val="14"/>
      <w:lang w:val="en-GB"/>
    </w:rPr>
  </w:style>
  <w:style w:type="paragraph" w:styleId="CommentSubject">
    <w:name w:val="annotation subject"/>
    <w:basedOn w:val="CommentText"/>
    <w:next w:val="CommentText"/>
    <w:link w:val="CommentSubjectChar"/>
    <w:rsid w:val="00981F35"/>
    <w:rPr>
      <w:b/>
      <w:bCs/>
    </w:rPr>
  </w:style>
  <w:style w:type="character" w:customStyle="1" w:styleId="CommentSubjectChar">
    <w:name w:val="Comment Subject Char"/>
    <w:basedOn w:val="CommentTextChar"/>
    <w:link w:val="CommentSubject"/>
    <w:rsid w:val="00981F35"/>
    <w:rPr>
      <w:b/>
      <w:bCs/>
      <w:spacing w:val="4"/>
      <w:w w:val="103"/>
      <w:kern w:val="14"/>
      <w:lang w:val="en-GB"/>
    </w:rPr>
  </w:style>
  <w:style w:type="character" w:styleId="FollowedHyperlink">
    <w:name w:val="FollowedHyperlink"/>
    <w:basedOn w:val="DefaultParagraphFont"/>
    <w:rsid w:val="00D26A2A"/>
    <w:rPr>
      <w:color w:val="0000FF"/>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B2C6C0-5B39-4688-A461-9EDEAEE6E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1845</Words>
  <Characters>10520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Etpu</vt:lpstr>
    </vt:vector>
  </TitlesOfParts>
  <Company>United Nations</Company>
  <LinksUpToDate>false</LinksUpToDate>
  <CharactersWithSpaces>12341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Etpu</dc:title>
  <dc:creator>Jayne Grodd</dc:creator>
  <cp:lastModifiedBy>Sarah Willig</cp:lastModifiedBy>
  <cp:revision>2</cp:revision>
  <cp:lastPrinted>2015-11-06T14:27:00Z</cp:lastPrinted>
  <dcterms:created xsi:type="dcterms:W3CDTF">2017-04-06T22:21:00Z</dcterms:created>
  <dcterms:modified xsi:type="dcterms:W3CDTF">2017-04-06T22:21:00Z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1514367</vt:lpwstr>
  </property>
  <property fmtid="{D5CDD505-2E9C-101B-9397-08002B2CF9AE}" pid="3" name="ODSRefJobNo">
    <vt:lpwstr>1526417E</vt:lpwstr>
  </property>
  <property fmtid="{D5CDD505-2E9C-101B-9397-08002B2CF9AE}" pid="4" name="Symbol1">
    <vt:lpwstr>CEDAW/C/61/D/50/2013</vt:lpwstr>
  </property>
  <property fmtid="{D5CDD505-2E9C-101B-9397-08002B2CF9AE}" pid="5" name="Symbol2">
    <vt:lpwstr/>
  </property>
  <property fmtid="{D5CDD505-2E9C-101B-9397-08002B2CF9AE}" pid="6" name="Translator">
    <vt:lpwstr/>
  </property>
  <property fmtid="{D5CDD505-2E9C-101B-9397-08002B2CF9AE}" pid="7" name="Distribution">
    <vt:lpwstr>General</vt:lpwstr>
  </property>
  <property fmtid="{D5CDD505-2E9C-101B-9397-08002B2CF9AE}" pid="8" name="Publication Date">
    <vt:lpwstr>25 August 2015</vt:lpwstr>
  </property>
  <property fmtid="{D5CDD505-2E9C-101B-9397-08002B2CF9AE}" pid="9" name="Original">
    <vt:lpwstr>English</vt:lpwstr>
  </property>
  <property fmtid="{D5CDD505-2E9C-101B-9397-08002B2CF9AE}" pid="10" name="Release Date">
    <vt:lpwstr>021115</vt:lpwstr>
  </property>
  <property fmtid="{D5CDD505-2E9C-101B-9397-08002B2CF9AE}" pid="11" name="Comment">
    <vt:lpwstr/>
  </property>
  <property fmtid="{D5CDD505-2E9C-101B-9397-08002B2CF9AE}" pid="12" name="DraftPages">
    <vt:lpwstr>Final - 6p</vt:lpwstr>
  </property>
  <property fmtid="{D5CDD505-2E9C-101B-9397-08002B2CF9AE}" pid="13" name="Operator">
    <vt:lpwstr>scc (F)</vt:lpwstr>
  </property>
</Properties>
</file>