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4B2A63">
            <w:pPr>
              <w:jc w:val="right"/>
            </w:pPr>
            <w:r w:rsidRPr="008216A5">
              <w:rPr>
                <w:sz w:val="40"/>
              </w:rPr>
              <w:t>CCPR</w:t>
            </w:r>
            <w:r>
              <w:t>/C/1</w:t>
            </w:r>
            <w:r w:rsidR="00711F00">
              <w:t>1</w:t>
            </w:r>
            <w:r w:rsidR="00BD51C5">
              <w:t>7</w:t>
            </w:r>
            <w:r>
              <w:t>/D/</w:t>
            </w:r>
            <w:r w:rsidR="008B5946">
              <w:t>2</w:t>
            </w:r>
            <w:r w:rsidR="003A35EF">
              <w:t>559</w:t>
            </w:r>
            <w:r>
              <w:t>/</w:t>
            </w:r>
            <w:r w:rsidR="00AE50CE">
              <w:t>20</w:t>
            </w:r>
            <w:r w:rsidR="008B5946">
              <w:t>1</w:t>
            </w:r>
            <w:r w:rsidR="003A35EF">
              <w:t>5</w:t>
            </w:r>
          </w:p>
        </w:tc>
      </w:tr>
      <w:tr w:rsidR="00B56E9C" w:rsidTr="00A9008E">
        <w:trPr>
          <w:cantSplit/>
          <w:trHeight w:hRule="exact" w:val="2706"/>
        </w:trPr>
        <w:tc>
          <w:tcPr>
            <w:tcW w:w="1276" w:type="dxa"/>
            <w:tcBorders>
              <w:top w:val="single" w:sz="4" w:space="0" w:color="auto"/>
              <w:bottom w:val="single" w:sz="12" w:space="0" w:color="auto"/>
            </w:tcBorders>
          </w:tcPr>
          <w:p w:rsidR="00B56E9C" w:rsidRDefault="00B92AA1" w:rsidP="00B6553F">
            <w:pPr>
              <w:spacing w:before="120"/>
            </w:pPr>
            <w:r>
              <w:rPr>
                <w:noProof/>
                <w:lang w:eastAsia="zh-CN"/>
              </w:rPr>
              <w:drawing>
                <wp:inline distT="0" distB="0" distL="0" distR="0" wp14:anchorId="3BBF938E" wp14:editId="3F8C826E">
                  <wp:extent cx="713740"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740"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B2A63" w:rsidRPr="00267F5F" w:rsidRDefault="00B56E9C" w:rsidP="0029659E">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675A40" w:rsidRPr="00463B9A" w:rsidRDefault="00675A40" w:rsidP="00675A40">
            <w:pPr>
              <w:spacing w:before="240" w:line="240" w:lineRule="exact"/>
            </w:pPr>
            <w:r w:rsidRPr="00463B9A">
              <w:t xml:space="preserve">Distr.: </w:t>
            </w:r>
            <w:r w:rsidR="004B2A63">
              <w:t>General</w:t>
            </w:r>
          </w:p>
          <w:p w:rsidR="00675A40" w:rsidRPr="00463B9A" w:rsidRDefault="007C1475" w:rsidP="00CD3533">
            <w:pPr>
              <w:spacing w:line="240" w:lineRule="exact"/>
            </w:pPr>
            <w:r>
              <w:t>9</w:t>
            </w:r>
            <w:r w:rsidR="00AE22B0">
              <w:t xml:space="preserve"> September</w:t>
            </w:r>
            <w:r w:rsidR="00675A40" w:rsidRPr="00463B9A">
              <w:t xml:space="preserve"> 201</w:t>
            </w:r>
            <w:r w:rsidR="00675A40">
              <w:t>6</w:t>
            </w:r>
          </w:p>
          <w:p w:rsidR="00675A40" w:rsidRPr="00463B9A" w:rsidRDefault="00675A40" w:rsidP="00675A40">
            <w:pPr>
              <w:spacing w:line="240" w:lineRule="exact"/>
            </w:pPr>
          </w:p>
          <w:p w:rsidR="00675A40" w:rsidRPr="00463B9A" w:rsidRDefault="00675A40" w:rsidP="00675A40">
            <w:pPr>
              <w:spacing w:line="240" w:lineRule="exact"/>
            </w:pPr>
            <w:r w:rsidRPr="00463B9A">
              <w:t>Original: English</w:t>
            </w:r>
          </w:p>
          <w:p w:rsidR="000E7537" w:rsidRDefault="000E7537" w:rsidP="008216A5">
            <w:pPr>
              <w:spacing w:line="240" w:lineRule="exact"/>
            </w:pPr>
          </w:p>
        </w:tc>
      </w:tr>
    </w:tbl>
    <w:p w:rsidR="00675A40" w:rsidRPr="00463B9A" w:rsidRDefault="00675A40" w:rsidP="00675A40">
      <w:pPr>
        <w:spacing w:before="120"/>
        <w:rPr>
          <w:b/>
          <w:sz w:val="24"/>
          <w:szCs w:val="24"/>
        </w:rPr>
      </w:pPr>
      <w:r w:rsidRPr="00463B9A">
        <w:rPr>
          <w:b/>
          <w:sz w:val="24"/>
          <w:szCs w:val="24"/>
        </w:rPr>
        <w:t>Human Rights Committee</w:t>
      </w:r>
    </w:p>
    <w:p w:rsidR="003134AC" w:rsidRDefault="003134AC" w:rsidP="00760D0A">
      <w:pPr>
        <w:pStyle w:val="H1G"/>
      </w:pPr>
      <w:r w:rsidRPr="009E31DB">
        <w:tab/>
      </w:r>
      <w:r w:rsidRPr="009E31DB">
        <w:tab/>
      </w:r>
      <w:r w:rsidR="004B2A63" w:rsidRPr="00760D0A">
        <w:rPr>
          <w:sz w:val="28"/>
          <w:szCs w:val="28"/>
        </w:rPr>
        <w:t>Decision adopted by the Committee under the Optional Protocol, concerning communication No. 2559/2015</w:t>
      </w:r>
      <w:r w:rsidR="004B2A63" w:rsidRPr="00760D0A">
        <w:rPr>
          <w:rStyle w:val="FootnoteReference"/>
          <w:b w:val="0"/>
          <w:bCs/>
          <w:sz w:val="20"/>
          <w:vertAlign w:val="baseline"/>
        </w:rPr>
        <w:footnoteReference w:customMarkFollows="1" w:id="2"/>
        <w:t>*</w:t>
      </w:r>
      <w:r w:rsidR="004B2A63" w:rsidRPr="00760D0A">
        <w:rPr>
          <w:b w:val="0"/>
          <w:position w:val="4"/>
          <w:sz w:val="20"/>
        </w:rPr>
        <w:t>,</w:t>
      </w:r>
      <w:r w:rsidR="004B2A63" w:rsidRPr="00760D0A">
        <w:rPr>
          <w:b w:val="0"/>
          <w:sz w:val="20"/>
        </w:rPr>
        <w:t xml:space="preserve"> </w:t>
      </w:r>
      <w:r w:rsidR="004B2A63" w:rsidRPr="00760D0A">
        <w:rPr>
          <w:rStyle w:val="FootnoteReference"/>
          <w:b w:val="0"/>
          <w:bCs/>
          <w:sz w:val="20"/>
          <w:vertAlign w:val="baseline"/>
        </w:rPr>
        <w:footnoteReference w:customMarkFollows="1" w:id="3"/>
        <w:t>**</w:t>
      </w:r>
      <w:r w:rsidR="0058791E">
        <w:rPr>
          <w:b w:val="0"/>
          <w:bCs/>
          <w:sz w:val="20"/>
        </w:rPr>
        <w:t xml:space="preserve"> </w:t>
      </w:r>
    </w:p>
    <w:p w:rsidR="00650921" w:rsidRPr="00BD51C5" w:rsidRDefault="00355DCB" w:rsidP="00760D0A">
      <w:pPr>
        <w:pStyle w:val="SingleTxtG"/>
        <w:spacing w:after="100"/>
        <w:ind w:left="4536" w:hanging="3402"/>
        <w:jc w:val="left"/>
        <w:rPr>
          <w:lang w:val="en-GB"/>
        </w:rPr>
      </w:pPr>
      <w:r w:rsidRPr="00760D0A">
        <w:rPr>
          <w:i/>
          <w:lang w:val="en-US"/>
        </w:rPr>
        <w:t>Communication</w:t>
      </w:r>
      <w:r>
        <w:rPr>
          <w:i/>
          <w:lang w:val="en-US"/>
        </w:rPr>
        <w:t xml:space="preserve"> </w:t>
      </w:r>
      <w:r w:rsidRPr="00760D0A">
        <w:rPr>
          <w:i/>
          <w:lang w:val="en-US"/>
        </w:rPr>
        <w:t>s</w:t>
      </w:r>
      <w:proofErr w:type="spellStart"/>
      <w:r w:rsidR="00650921" w:rsidRPr="009707F5">
        <w:rPr>
          <w:i/>
        </w:rPr>
        <w:t>ubmitted</w:t>
      </w:r>
      <w:proofErr w:type="spellEnd"/>
      <w:r w:rsidR="00650921" w:rsidRPr="009707F5">
        <w:rPr>
          <w:i/>
        </w:rPr>
        <w:t xml:space="preserve"> by:</w:t>
      </w:r>
      <w:r w:rsidR="00650921" w:rsidRPr="009E31DB">
        <w:tab/>
      </w:r>
      <w:r w:rsidR="00BB47F1" w:rsidRPr="00BB47F1">
        <w:rPr>
          <w:lang w:val="en-GB"/>
        </w:rPr>
        <w:t>I.</w:t>
      </w:r>
      <w:r w:rsidR="00101585" w:rsidRPr="00BB47F1">
        <w:rPr>
          <w:lang w:val="en-GB"/>
        </w:rPr>
        <w:t>M.</w:t>
      </w:r>
      <w:r w:rsidR="00101585">
        <w:rPr>
          <w:lang w:val="en-GB"/>
        </w:rPr>
        <w:t xml:space="preserve">Y. </w:t>
      </w:r>
      <w:r w:rsidR="00BB47F1">
        <w:rPr>
          <w:lang w:val="en-GB"/>
        </w:rPr>
        <w:t>(represented by counsel</w:t>
      </w:r>
      <w:r w:rsidR="00DD6010">
        <w:rPr>
          <w:lang w:val="en-GB"/>
        </w:rPr>
        <w:t>,</w:t>
      </w:r>
      <w:r w:rsidR="00DD6010" w:rsidRPr="00DD6010">
        <w:rPr>
          <w:lang w:val="en-GB"/>
        </w:rPr>
        <w:t xml:space="preserve"> </w:t>
      </w:r>
      <w:proofErr w:type="spellStart"/>
      <w:r w:rsidR="00DD6010" w:rsidRPr="00DD6010">
        <w:rPr>
          <w:lang w:val="en-GB"/>
        </w:rPr>
        <w:t>Tage</w:t>
      </w:r>
      <w:proofErr w:type="spellEnd"/>
      <w:r w:rsidR="00DD6010" w:rsidRPr="00DD6010">
        <w:rPr>
          <w:lang w:val="en-GB"/>
        </w:rPr>
        <w:t xml:space="preserve"> </w:t>
      </w:r>
      <w:proofErr w:type="spellStart"/>
      <w:r w:rsidR="00DD6010" w:rsidRPr="00DD6010">
        <w:rPr>
          <w:lang w:val="en-GB"/>
        </w:rPr>
        <w:t>Gøttsche</w:t>
      </w:r>
      <w:proofErr w:type="spellEnd"/>
      <w:r w:rsidR="007D10E7">
        <w:rPr>
          <w:lang w:val="en-US"/>
        </w:rPr>
        <w:t>)</w:t>
      </w:r>
    </w:p>
    <w:p w:rsidR="00650921" w:rsidRPr="00BD51C5" w:rsidRDefault="00650921" w:rsidP="00760D0A">
      <w:pPr>
        <w:pStyle w:val="SingleTxtG"/>
        <w:spacing w:after="100"/>
        <w:ind w:left="4536" w:hanging="3402"/>
        <w:jc w:val="left"/>
        <w:rPr>
          <w:lang w:val="en-GB"/>
        </w:rPr>
      </w:pPr>
      <w:r w:rsidRPr="009707F5">
        <w:rPr>
          <w:i/>
        </w:rPr>
        <w:t>Alleged victim:</w:t>
      </w:r>
      <w:r w:rsidRPr="009E31DB">
        <w:tab/>
        <w:t>The author</w:t>
      </w:r>
    </w:p>
    <w:p w:rsidR="00650921" w:rsidRPr="00BD51C5" w:rsidRDefault="00650921" w:rsidP="00760D0A">
      <w:pPr>
        <w:pStyle w:val="SingleTxtG"/>
        <w:spacing w:after="100"/>
        <w:ind w:left="4536" w:hanging="3402"/>
        <w:jc w:val="left"/>
        <w:rPr>
          <w:lang w:val="en-GB"/>
        </w:rPr>
      </w:pPr>
      <w:r w:rsidRPr="009707F5">
        <w:rPr>
          <w:i/>
        </w:rPr>
        <w:t>State party:</w:t>
      </w:r>
      <w:r w:rsidRPr="009E31DB">
        <w:tab/>
      </w:r>
      <w:r w:rsidR="00BD51C5" w:rsidRPr="00BD51C5">
        <w:rPr>
          <w:lang w:val="en-GB"/>
        </w:rPr>
        <w:t>Denmark</w:t>
      </w:r>
    </w:p>
    <w:p w:rsidR="00650921" w:rsidRPr="00803534" w:rsidRDefault="00650921" w:rsidP="00760D0A">
      <w:pPr>
        <w:pStyle w:val="SingleTxtG"/>
        <w:spacing w:after="100"/>
        <w:ind w:left="4536" w:hanging="3402"/>
        <w:jc w:val="left"/>
        <w:rPr>
          <w:lang w:val="en-GB"/>
        </w:rPr>
      </w:pPr>
      <w:r w:rsidRPr="009707F5">
        <w:rPr>
          <w:i/>
        </w:rPr>
        <w:t>Date of communication:</w:t>
      </w:r>
      <w:r w:rsidRPr="009E31DB">
        <w:tab/>
      </w:r>
      <w:r w:rsidR="00BD51C5" w:rsidRPr="00BD51C5">
        <w:rPr>
          <w:lang w:val="en-GB"/>
        </w:rPr>
        <w:t>2</w:t>
      </w:r>
      <w:r w:rsidR="00BB47F1">
        <w:rPr>
          <w:lang w:val="en-GB"/>
        </w:rPr>
        <w:t xml:space="preserve">9 January </w:t>
      </w:r>
      <w:r w:rsidRPr="00650921">
        <w:rPr>
          <w:lang w:val="en-GB"/>
        </w:rPr>
        <w:t>201</w:t>
      </w:r>
      <w:r w:rsidR="00BB47F1">
        <w:rPr>
          <w:lang w:val="en-GB"/>
        </w:rPr>
        <w:t>5</w:t>
      </w:r>
      <w:r w:rsidRPr="00650921">
        <w:rPr>
          <w:lang w:val="en-GB"/>
        </w:rPr>
        <w:t xml:space="preserve"> </w:t>
      </w:r>
      <w:r>
        <w:t>(initial submission)</w:t>
      </w:r>
    </w:p>
    <w:p w:rsidR="003134AC" w:rsidRPr="009E31DB" w:rsidRDefault="003134AC" w:rsidP="00760D0A">
      <w:pPr>
        <w:pStyle w:val="SingleTxtG"/>
        <w:spacing w:after="100"/>
        <w:ind w:left="4536" w:hanging="3402"/>
        <w:jc w:val="left"/>
      </w:pPr>
      <w:r w:rsidRPr="009707F5">
        <w:rPr>
          <w:i/>
        </w:rPr>
        <w:t>Document references:</w:t>
      </w:r>
      <w:r w:rsidRPr="009E31DB">
        <w:tab/>
      </w:r>
      <w:r w:rsidR="00D51EF8">
        <w:rPr>
          <w:lang w:val="en-US"/>
        </w:rPr>
        <w:t xml:space="preserve">Decision </w:t>
      </w:r>
      <w:r w:rsidR="00D51EF8" w:rsidRPr="007F5E52">
        <w:t>taken</w:t>
      </w:r>
      <w:r w:rsidR="00D51EF8">
        <w:rPr>
          <w:lang w:val="en-US"/>
        </w:rPr>
        <w:t xml:space="preserve"> pursuant to rule</w:t>
      </w:r>
      <w:r w:rsidR="00355DCB">
        <w:rPr>
          <w:lang w:val="en-US"/>
        </w:rPr>
        <w:t>s</w:t>
      </w:r>
      <w:r w:rsidR="00D51EF8">
        <w:rPr>
          <w:lang w:val="en-US"/>
        </w:rPr>
        <w:t xml:space="preserve"> </w:t>
      </w:r>
      <w:r w:rsidR="009423E6">
        <w:rPr>
          <w:lang w:val="en-US"/>
        </w:rPr>
        <w:t xml:space="preserve">92 and </w:t>
      </w:r>
      <w:r w:rsidR="00D51EF8">
        <w:rPr>
          <w:lang w:val="en-US"/>
        </w:rPr>
        <w:t>97 of the Committee’s rules of procedure</w:t>
      </w:r>
      <w:r w:rsidRPr="009E31DB">
        <w:t xml:space="preserve">, transmitted to the State party on </w:t>
      </w:r>
      <w:r w:rsidR="00BB47F1" w:rsidRPr="00BB47F1">
        <w:rPr>
          <w:lang w:val="en-GB"/>
        </w:rPr>
        <w:t xml:space="preserve">30 January </w:t>
      </w:r>
      <w:r w:rsidR="00650921" w:rsidRPr="00650921">
        <w:rPr>
          <w:lang w:val="en-GB"/>
        </w:rPr>
        <w:t>201</w:t>
      </w:r>
      <w:r w:rsidR="00BB47F1">
        <w:rPr>
          <w:lang w:val="en-GB"/>
        </w:rPr>
        <w:t>5</w:t>
      </w:r>
      <w:r w:rsidR="00650921" w:rsidRPr="00650921">
        <w:rPr>
          <w:lang w:val="en-GB"/>
        </w:rPr>
        <w:t xml:space="preserve"> </w:t>
      </w:r>
      <w:r w:rsidRPr="009E31DB">
        <w:t>(not issued in</w:t>
      </w:r>
      <w:r w:rsidR="00BC2AA7" w:rsidRPr="007F0F66">
        <w:rPr>
          <w:lang w:val="en-GB"/>
        </w:rPr>
        <w:t> </w:t>
      </w:r>
      <w:r w:rsidRPr="009E31DB">
        <w:t>document form)</w:t>
      </w:r>
    </w:p>
    <w:p w:rsidR="003134AC" w:rsidRPr="001342E6" w:rsidRDefault="003134AC" w:rsidP="00760D0A">
      <w:pPr>
        <w:pStyle w:val="SingleTxtG"/>
        <w:spacing w:after="100"/>
        <w:ind w:left="4536" w:hanging="3402"/>
        <w:jc w:val="left"/>
        <w:rPr>
          <w:lang w:val="en-GB"/>
        </w:rPr>
      </w:pPr>
      <w:r w:rsidRPr="009707F5">
        <w:rPr>
          <w:i/>
        </w:rPr>
        <w:t xml:space="preserve">Date of adoption of </w:t>
      </w:r>
      <w:r w:rsidR="008D692F" w:rsidRPr="00AD08B3">
        <w:rPr>
          <w:i/>
          <w:lang w:val="en-GB"/>
        </w:rPr>
        <w:t>the decision</w:t>
      </w:r>
      <w:r w:rsidRPr="009707F5">
        <w:rPr>
          <w:i/>
        </w:rPr>
        <w:t>:</w:t>
      </w:r>
      <w:r w:rsidRPr="009E31DB">
        <w:tab/>
      </w:r>
      <w:r w:rsidR="004B2A63" w:rsidRPr="00760D0A">
        <w:rPr>
          <w:lang w:val="en-US"/>
        </w:rPr>
        <w:t>14 July</w:t>
      </w:r>
      <w:r w:rsidRPr="009E31DB">
        <w:t xml:space="preserve"> 201</w:t>
      </w:r>
      <w:r w:rsidR="00685D9C" w:rsidRPr="001342E6">
        <w:rPr>
          <w:lang w:val="en-GB"/>
        </w:rPr>
        <w:t>6</w:t>
      </w:r>
    </w:p>
    <w:p w:rsidR="003134AC" w:rsidRPr="00F422CA" w:rsidRDefault="003134AC" w:rsidP="00760D0A">
      <w:pPr>
        <w:pStyle w:val="SingleTxtG"/>
        <w:spacing w:before="120" w:after="100"/>
        <w:ind w:left="4536" w:hanging="3402"/>
        <w:jc w:val="left"/>
        <w:rPr>
          <w:i/>
          <w:iCs/>
          <w:lang w:val="en-GB"/>
        </w:rPr>
      </w:pPr>
      <w:r w:rsidRPr="009E31DB">
        <w:rPr>
          <w:i/>
          <w:iCs/>
        </w:rPr>
        <w:t>Subject matter:</w:t>
      </w:r>
      <w:r w:rsidRPr="009E31DB">
        <w:tab/>
      </w:r>
      <w:r w:rsidR="00C56CE9">
        <w:rPr>
          <w:lang w:val="en-GB"/>
        </w:rPr>
        <w:t>Deportation to Somalia</w:t>
      </w:r>
    </w:p>
    <w:p w:rsidR="00A17E37" w:rsidRPr="001342E6" w:rsidRDefault="009423E6" w:rsidP="00760D0A">
      <w:pPr>
        <w:pStyle w:val="SingleTxtG"/>
        <w:spacing w:after="100"/>
        <w:ind w:left="4536" w:hanging="3402"/>
        <w:jc w:val="left"/>
        <w:rPr>
          <w:iCs/>
          <w:lang w:val="en-GB"/>
        </w:rPr>
      </w:pPr>
      <w:r>
        <w:rPr>
          <w:i/>
          <w:iCs/>
        </w:rPr>
        <w:t>Procedural issue</w:t>
      </w:r>
      <w:r w:rsidR="00355DCB" w:rsidRPr="00760D0A">
        <w:rPr>
          <w:i/>
          <w:iCs/>
          <w:lang w:val="en-US"/>
        </w:rPr>
        <w:t>s</w:t>
      </w:r>
      <w:r>
        <w:rPr>
          <w:i/>
          <w:iCs/>
        </w:rPr>
        <w:t>:</w:t>
      </w:r>
      <w:r w:rsidR="001342E6" w:rsidRPr="001342E6">
        <w:rPr>
          <w:iCs/>
          <w:lang w:val="en-GB"/>
        </w:rPr>
        <w:tab/>
      </w:r>
      <w:r w:rsidR="00C56CE9">
        <w:rPr>
          <w:iCs/>
          <w:lang w:val="en-GB"/>
        </w:rPr>
        <w:t>Admissibility</w:t>
      </w:r>
      <w:r w:rsidR="00355DCB">
        <w:rPr>
          <w:iCs/>
          <w:lang w:val="en-GB"/>
        </w:rPr>
        <w:t xml:space="preserve"> —</w:t>
      </w:r>
      <w:r w:rsidR="00C56CE9">
        <w:rPr>
          <w:iCs/>
          <w:lang w:val="en-GB"/>
        </w:rPr>
        <w:t xml:space="preserve"> manifestly ill-founded</w:t>
      </w:r>
      <w:r w:rsidR="003D768C">
        <w:rPr>
          <w:iCs/>
          <w:lang w:val="en-GB"/>
        </w:rPr>
        <w:t>; admissibility</w:t>
      </w:r>
      <w:r w:rsidR="002003A6">
        <w:rPr>
          <w:iCs/>
          <w:lang w:val="en-GB"/>
        </w:rPr>
        <w:t xml:space="preserve"> </w:t>
      </w:r>
      <w:r w:rsidR="00355DCB">
        <w:rPr>
          <w:iCs/>
          <w:lang w:val="en-GB"/>
        </w:rPr>
        <w:t>—</w:t>
      </w:r>
      <w:r w:rsidR="003D768C">
        <w:rPr>
          <w:iCs/>
          <w:lang w:val="en-GB"/>
        </w:rPr>
        <w:t xml:space="preserve"> incompatibility</w:t>
      </w:r>
    </w:p>
    <w:p w:rsidR="003134AC" w:rsidRPr="00C56CE9" w:rsidRDefault="009423E6" w:rsidP="00760D0A">
      <w:pPr>
        <w:pStyle w:val="SingleTxtG"/>
        <w:spacing w:after="100"/>
        <w:ind w:left="4536" w:hanging="3402"/>
        <w:jc w:val="left"/>
        <w:rPr>
          <w:lang w:val="en-GB"/>
        </w:rPr>
      </w:pPr>
      <w:r>
        <w:rPr>
          <w:i/>
          <w:iCs/>
        </w:rPr>
        <w:t>Substantive issues:</w:t>
      </w:r>
      <w:r w:rsidR="003134AC" w:rsidRPr="005B6047">
        <w:rPr>
          <w:i/>
          <w:iCs/>
        </w:rPr>
        <w:tab/>
      </w:r>
      <w:r w:rsidR="00C56CE9" w:rsidRPr="00C56CE9">
        <w:rPr>
          <w:iCs/>
          <w:lang w:val="en-GB"/>
        </w:rPr>
        <w:t>No</w:t>
      </w:r>
      <w:r w:rsidR="00680805">
        <w:rPr>
          <w:iCs/>
          <w:lang w:val="en-GB"/>
        </w:rPr>
        <w:t>n</w:t>
      </w:r>
      <w:r w:rsidR="00355DCB">
        <w:rPr>
          <w:iCs/>
          <w:lang w:val="en-GB"/>
        </w:rPr>
        <w:t>-</w:t>
      </w:r>
      <w:proofErr w:type="spellStart"/>
      <w:r w:rsidR="00C56CE9" w:rsidRPr="00C56CE9">
        <w:rPr>
          <w:iCs/>
          <w:lang w:val="en-GB"/>
        </w:rPr>
        <w:t>refoulement</w:t>
      </w:r>
      <w:proofErr w:type="spellEnd"/>
      <w:r w:rsidR="00C56CE9" w:rsidRPr="00C56CE9">
        <w:rPr>
          <w:iCs/>
          <w:lang w:val="en-GB"/>
        </w:rPr>
        <w:t>; family rights</w:t>
      </w:r>
    </w:p>
    <w:p w:rsidR="005C11C1" w:rsidRPr="00C56CE9" w:rsidRDefault="003134AC" w:rsidP="00760D0A">
      <w:pPr>
        <w:pStyle w:val="SingleTxtG"/>
        <w:spacing w:after="100"/>
        <w:ind w:left="4536" w:hanging="3402"/>
        <w:jc w:val="left"/>
        <w:rPr>
          <w:lang w:val="en-GB"/>
        </w:rPr>
      </w:pPr>
      <w:r w:rsidRPr="005C11C1">
        <w:rPr>
          <w:i/>
          <w:iCs/>
        </w:rPr>
        <w:t>Articles of the Covenant:</w:t>
      </w:r>
      <w:r w:rsidRPr="005C11C1">
        <w:tab/>
      </w:r>
      <w:r w:rsidR="00C56CE9" w:rsidRPr="00C56CE9">
        <w:rPr>
          <w:lang w:val="en-GB"/>
        </w:rPr>
        <w:t>7</w:t>
      </w:r>
      <w:r w:rsidR="00355DCB">
        <w:rPr>
          <w:lang w:val="en-GB"/>
        </w:rPr>
        <w:t xml:space="preserve"> and</w:t>
      </w:r>
      <w:r w:rsidR="00C56CE9" w:rsidRPr="00C56CE9">
        <w:rPr>
          <w:lang w:val="en-GB"/>
        </w:rPr>
        <w:t xml:space="preserve"> 17</w:t>
      </w:r>
    </w:p>
    <w:p w:rsidR="007E3B72" w:rsidRPr="00C56CE9" w:rsidRDefault="003134AC" w:rsidP="00760D0A">
      <w:pPr>
        <w:pStyle w:val="SingleTxtG"/>
        <w:spacing w:after="100"/>
        <w:ind w:left="4536" w:hanging="3402"/>
        <w:jc w:val="left"/>
        <w:rPr>
          <w:lang w:val="en-GB"/>
        </w:rPr>
      </w:pPr>
      <w:r w:rsidRPr="009E31DB">
        <w:rPr>
          <w:i/>
          <w:iCs/>
        </w:rPr>
        <w:t>Art</w:t>
      </w:r>
      <w:r>
        <w:rPr>
          <w:i/>
          <w:iCs/>
        </w:rPr>
        <w:t>icle</w:t>
      </w:r>
      <w:r w:rsidR="00355DCB" w:rsidRPr="00760D0A">
        <w:rPr>
          <w:i/>
          <w:iCs/>
          <w:lang w:val="en-US"/>
        </w:rPr>
        <w:t>s</w:t>
      </w:r>
      <w:r>
        <w:rPr>
          <w:i/>
          <w:iCs/>
        </w:rPr>
        <w:t xml:space="preserve"> of the Optional Protocol:</w:t>
      </w:r>
      <w:r w:rsidR="00735F4E" w:rsidRPr="00735F4E">
        <w:rPr>
          <w:i/>
          <w:iCs/>
          <w:lang w:val="en-GB"/>
        </w:rPr>
        <w:tab/>
      </w:r>
      <w:r w:rsidR="00C56CE9">
        <w:rPr>
          <w:iCs/>
          <w:lang w:val="en-GB"/>
        </w:rPr>
        <w:t>2</w:t>
      </w:r>
      <w:r w:rsidR="00355DCB">
        <w:rPr>
          <w:iCs/>
          <w:lang w:val="en-GB"/>
        </w:rPr>
        <w:t xml:space="preserve"> and</w:t>
      </w:r>
      <w:r w:rsidR="003D768C">
        <w:rPr>
          <w:iCs/>
          <w:lang w:val="en-GB"/>
        </w:rPr>
        <w:t xml:space="preserve"> 3</w:t>
      </w:r>
    </w:p>
    <w:p w:rsidR="00650921" w:rsidRDefault="00675A40">
      <w:pPr>
        <w:pStyle w:val="SingleTxtG"/>
        <w:rPr>
          <w:lang w:val="en-US"/>
        </w:rPr>
      </w:pPr>
      <w:r>
        <w:rPr>
          <w:lang w:val="en-US"/>
        </w:rPr>
        <w:t>1.</w:t>
      </w:r>
      <w:r w:rsidR="00BB47F1">
        <w:rPr>
          <w:lang w:val="en-US"/>
        </w:rPr>
        <w:t>1</w:t>
      </w:r>
      <w:r w:rsidR="008B5946" w:rsidRPr="008B5946">
        <w:rPr>
          <w:lang w:val="en-US"/>
        </w:rPr>
        <w:tab/>
      </w:r>
      <w:r w:rsidR="00BB47F1" w:rsidRPr="00BB47F1">
        <w:rPr>
          <w:lang w:val="en-US"/>
        </w:rPr>
        <w:t xml:space="preserve">The </w:t>
      </w:r>
      <w:r w:rsidR="00BB47F1">
        <w:rPr>
          <w:lang w:val="en-US"/>
        </w:rPr>
        <w:t xml:space="preserve">author of the communication </w:t>
      </w:r>
      <w:r w:rsidR="00BB47F1" w:rsidRPr="00BB47F1">
        <w:rPr>
          <w:lang w:val="en-US"/>
        </w:rPr>
        <w:t xml:space="preserve">is </w:t>
      </w:r>
      <w:r w:rsidR="00101585">
        <w:rPr>
          <w:lang w:val="en-US"/>
        </w:rPr>
        <w:t>I</w:t>
      </w:r>
      <w:r w:rsidR="00BB47F1">
        <w:rPr>
          <w:lang w:val="en-US"/>
        </w:rPr>
        <w:t>.</w:t>
      </w:r>
      <w:r w:rsidR="00101585">
        <w:rPr>
          <w:lang w:val="en-US"/>
        </w:rPr>
        <w:t>M.Y.</w:t>
      </w:r>
      <w:r w:rsidR="00BB47F1" w:rsidRPr="00BB47F1">
        <w:rPr>
          <w:lang w:val="en-US"/>
        </w:rPr>
        <w:t xml:space="preserve">, </w:t>
      </w:r>
      <w:r w:rsidR="00AA0E9A">
        <w:rPr>
          <w:lang w:val="en-US"/>
        </w:rPr>
        <w:t xml:space="preserve">a </w:t>
      </w:r>
      <w:r w:rsidR="00BB47F1">
        <w:rPr>
          <w:lang w:val="en-US"/>
        </w:rPr>
        <w:t xml:space="preserve">Somali national </w:t>
      </w:r>
      <w:r w:rsidR="00BB47F1" w:rsidRPr="00BB47F1">
        <w:rPr>
          <w:lang w:val="en-US"/>
        </w:rPr>
        <w:t xml:space="preserve">born in 1986. He sought asylum in Denmark but his application was rejected </w:t>
      </w:r>
      <w:r w:rsidR="00BB47F1" w:rsidRPr="009423E6">
        <w:t>and</w:t>
      </w:r>
      <w:r w:rsidR="00E80FE7" w:rsidRPr="00760D0A">
        <w:rPr>
          <w:lang w:val="en-US"/>
        </w:rPr>
        <w:t>,</w:t>
      </w:r>
      <w:r w:rsidR="00BB47F1" w:rsidRPr="00BB47F1">
        <w:rPr>
          <w:lang w:val="en-US"/>
        </w:rPr>
        <w:t xml:space="preserve"> </w:t>
      </w:r>
      <w:r w:rsidR="001853BD">
        <w:rPr>
          <w:lang w:val="en-US"/>
        </w:rPr>
        <w:t>at the time of submi</w:t>
      </w:r>
      <w:r w:rsidR="00681BEF">
        <w:rPr>
          <w:lang w:val="en-US"/>
        </w:rPr>
        <w:t>tting</w:t>
      </w:r>
      <w:r w:rsidR="00E80FE7">
        <w:rPr>
          <w:lang w:val="en-US"/>
        </w:rPr>
        <w:t xml:space="preserve"> the communication, </w:t>
      </w:r>
      <w:r w:rsidR="001853BD">
        <w:rPr>
          <w:lang w:val="en-US"/>
        </w:rPr>
        <w:t xml:space="preserve">he was scheduled to be deported </w:t>
      </w:r>
      <w:r w:rsidR="00BB47F1" w:rsidRPr="00BB47F1">
        <w:rPr>
          <w:lang w:val="en-US"/>
        </w:rPr>
        <w:t>to Somal</w:t>
      </w:r>
      <w:r w:rsidR="001853BD">
        <w:rPr>
          <w:lang w:val="en-US"/>
        </w:rPr>
        <w:t xml:space="preserve">ia on 2 February 2015. </w:t>
      </w:r>
      <w:r w:rsidR="00E80FE7">
        <w:rPr>
          <w:lang w:val="en-US"/>
        </w:rPr>
        <w:t>The author</w:t>
      </w:r>
      <w:r w:rsidR="001853BD">
        <w:rPr>
          <w:lang w:val="en-US"/>
        </w:rPr>
        <w:t xml:space="preserve"> claim</w:t>
      </w:r>
      <w:r w:rsidR="00E80FE7">
        <w:rPr>
          <w:lang w:val="en-US"/>
        </w:rPr>
        <w:t>s</w:t>
      </w:r>
      <w:r w:rsidR="00BB47F1" w:rsidRPr="00BB47F1">
        <w:rPr>
          <w:lang w:val="en-US"/>
        </w:rPr>
        <w:t xml:space="preserve"> that his de</w:t>
      </w:r>
      <w:bookmarkStart w:id="2" w:name="_GoBack"/>
      <w:bookmarkEnd w:id="2"/>
      <w:r w:rsidR="00BB47F1" w:rsidRPr="00BB47F1">
        <w:rPr>
          <w:lang w:val="en-US"/>
        </w:rPr>
        <w:t xml:space="preserve">portation to Somalia would constitute a violation by Denmark of his rights under article 7 of the Covenant </w:t>
      </w:r>
      <w:r w:rsidR="004043B0">
        <w:rPr>
          <w:lang w:val="en-US"/>
        </w:rPr>
        <w:t>and of article 8 of the Convention for the Protection of Human Rights and Fundamental Freedoms</w:t>
      </w:r>
      <w:r w:rsidR="00E80FE7">
        <w:rPr>
          <w:lang w:val="en-US"/>
        </w:rPr>
        <w:t xml:space="preserve"> (European Convention on Human Rights)</w:t>
      </w:r>
      <w:r w:rsidR="00BB47F1" w:rsidRPr="00BB47F1">
        <w:rPr>
          <w:lang w:val="en-US"/>
        </w:rPr>
        <w:t xml:space="preserve">. </w:t>
      </w:r>
      <w:r w:rsidR="001B2349" w:rsidRPr="0056210F">
        <w:t xml:space="preserve">Although the author </w:t>
      </w:r>
      <w:proofErr w:type="spellStart"/>
      <w:r w:rsidR="00E80FE7" w:rsidRPr="00760D0A">
        <w:rPr>
          <w:lang w:val="en-US"/>
        </w:rPr>
        <w:t>i</w:t>
      </w:r>
      <w:proofErr w:type="spellEnd"/>
      <w:r w:rsidR="001B2349" w:rsidRPr="0056210F">
        <w:t xml:space="preserve">s not </w:t>
      </w:r>
      <w:r w:rsidR="001B2349" w:rsidRPr="001B2349">
        <w:rPr>
          <w:lang w:val="en-GB"/>
        </w:rPr>
        <w:t>explicit</w:t>
      </w:r>
      <w:r w:rsidR="00E80FE7" w:rsidRPr="00760D0A">
        <w:rPr>
          <w:lang w:val="en-US"/>
        </w:rPr>
        <w:t xml:space="preserve"> about</w:t>
      </w:r>
      <w:r w:rsidR="00AA152F">
        <w:t xml:space="preserve"> it in his </w:t>
      </w:r>
      <w:r w:rsidR="001B2349" w:rsidRPr="0056210F">
        <w:t xml:space="preserve">communication, he </w:t>
      </w:r>
      <w:r w:rsidR="00E80FE7" w:rsidRPr="00760D0A">
        <w:rPr>
          <w:lang w:val="en-US"/>
        </w:rPr>
        <w:t xml:space="preserve">also </w:t>
      </w:r>
      <w:r w:rsidR="001B2349" w:rsidRPr="0056210F">
        <w:t xml:space="preserve">raises questions that appear to invoke article </w:t>
      </w:r>
      <w:r w:rsidR="00AD08B3" w:rsidRPr="00AD08B3">
        <w:rPr>
          <w:lang w:val="en-GB"/>
        </w:rPr>
        <w:t>17</w:t>
      </w:r>
      <w:r w:rsidR="001B2349">
        <w:t xml:space="preserve"> of the Covenant</w:t>
      </w:r>
      <w:r w:rsidR="001B2349" w:rsidRPr="0056210F">
        <w:t>.</w:t>
      </w:r>
      <w:r w:rsidR="001B2349" w:rsidRPr="001B2349">
        <w:rPr>
          <w:lang w:val="en-GB"/>
        </w:rPr>
        <w:t xml:space="preserve"> </w:t>
      </w:r>
      <w:r w:rsidR="004043B0" w:rsidRPr="00BB47F1">
        <w:t>The Optional Protocol to the Covenant entered into force for Denmark on 23 March 1976.</w:t>
      </w:r>
      <w:r w:rsidR="004043B0" w:rsidRPr="007001B0">
        <w:rPr>
          <w:lang w:val="en-US"/>
        </w:rPr>
        <w:t xml:space="preserve"> </w:t>
      </w:r>
      <w:r w:rsidR="001B2349">
        <w:rPr>
          <w:lang w:val="en-GB"/>
        </w:rPr>
        <w:t>The author</w:t>
      </w:r>
      <w:r w:rsidR="00BB47F1" w:rsidRPr="00BB47F1">
        <w:rPr>
          <w:lang w:val="en-US"/>
        </w:rPr>
        <w:t xml:space="preserve"> is represented by counsel.</w:t>
      </w:r>
    </w:p>
    <w:p w:rsidR="00DD6010" w:rsidRPr="00DD6010" w:rsidRDefault="00BB47F1" w:rsidP="00760D0A">
      <w:pPr>
        <w:pStyle w:val="SingleTxtG"/>
        <w:spacing w:line="220" w:lineRule="atLeast"/>
        <w:rPr>
          <w:lang w:val="en-GB"/>
        </w:rPr>
      </w:pPr>
      <w:r>
        <w:rPr>
          <w:lang w:val="en-US"/>
        </w:rPr>
        <w:lastRenderedPageBreak/>
        <w:t>1.2</w:t>
      </w:r>
      <w:r>
        <w:rPr>
          <w:lang w:val="en-US"/>
        </w:rPr>
        <w:tab/>
        <w:t xml:space="preserve">On 30 January 2015, the </w:t>
      </w:r>
      <w:r w:rsidR="00DD6010" w:rsidRPr="003071B2">
        <w:t xml:space="preserve">Special Rapporteur on new communications and interim measures, acting on behalf of the Committee, requested the State party not to deport the author to </w:t>
      </w:r>
      <w:r w:rsidR="004D773C" w:rsidRPr="004D773C">
        <w:rPr>
          <w:lang w:val="en-GB"/>
        </w:rPr>
        <w:t>Somalia</w:t>
      </w:r>
      <w:r w:rsidR="00DD6010" w:rsidRPr="003071B2">
        <w:t xml:space="preserve"> while his communication </w:t>
      </w:r>
      <w:proofErr w:type="spellStart"/>
      <w:r w:rsidR="00E80FE7" w:rsidRPr="00760D0A">
        <w:rPr>
          <w:lang w:val="en-US"/>
        </w:rPr>
        <w:t>wa</w:t>
      </w:r>
      <w:proofErr w:type="spellEnd"/>
      <w:r w:rsidR="00DD6010" w:rsidRPr="003071B2">
        <w:t>s under consideration by the Committee.</w:t>
      </w:r>
      <w:r w:rsidR="00DD6010" w:rsidRPr="00DD6010">
        <w:rPr>
          <w:lang w:val="en-GB"/>
        </w:rPr>
        <w:t xml:space="preserve"> On 3 February 2015, the Refugee Appeals Board suspended the time limit for the author’s departure from Denmark until further notice</w:t>
      </w:r>
      <w:r w:rsidR="00D04E07">
        <w:rPr>
          <w:lang w:val="en-GB"/>
        </w:rPr>
        <w:t>,</w:t>
      </w:r>
      <w:r w:rsidR="00DD6010" w:rsidRPr="00DD6010">
        <w:rPr>
          <w:lang w:val="en-GB"/>
        </w:rPr>
        <w:t xml:space="preserve"> in accordance with the Committee’s request. </w:t>
      </w:r>
    </w:p>
    <w:p w:rsidR="008B5946" w:rsidRPr="00760D0A" w:rsidRDefault="00675A40" w:rsidP="00760D0A">
      <w:pPr>
        <w:pStyle w:val="H23G"/>
      </w:pPr>
      <w:r>
        <w:rPr>
          <w:lang w:val="en-US"/>
        </w:rPr>
        <w:tab/>
      </w:r>
      <w:r>
        <w:rPr>
          <w:lang w:val="en-US"/>
        </w:rPr>
        <w:tab/>
      </w:r>
      <w:r w:rsidR="008B5946" w:rsidRPr="007E3B72">
        <w:rPr>
          <w:lang w:val="en-US"/>
        </w:rPr>
        <w:t xml:space="preserve">The facts as </w:t>
      </w:r>
      <w:r w:rsidR="008B5946" w:rsidRPr="00681BEF">
        <w:rPr>
          <w:lang w:val="en-US"/>
        </w:rPr>
        <w:t>presented</w:t>
      </w:r>
      <w:r w:rsidR="008B5946" w:rsidRPr="007E3B72">
        <w:rPr>
          <w:lang w:val="en-US"/>
        </w:rPr>
        <w:t xml:space="preserve"> by the author</w:t>
      </w:r>
    </w:p>
    <w:p w:rsidR="00BB47F1" w:rsidRPr="00BB47F1" w:rsidRDefault="009827BB" w:rsidP="00760D0A">
      <w:pPr>
        <w:pStyle w:val="SingleTxtG"/>
        <w:spacing w:line="220" w:lineRule="atLeast"/>
        <w:rPr>
          <w:lang w:val="en-US"/>
        </w:rPr>
      </w:pPr>
      <w:r w:rsidRPr="009827BB">
        <w:rPr>
          <w:lang w:val="en-US"/>
        </w:rPr>
        <w:t>2.1</w:t>
      </w:r>
      <w:r w:rsidR="00BB47F1">
        <w:rPr>
          <w:lang w:val="en-US"/>
        </w:rPr>
        <w:tab/>
      </w:r>
      <w:r w:rsidR="00BB47F1" w:rsidRPr="00BB47F1">
        <w:rPr>
          <w:lang w:val="en-US"/>
        </w:rPr>
        <w:t xml:space="preserve">The author arrived in </w:t>
      </w:r>
      <w:r w:rsidR="00BB47F1" w:rsidRPr="009423E6">
        <w:t>Denmark</w:t>
      </w:r>
      <w:r w:rsidR="00BB47F1" w:rsidRPr="00BB47F1">
        <w:rPr>
          <w:lang w:val="en-US"/>
        </w:rPr>
        <w:t xml:space="preserve"> in 1992 </w:t>
      </w:r>
      <w:r w:rsidR="00AA0E9A">
        <w:rPr>
          <w:lang w:val="en-US"/>
        </w:rPr>
        <w:t xml:space="preserve">with his mother </w:t>
      </w:r>
      <w:r w:rsidR="00BB47F1" w:rsidRPr="00BB47F1">
        <w:rPr>
          <w:lang w:val="en-US"/>
        </w:rPr>
        <w:t xml:space="preserve">when he was </w:t>
      </w:r>
      <w:r w:rsidR="00D04E07">
        <w:rPr>
          <w:lang w:val="en-US"/>
        </w:rPr>
        <w:t>6</w:t>
      </w:r>
      <w:r w:rsidR="00D04E07" w:rsidRPr="00BB47F1">
        <w:rPr>
          <w:lang w:val="en-US"/>
        </w:rPr>
        <w:t xml:space="preserve"> </w:t>
      </w:r>
      <w:r w:rsidR="00BB47F1" w:rsidRPr="00BB47F1">
        <w:rPr>
          <w:lang w:val="en-US"/>
        </w:rPr>
        <w:t xml:space="preserve">years old. He was granted </w:t>
      </w:r>
      <w:r w:rsidR="00D04E07">
        <w:rPr>
          <w:lang w:val="en-US"/>
        </w:rPr>
        <w:t xml:space="preserve">a </w:t>
      </w:r>
      <w:r w:rsidR="00BB47F1" w:rsidRPr="00BB47F1">
        <w:rPr>
          <w:lang w:val="en-US"/>
        </w:rPr>
        <w:t xml:space="preserve">residence permit. </w:t>
      </w:r>
    </w:p>
    <w:p w:rsidR="00BB47F1" w:rsidRPr="00BB47F1" w:rsidRDefault="009423E6" w:rsidP="00760D0A">
      <w:pPr>
        <w:pStyle w:val="SingleTxtG"/>
        <w:spacing w:line="220" w:lineRule="atLeast"/>
        <w:rPr>
          <w:lang w:val="en-US"/>
        </w:rPr>
      </w:pPr>
      <w:r>
        <w:rPr>
          <w:lang w:val="en-US"/>
        </w:rPr>
        <w:t>2.2</w:t>
      </w:r>
      <w:r w:rsidR="00BB47F1" w:rsidRPr="00BB47F1">
        <w:rPr>
          <w:lang w:val="en-US"/>
        </w:rPr>
        <w:tab/>
        <w:t xml:space="preserve">In August 2001, his mother decided to move the family back to Somalia. She returned to Denmark in July 2003, </w:t>
      </w:r>
      <w:r w:rsidR="00D04E07" w:rsidRPr="00BB47F1">
        <w:rPr>
          <w:lang w:val="en-US"/>
        </w:rPr>
        <w:t>however,</w:t>
      </w:r>
      <w:r w:rsidR="00D04E07">
        <w:rPr>
          <w:lang w:val="en-US"/>
        </w:rPr>
        <w:t xml:space="preserve"> </w:t>
      </w:r>
      <w:r w:rsidR="00BB47F1" w:rsidRPr="00BB47F1">
        <w:rPr>
          <w:lang w:val="en-US"/>
        </w:rPr>
        <w:t xml:space="preserve">and became a Danish citizen. When she returned to Denmark, she was carrying the author’s passport, </w:t>
      </w:r>
      <w:r w:rsidR="00D04E07">
        <w:rPr>
          <w:lang w:val="en-US"/>
        </w:rPr>
        <w:t>which</w:t>
      </w:r>
      <w:r w:rsidR="00BB47F1" w:rsidRPr="00BB47F1">
        <w:rPr>
          <w:lang w:val="en-US"/>
        </w:rPr>
        <w:t xml:space="preserve"> was taken by the Danish authorities. The author wanted to return to Denmark </w:t>
      </w:r>
      <w:r w:rsidR="00D04E07">
        <w:rPr>
          <w:lang w:val="en-US"/>
        </w:rPr>
        <w:t>because</w:t>
      </w:r>
      <w:r w:rsidR="00D04E07" w:rsidRPr="00BB47F1">
        <w:rPr>
          <w:lang w:val="en-US"/>
        </w:rPr>
        <w:t xml:space="preserve"> </w:t>
      </w:r>
      <w:r w:rsidR="00BB47F1" w:rsidRPr="00BB47F1">
        <w:rPr>
          <w:lang w:val="en-US"/>
        </w:rPr>
        <w:t xml:space="preserve">all his siblings were there, but he was unable to travel because of the missing passport. For this reason, he lived with his uncle in </w:t>
      </w:r>
      <w:proofErr w:type="spellStart"/>
      <w:r w:rsidR="00BB47F1" w:rsidRPr="00BB47F1">
        <w:rPr>
          <w:lang w:val="en-US"/>
        </w:rPr>
        <w:t>Galkayo</w:t>
      </w:r>
      <w:proofErr w:type="spellEnd"/>
      <w:r w:rsidR="00BB47F1" w:rsidRPr="00BB47F1">
        <w:rPr>
          <w:lang w:val="en-US"/>
        </w:rPr>
        <w:t xml:space="preserve">, Somalia, for five years. </w:t>
      </w:r>
    </w:p>
    <w:p w:rsidR="00BB47F1" w:rsidRPr="00BB47F1" w:rsidRDefault="00BB47F1" w:rsidP="00760D0A">
      <w:pPr>
        <w:pStyle w:val="SingleTxtG"/>
        <w:spacing w:line="220" w:lineRule="atLeast"/>
        <w:rPr>
          <w:lang w:val="en-US"/>
        </w:rPr>
      </w:pPr>
      <w:r w:rsidRPr="00BB47F1">
        <w:rPr>
          <w:lang w:val="en-US"/>
        </w:rPr>
        <w:t>2.</w:t>
      </w:r>
      <w:r w:rsidR="009423E6">
        <w:rPr>
          <w:lang w:val="en-US"/>
        </w:rPr>
        <w:t>3</w:t>
      </w:r>
      <w:r w:rsidRPr="00BB47F1">
        <w:rPr>
          <w:lang w:val="en-US"/>
        </w:rPr>
        <w:tab/>
        <w:t xml:space="preserve">The author left Somalia </w:t>
      </w:r>
      <w:r w:rsidR="00680805" w:rsidRPr="00BB47F1">
        <w:rPr>
          <w:lang w:val="en-US"/>
        </w:rPr>
        <w:t>in 2010</w:t>
      </w:r>
      <w:r w:rsidR="00680805">
        <w:rPr>
          <w:lang w:val="en-US"/>
        </w:rPr>
        <w:t>,</w:t>
      </w:r>
      <w:r w:rsidR="00680805" w:rsidRPr="00BB47F1">
        <w:rPr>
          <w:lang w:val="en-US"/>
        </w:rPr>
        <w:t xml:space="preserve"> </w:t>
      </w:r>
      <w:r w:rsidR="00680805">
        <w:rPr>
          <w:lang w:val="en-US"/>
        </w:rPr>
        <w:t>after</w:t>
      </w:r>
      <w:r w:rsidRPr="00BB47F1">
        <w:rPr>
          <w:lang w:val="en-US"/>
        </w:rPr>
        <w:t xml:space="preserve"> </w:t>
      </w:r>
      <w:r w:rsidR="001853BD">
        <w:rPr>
          <w:lang w:val="en-US"/>
        </w:rPr>
        <w:t xml:space="preserve">members of the militant group </w:t>
      </w:r>
      <w:r w:rsidR="005833BB">
        <w:rPr>
          <w:lang w:val="en-US"/>
        </w:rPr>
        <w:t>A</w:t>
      </w:r>
      <w:r w:rsidRPr="00BB47F1">
        <w:rPr>
          <w:lang w:val="en-US"/>
        </w:rPr>
        <w:t xml:space="preserve">l-Shabaab contacted him </w:t>
      </w:r>
      <w:r w:rsidR="00261FFE">
        <w:rPr>
          <w:lang w:val="en-US"/>
        </w:rPr>
        <w:t>and asked</w:t>
      </w:r>
      <w:r w:rsidRPr="00BB47F1">
        <w:rPr>
          <w:lang w:val="en-US"/>
        </w:rPr>
        <w:t xml:space="preserve"> him to join the</w:t>
      </w:r>
      <w:r w:rsidR="00680805">
        <w:rPr>
          <w:lang w:val="en-US"/>
        </w:rPr>
        <w:t xml:space="preserve"> group</w:t>
      </w:r>
      <w:r w:rsidRPr="00BB47F1">
        <w:rPr>
          <w:lang w:val="en-US"/>
        </w:rPr>
        <w:t xml:space="preserve">. </w:t>
      </w:r>
      <w:r w:rsidR="001853BD">
        <w:rPr>
          <w:lang w:val="en-US"/>
        </w:rPr>
        <w:t>The author submit</w:t>
      </w:r>
      <w:r w:rsidR="00D04E07">
        <w:rPr>
          <w:lang w:val="en-US"/>
        </w:rPr>
        <w:t>s</w:t>
      </w:r>
      <w:r w:rsidR="001853BD">
        <w:rPr>
          <w:lang w:val="en-US"/>
        </w:rPr>
        <w:t xml:space="preserve"> that </w:t>
      </w:r>
      <w:r w:rsidRPr="00BB47F1">
        <w:rPr>
          <w:lang w:val="en-US"/>
        </w:rPr>
        <w:t xml:space="preserve">refusing recruitment </w:t>
      </w:r>
      <w:r w:rsidR="00AA0E9A">
        <w:rPr>
          <w:lang w:val="en-US"/>
        </w:rPr>
        <w:t>by</w:t>
      </w:r>
      <w:r w:rsidR="00AA0E9A" w:rsidRPr="00BB47F1">
        <w:rPr>
          <w:lang w:val="en-US"/>
        </w:rPr>
        <w:t xml:space="preserve"> </w:t>
      </w:r>
      <w:r w:rsidR="005833BB">
        <w:rPr>
          <w:lang w:val="en-US"/>
        </w:rPr>
        <w:t>A</w:t>
      </w:r>
      <w:r w:rsidRPr="00BB47F1">
        <w:rPr>
          <w:lang w:val="en-US"/>
        </w:rPr>
        <w:t>l-Shabaab means risk</w:t>
      </w:r>
      <w:r w:rsidR="00D04E07">
        <w:rPr>
          <w:lang w:val="en-US"/>
        </w:rPr>
        <w:t>ing</w:t>
      </w:r>
      <w:r w:rsidRPr="00BB47F1">
        <w:rPr>
          <w:lang w:val="en-US"/>
        </w:rPr>
        <w:t xml:space="preserve"> death</w:t>
      </w:r>
      <w:r w:rsidR="001853BD">
        <w:rPr>
          <w:lang w:val="en-US"/>
        </w:rPr>
        <w:t xml:space="preserve"> and</w:t>
      </w:r>
      <w:r w:rsidR="00D04E07">
        <w:rPr>
          <w:lang w:val="en-US"/>
        </w:rPr>
        <w:t>,</w:t>
      </w:r>
      <w:r w:rsidR="001853BD">
        <w:rPr>
          <w:lang w:val="en-US"/>
        </w:rPr>
        <w:t xml:space="preserve"> since he did not want to join the</w:t>
      </w:r>
      <w:r w:rsidR="00D04E07">
        <w:rPr>
          <w:lang w:val="en-US"/>
        </w:rPr>
        <w:t xml:space="preserve"> group,</w:t>
      </w:r>
      <w:r w:rsidR="001853BD">
        <w:rPr>
          <w:lang w:val="en-US"/>
        </w:rPr>
        <w:t xml:space="preserve"> he </w:t>
      </w:r>
      <w:r w:rsidRPr="00BB47F1">
        <w:rPr>
          <w:lang w:val="en-US"/>
        </w:rPr>
        <w:t xml:space="preserve">had to escape from the country as fast as possible </w:t>
      </w:r>
      <w:r w:rsidR="00D04E07">
        <w:rPr>
          <w:lang w:val="en-US"/>
        </w:rPr>
        <w:t>for</w:t>
      </w:r>
      <w:r w:rsidRPr="00BB47F1">
        <w:rPr>
          <w:lang w:val="en-US"/>
        </w:rPr>
        <w:t xml:space="preserve"> fear</w:t>
      </w:r>
      <w:r w:rsidR="00D04E07">
        <w:rPr>
          <w:lang w:val="en-US"/>
        </w:rPr>
        <w:t xml:space="preserve"> of getting</w:t>
      </w:r>
      <w:r w:rsidRPr="00BB47F1">
        <w:rPr>
          <w:lang w:val="en-US"/>
        </w:rPr>
        <w:t xml:space="preserve"> killed. </w:t>
      </w:r>
      <w:r w:rsidR="00077F52">
        <w:rPr>
          <w:lang w:val="en-US"/>
        </w:rPr>
        <w:t xml:space="preserve">The author submits that </w:t>
      </w:r>
      <w:r w:rsidR="0078042F">
        <w:rPr>
          <w:lang w:val="en-US"/>
        </w:rPr>
        <w:t>h</w:t>
      </w:r>
      <w:r w:rsidRPr="00BB47F1">
        <w:rPr>
          <w:lang w:val="en-US"/>
        </w:rPr>
        <w:t>e left Somalia illegally through Ethiopia</w:t>
      </w:r>
      <w:r w:rsidR="00680805">
        <w:rPr>
          <w:lang w:val="en-US"/>
        </w:rPr>
        <w:t>,</w:t>
      </w:r>
      <w:r w:rsidRPr="00BB47F1">
        <w:rPr>
          <w:lang w:val="en-US"/>
        </w:rPr>
        <w:t xml:space="preserve"> where he stayed until he travelled to Denmark without valid travel documents. </w:t>
      </w:r>
      <w:r w:rsidRPr="00F81C2B">
        <w:rPr>
          <w:lang w:val="en-US"/>
        </w:rPr>
        <w:t>He arrived in Denmark on 15</w:t>
      </w:r>
      <w:r w:rsidR="006D535D">
        <w:rPr>
          <w:lang w:val="en-US"/>
        </w:rPr>
        <w:t> </w:t>
      </w:r>
      <w:r w:rsidRPr="00F81C2B">
        <w:rPr>
          <w:lang w:val="en-US"/>
        </w:rPr>
        <w:t>February 2013 and applied for</w:t>
      </w:r>
      <w:r w:rsidR="004D773C" w:rsidRPr="00F81C2B">
        <w:rPr>
          <w:lang w:val="en-US"/>
        </w:rPr>
        <w:t xml:space="preserve"> residence</w:t>
      </w:r>
      <w:r w:rsidR="00680805">
        <w:rPr>
          <w:lang w:val="en-US"/>
        </w:rPr>
        <w:t xml:space="preserve"> and asylum</w:t>
      </w:r>
      <w:r w:rsidR="004D773C" w:rsidRPr="00F81C2B">
        <w:rPr>
          <w:lang w:val="en-US"/>
        </w:rPr>
        <w:t>.</w:t>
      </w:r>
      <w:r w:rsidR="001853BD">
        <w:rPr>
          <w:lang w:val="en-US"/>
        </w:rPr>
        <w:t xml:space="preserve"> </w:t>
      </w:r>
    </w:p>
    <w:p w:rsidR="00BB47F1" w:rsidRPr="00BB47F1" w:rsidRDefault="009423E6" w:rsidP="00760D0A">
      <w:pPr>
        <w:pStyle w:val="SingleTxtG"/>
        <w:spacing w:line="220" w:lineRule="atLeast"/>
        <w:rPr>
          <w:lang w:val="en-US"/>
        </w:rPr>
      </w:pPr>
      <w:r>
        <w:rPr>
          <w:lang w:val="en-US"/>
        </w:rPr>
        <w:t>2.4</w:t>
      </w:r>
      <w:r w:rsidR="00BB47F1" w:rsidRPr="00BB47F1">
        <w:rPr>
          <w:lang w:val="en-US"/>
        </w:rPr>
        <w:tab/>
        <w:t xml:space="preserve">On 26 June 2014, the Refugee </w:t>
      </w:r>
      <w:r w:rsidR="004D0D2A">
        <w:rPr>
          <w:lang w:val="en-US"/>
        </w:rPr>
        <w:t xml:space="preserve">Appeals </w:t>
      </w:r>
      <w:r w:rsidR="00BB47F1" w:rsidRPr="00BB47F1">
        <w:rPr>
          <w:lang w:val="en-US"/>
        </w:rPr>
        <w:t>Board refused to reopen his case. Instead, the case was re</w:t>
      </w:r>
      <w:r w:rsidR="001853BD">
        <w:rPr>
          <w:lang w:val="en-US"/>
        </w:rPr>
        <w:t>turned</w:t>
      </w:r>
      <w:r w:rsidR="00BB47F1" w:rsidRPr="00BB47F1">
        <w:rPr>
          <w:lang w:val="en-US"/>
        </w:rPr>
        <w:t xml:space="preserve"> to the </w:t>
      </w:r>
      <w:r w:rsidR="00D04E07">
        <w:rPr>
          <w:lang w:val="en-US"/>
        </w:rPr>
        <w:t xml:space="preserve">Danish </w:t>
      </w:r>
      <w:r w:rsidR="00BB47F1" w:rsidRPr="00BB47F1">
        <w:rPr>
          <w:lang w:val="en-US"/>
        </w:rPr>
        <w:t>Immigration Service</w:t>
      </w:r>
      <w:r w:rsidR="001853BD">
        <w:rPr>
          <w:lang w:val="en-US"/>
        </w:rPr>
        <w:t xml:space="preserve"> for an additional review, because</w:t>
      </w:r>
      <w:r w:rsidR="00BB47F1" w:rsidRPr="00BB47F1">
        <w:rPr>
          <w:lang w:val="en-US"/>
        </w:rPr>
        <w:t xml:space="preserve"> there was new information regarding his fear of </w:t>
      </w:r>
      <w:r w:rsidR="005833BB">
        <w:rPr>
          <w:lang w:val="en-US"/>
        </w:rPr>
        <w:t>A</w:t>
      </w:r>
      <w:r w:rsidR="00BB47F1" w:rsidRPr="00BB47F1">
        <w:rPr>
          <w:lang w:val="en-US"/>
        </w:rPr>
        <w:t>l-Shabaab. On 11 November 2014, the Service refused to grant t</w:t>
      </w:r>
      <w:r w:rsidR="001853BD">
        <w:rPr>
          <w:lang w:val="en-US"/>
        </w:rPr>
        <w:t xml:space="preserve">o the author </w:t>
      </w:r>
      <w:r w:rsidR="00D04E07">
        <w:rPr>
          <w:lang w:val="en-US"/>
        </w:rPr>
        <w:t xml:space="preserve">a </w:t>
      </w:r>
      <w:r w:rsidR="00BB47F1" w:rsidRPr="00BB47F1">
        <w:rPr>
          <w:lang w:val="en-US"/>
        </w:rPr>
        <w:t xml:space="preserve">residence permit pursuant to the Danish Aliens Act. On 14 January 2015, the Board rejected the author’s </w:t>
      </w:r>
      <w:r w:rsidR="00D04E07">
        <w:rPr>
          <w:lang w:val="en-US"/>
        </w:rPr>
        <w:t xml:space="preserve">claim for </w:t>
      </w:r>
      <w:r w:rsidR="00BB47F1" w:rsidRPr="00BB47F1">
        <w:rPr>
          <w:lang w:val="en-US"/>
        </w:rPr>
        <w:t>asylum and protection.</w:t>
      </w:r>
      <w:r>
        <w:rPr>
          <w:lang w:val="en-US"/>
        </w:rPr>
        <w:t xml:space="preserve"> </w:t>
      </w:r>
    </w:p>
    <w:p w:rsidR="00BB47F1" w:rsidRPr="00BB47F1" w:rsidRDefault="00BB47F1" w:rsidP="00760D0A">
      <w:pPr>
        <w:pStyle w:val="SingleTxtG"/>
        <w:spacing w:line="220" w:lineRule="atLeast"/>
        <w:rPr>
          <w:lang w:val="en-US"/>
        </w:rPr>
      </w:pPr>
      <w:r w:rsidRPr="00BB47F1">
        <w:rPr>
          <w:lang w:val="en-US"/>
        </w:rPr>
        <w:t>2.5</w:t>
      </w:r>
      <w:r w:rsidR="009423E6">
        <w:rPr>
          <w:lang w:val="en-US"/>
        </w:rPr>
        <w:tab/>
      </w:r>
      <w:r w:rsidRPr="00BB47F1">
        <w:rPr>
          <w:lang w:val="en-US"/>
        </w:rPr>
        <w:t xml:space="preserve">On 16 January 2015, the Ministry of Justice decided to reject the author’s application for </w:t>
      </w:r>
      <w:r w:rsidR="00D04E07">
        <w:rPr>
          <w:lang w:val="en-US"/>
        </w:rPr>
        <w:t xml:space="preserve">a </w:t>
      </w:r>
      <w:r w:rsidRPr="00BB47F1">
        <w:rPr>
          <w:lang w:val="en-US"/>
        </w:rPr>
        <w:t>humanitarian residence permit pursuant to the Aliens Act</w:t>
      </w:r>
      <w:r w:rsidR="00D04E07">
        <w:rPr>
          <w:lang w:val="en-US"/>
        </w:rPr>
        <w:t>,</w:t>
      </w:r>
      <w:r w:rsidRPr="00BB47F1">
        <w:rPr>
          <w:lang w:val="en-US"/>
        </w:rPr>
        <w:t xml:space="preserve"> </w:t>
      </w:r>
      <w:r w:rsidR="004D773C">
        <w:rPr>
          <w:lang w:val="en-US"/>
        </w:rPr>
        <w:t>section</w:t>
      </w:r>
      <w:r w:rsidR="009423E6">
        <w:rPr>
          <w:lang w:val="en-US"/>
        </w:rPr>
        <w:t xml:space="preserve"> 9</w:t>
      </w:r>
      <w:r w:rsidR="007677B7">
        <w:rPr>
          <w:lang w:val="en-US"/>
        </w:rPr>
        <w:t xml:space="preserve"> (</w:t>
      </w:r>
      <w:r w:rsidR="009423E6">
        <w:rPr>
          <w:lang w:val="en-US"/>
        </w:rPr>
        <w:t>b</w:t>
      </w:r>
      <w:r w:rsidR="007677B7">
        <w:rPr>
          <w:lang w:val="en-US"/>
        </w:rPr>
        <w:t>)</w:t>
      </w:r>
      <w:r w:rsidR="009423E6">
        <w:rPr>
          <w:lang w:val="en-US"/>
        </w:rPr>
        <w:t xml:space="preserve"> </w:t>
      </w:r>
      <w:r w:rsidR="007677B7">
        <w:rPr>
          <w:lang w:val="en-US"/>
        </w:rPr>
        <w:t>(</w:t>
      </w:r>
      <w:r w:rsidR="009423E6">
        <w:rPr>
          <w:lang w:val="en-US"/>
        </w:rPr>
        <w:t>1</w:t>
      </w:r>
      <w:r w:rsidR="007677B7">
        <w:rPr>
          <w:lang w:val="en-US"/>
        </w:rPr>
        <w:t>)</w:t>
      </w:r>
      <w:r w:rsidR="009423E6">
        <w:rPr>
          <w:lang w:val="en-US"/>
        </w:rPr>
        <w:t>.</w:t>
      </w:r>
    </w:p>
    <w:p w:rsidR="00BB47F1" w:rsidRPr="00BB47F1" w:rsidRDefault="009423E6" w:rsidP="00760D0A">
      <w:pPr>
        <w:pStyle w:val="SingleTxtG"/>
        <w:spacing w:line="220" w:lineRule="atLeast"/>
        <w:rPr>
          <w:lang w:val="en-US"/>
        </w:rPr>
      </w:pPr>
      <w:r>
        <w:rPr>
          <w:lang w:val="en-US"/>
        </w:rPr>
        <w:t>2.6</w:t>
      </w:r>
      <w:r w:rsidR="00BB47F1" w:rsidRPr="00BB47F1">
        <w:rPr>
          <w:lang w:val="en-US"/>
        </w:rPr>
        <w:tab/>
        <w:t xml:space="preserve">The author </w:t>
      </w:r>
      <w:r w:rsidR="001853BD">
        <w:rPr>
          <w:lang w:val="en-US"/>
        </w:rPr>
        <w:t>maintain</w:t>
      </w:r>
      <w:r w:rsidR="00D04E07">
        <w:rPr>
          <w:lang w:val="en-US"/>
        </w:rPr>
        <w:t>s</w:t>
      </w:r>
      <w:r w:rsidR="001853BD">
        <w:rPr>
          <w:lang w:val="en-US"/>
        </w:rPr>
        <w:t xml:space="preserve"> </w:t>
      </w:r>
      <w:r w:rsidR="00BB47F1" w:rsidRPr="00BB47F1">
        <w:rPr>
          <w:lang w:val="en-US"/>
        </w:rPr>
        <w:t xml:space="preserve">that all domestic remedies have been exhausted and that </w:t>
      </w:r>
      <w:r w:rsidR="001853BD">
        <w:rPr>
          <w:lang w:val="en-US"/>
        </w:rPr>
        <w:t xml:space="preserve">no </w:t>
      </w:r>
      <w:r w:rsidR="00BB47F1" w:rsidRPr="00BB47F1">
        <w:rPr>
          <w:lang w:val="en-US"/>
        </w:rPr>
        <w:t>complaint has been submitted before any other international body.</w:t>
      </w:r>
    </w:p>
    <w:p w:rsidR="00BB47F1" w:rsidRPr="00760D0A" w:rsidRDefault="009423E6" w:rsidP="00760D0A">
      <w:pPr>
        <w:pStyle w:val="H23G"/>
      </w:pPr>
      <w:r>
        <w:rPr>
          <w:lang w:val="en-US"/>
        </w:rPr>
        <w:tab/>
      </w:r>
      <w:r>
        <w:rPr>
          <w:lang w:val="en-US"/>
        </w:rPr>
        <w:tab/>
      </w:r>
      <w:r w:rsidR="00BB47F1" w:rsidRPr="00BB47F1">
        <w:rPr>
          <w:lang w:val="en-US"/>
        </w:rPr>
        <w:t>The complaint</w:t>
      </w:r>
    </w:p>
    <w:p w:rsidR="00BB47F1" w:rsidRDefault="00BB47F1" w:rsidP="00760D0A">
      <w:pPr>
        <w:pStyle w:val="SingleTxtG"/>
        <w:spacing w:line="220" w:lineRule="atLeast"/>
        <w:rPr>
          <w:lang w:val="en-US"/>
        </w:rPr>
      </w:pPr>
      <w:r w:rsidRPr="00BB47F1">
        <w:rPr>
          <w:lang w:val="en-US"/>
        </w:rPr>
        <w:t>3.</w:t>
      </w:r>
      <w:r w:rsidR="00AD08B3">
        <w:rPr>
          <w:lang w:val="en-US"/>
        </w:rPr>
        <w:t>1</w:t>
      </w:r>
      <w:r w:rsidRPr="00BB47F1">
        <w:rPr>
          <w:lang w:val="en-US"/>
        </w:rPr>
        <w:tab/>
        <w:t xml:space="preserve">The author </w:t>
      </w:r>
      <w:r w:rsidR="00AD08B3">
        <w:rPr>
          <w:lang w:val="en-US"/>
        </w:rPr>
        <w:t>submit</w:t>
      </w:r>
      <w:r w:rsidR="00D04E07">
        <w:rPr>
          <w:lang w:val="en-US"/>
        </w:rPr>
        <w:t>s</w:t>
      </w:r>
      <w:r w:rsidRPr="00BB47F1">
        <w:rPr>
          <w:lang w:val="en-US"/>
        </w:rPr>
        <w:t xml:space="preserve"> that he </w:t>
      </w:r>
      <w:r w:rsidR="00680805">
        <w:rPr>
          <w:lang w:val="en-US"/>
        </w:rPr>
        <w:t xml:space="preserve">should </w:t>
      </w:r>
      <w:r w:rsidRPr="00BB47F1">
        <w:rPr>
          <w:lang w:val="en-US"/>
        </w:rPr>
        <w:t xml:space="preserve">not be returned to Somalia as there is a real risk </w:t>
      </w:r>
      <w:r w:rsidR="00D04E07" w:rsidRPr="00760D0A">
        <w:rPr>
          <w:lang w:val="en-US"/>
        </w:rPr>
        <w:t>that he will be</w:t>
      </w:r>
      <w:r w:rsidRPr="00BB47F1">
        <w:rPr>
          <w:lang w:val="en-US"/>
        </w:rPr>
        <w:t xml:space="preserve"> killed by </w:t>
      </w:r>
      <w:r w:rsidR="005833BB">
        <w:rPr>
          <w:lang w:val="en-US"/>
        </w:rPr>
        <w:t>A</w:t>
      </w:r>
      <w:r w:rsidRPr="00BB47F1">
        <w:rPr>
          <w:lang w:val="en-US"/>
        </w:rPr>
        <w:t xml:space="preserve">l-Shabaab </w:t>
      </w:r>
      <w:r w:rsidR="00D04E07">
        <w:rPr>
          <w:lang w:val="en-US"/>
        </w:rPr>
        <w:t>elements</w:t>
      </w:r>
      <w:r w:rsidRPr="00BB47F1">
        <w:rPr>
          <w:lang w:val="en-US"/>
        </w:rPr>
        <w:t xml:space="preserve">. He </w:t>
      </w:r>
      <w:r w:rsidR="00D04E07">
        <w:rPr>
          <w:lang w:val="en-US"/>
        </w:rPr>
        <w:t xml:space="preserve">also </w:t>
      </w:r>
      <w:r w:rsidR="00907EB5">
        <w:rPr>
          <w:lang w:val="en-US"/>
        </w:rPr>
        <w:t>submit</w:t>
      </w:r>
      <w:r w:rsidR="00D04E07">
        <w:rPr>
          <w:lang w:val="en-US"/>
        </w:rPr>
        <w:t>s</w:t>
      </w:r>
      <w:r w:rsidR="00907EB5">
        <w:rPr>
          <w:lang w:val="en-US"/>
        </w:rPr>
        <w:t xml:space="preserve"> </w:t>
      </w:r>
      <w:r w:rsidRPr="00BB47F1">
        <w:rPr>
          <w:lang w:val="en-US"/>
        </w:rPr>
        <w:t xml:space="preserve">that several of his friends have been killed by </w:t>
      </w:r>
      <w:r w:rsidR="005833BB">
        <w:rPr>
          <w:lang w:val="en-US"/>
        </w:rPr>
        <w:t>A</w:t>
      </w:r>
      <w:r w:rsidRPr="00BB47F1">
        <w:rPr>
          <w:lang w:val="en-US"/>
        </w:rPr>
        <w:t xml:space="preserve">l-Shabaab for </w:t>
      </w:r>
      <w:r w:rsidR="00D04E07">
        <w:rPr>
          <w:lang w:val="en-US"/>
        </w:rPr>
        <w:t>not</w:t>
      </w:r>
      <w:r w:rsidRPr="00BB47F1">
        <w:rPr>
          <w:lang w:val="en-US"/>
        </w:rPr>
        <w:t xml:space="preserve"> cooperati</w:t>
      </w:r>
      <w:r w:rsidR="00D04E07">
        <w:rPr>
          <w:lang w:val="en-US"/>
        </w:rPr>
        <w:t>ng</w:t>
      </w:r>
      <w:r w:rsidR="00FD288D">
        <w:rPr>
          <w:lang w:val="en-US"/>
        </w:rPr>
        <w:t>;</w:t>
      </w:r>
      <w:r w:rsidRPr="00BB47F1">
        <w:rPr>
          <w:lang w:val="en-US"/>
        </w:rPr>
        <w:t xml:space="preserve"> two of his friends were killed in 2013 and another in 2012 because they did not leave Somalia in time. The author</w:t>
      </w:r>
      <w:r w:rsidR="00FD288D">
        <w:rPr>
          <w:lang w:val="en-US"/>
        </w:rPr>
        <w:t xml:space="preserve"> </w:t>
      </w:r>
      <w:r w:rsidR="00D04E07">
        <w:rPr>
          <w:lang w:val="en-US"/>
        </w:rPr>
        <w:t xml:space="preserve">further </w:t>
      </w:r>
      <w:r w:rsidR="00FD288D">
        <w:rPr>
          <w:lang w:val="en-US"/>
        </w:rPr>
        <w:t>submit</w:t>
      </w:r>
      <w:r w:rsidR="00D04E07">
        <w:rPr>
          <w:lang w:val="en-US"/>
        </w:rPr>
        <w:t>s</w:t>
      </w:r>
      <w:r w:rsidR="00FD288D">
        <w:rPr>
          <w:lang w:val="en-US"/>
        </w:rPr>
        <w:t xml:space="preserve"> </w:t>
      </w:r>
      <w:r w:rsidRPr="00BB47F1">
        <w:rPr>
          <w:lang w:val="en-US"/>
        </w:rPr>
        <w:t xml:space="preserve">that </w:t>
      </w:r>
      <w:r w:rsidR="00D04E07">
        <w:rPr>
          <w:lang w:val="en-US"/>
        </w:rPr>
        <w:t>the Office of the United Nations High Commissioner for Refugees (</w:t>
      </w:r>
      <w:r w:rsidRPr="00BB47F1">
        <w:rPr>
          <w:lang w:val="en-US"/>
        </w:rPr>
        <w:t>UNHCR</w:t>
      </w:r>
      <w:r w:rsidR="00D04E07">
        <w:rPr>
          <w:lang w:val="en-US"/>
        </w:rPr>
        <w:t>),</w:t>
      </w:r>
      <w:r w:rsidRPr="00BB47F1">
        <w:rPr>
          <w:lang w:val="en-US"/>
        </w:rPr>
        <w:t xml:space="preserve"> in its </w:t>
      </w:r>
      <w:r w:rsidR="00982BC5">
        <w:rPr>
          <w:lang w:val="en-US"/>
        </w:rPr>
        <w:t>17</w:t>
      </w:r>
      <w:r w:rsidR="006D535D">
        <w:rPr>
          <w:lang w:val="en-US"/>
        </w:rPr>
        <w:t> </w:t>
      </w:r>
      <w:r w:rsidRPr="00BB47F1">
        <w:rPr>
          <w:lang w:val="en-US"/>
        </w:rPr>
        <w:t xml:space="preserve">June 2014 assessment </w:t>
      </w:r>
      <w:r w:rsidR="00A7661F">
        <w:rPr>
          <w:lang w:val="en-US"/>
        </w:rPr>
        <w:t>entitled</w:t>
      </w:r>
      <w:r w:rsidRPr="00BB47F1">
        <w:rPr>
          <w:lang w:val="en-US"/>
        </w:rPr>
        <w:t xml:space="preserve"> </w:t>
      </w:r>
      <w:r w:rsidR="00D04E07">
        <w:rPr>
          <w:lang w:val="en-US"/>
        </w:rPr>
        <w:t>“</w:t>
      </w:r>
      <w:r w:rsidR="00D04E07" w:rsidRPr="00522234">
        <w:rPr>
          <w:lang w:val="en-US"/>
        </w:rPr>
        <w:t xml:space="preserve">UNHCR </w:t>
      </w:r>
      <w:r w:rsidR="00D04E07">
        <w:rPr>
          <w:lang w:val="en-US"/>
        </w:rPr>
        <w:t>p</w:t>
      </w:r>
      <w:r w:rsidRPr="00760D0A">
        <w:rPr>
          <w:lang w:val="en-US"/>
        </w:rPr>
        <w:t xml:space="preserve">osition on </w:t>
      </w:r>
      <w:r w:rsidR="00D04E07" w:rsidRPr="00760D0A">
        <w:rPr>
          <w:lang w:val="en-US"/>
        </w:rPr>
        <w:t>r</w:t>
      </w:r>
      <w:r w:rsidRPr="00760D0A">
        <w:rPr>
          <w:lang w:val="en-US"/>
        </w:rPr>
        <w:t>eturns to Southern and Central Somalia</w:t>
      </w:r>
      <w:r w:rsidR="00D04E07" w:rsidRPr="00760D0A">
        <w:rPr>
          <w:lang w:val="en-US"/>
        </w:rPr>
        <w:t>”</w:t>
      </w:r>
      <w:r w:rsidR="00D04E07">
        <w:rPr>
          <w:lang w:val="en-US"/>
        </w:rPr>
        <w:t>,</w:t>
      </w:r>
      <w:r w:rsidR="00A7661F" w:rsidRPr="00760D0A">
        <w:rPr>
          <w:rStyle w:val="FootnoteReference"/>
        </w:rPr>
        <w:footnoteReference w:id="4"/>
      </w:r>
      <w:r w:rsidRPr="00522234">
        <w:rPr>
          <w:lang w:val="en-US"/>
        </w:rPr>
        <w:t xml:space="preserve"> </w:t>
      </w:r>
      <w:r w:rsidRPr="00BB47F1">
        <w:rPr>
          <w:lang w:val="en-US"/>
        </w:rPr>
        <w:t xml:space="preserve">urged States to refrain from forcibly returning any person to areas of Southern and Central Somalia affected by military action and/or ensuing displacement. Although the town where the author lived is under the control of the State, </w:t>
      </w:r>
      <w:r w:rsidR="00522234">
        <w:rPr>
          <w:lang w:val="en-US"/>
        </w:rPr>
        <w:t>Al-Shabaab has</w:t>
      </w:r>
      <w:r w:rsidR="00AA0E9A" w:rsidRPr="00BB47F1">
        <w:rPr>
          <w:lang w:val="en-US"/>
        </w:rPr>
        <w:t xml:space="preserve"> </w:t>
      </w:r>
      <w:r w:rsidRPr="00BB47F1">
        <w:rPr>
          <w:lang w:val="en-US"/>
        </w:rPr>
        <w:t>terrorized</w:t>
      </w:r>
      <w:r w:rsidR="00522234">
        <w:rPr>
          <w:lang w:val="en-US"/>
        </w:rPr>
        <w:t xml:space="preserve"> the inhabitants of</w:t>
      </w:r>
      <w:r w:rsidRPr="00BB47F1">
        <w:rPr>
          <w:lang w:val="en-US"/>
        </w:rPr>
        <w:t xml:space="preserve"> th</w:t>
      </w:r>
      <w:r w:rsidR="00522234">
        <w:rPr>
          <w:lang w:val="en-US"/>
        </w:rPr>
        <w:t>at</w:t>
      </w:r>
      <w:r w:rsidRPr="00BB47F1">
        <w:rPr>
          <w:lang w:val="en-US"/>
        </w:rPr>
        <w:t xml:space="preserve"> </w:t>
      </w:r>
      <w:r w:rsidR="00A7661F">
        <w:rPr>
          <w:lang w:val="en-US"/>
        </w:rPr>
        <w:t>town</w:t>
      </w:r>
      <w:r w:rsidRPr="00BB47F1">
        <w:rPr>
          <w:lang w:val="en-US"/>
        </w:rPr>
        <w:t xml:space="preserve"> and its surroundings</w:t>
      </w:r>
      <w:r w:rsidR="00077F52">
        <w:rPr>
          <w:lang w:val="en-US"/>
        </w:rPr>
        <w:t xml:space="preserve">, especially </w:t>
      </w:r>
      <w:r w:rsidR="00AA0E9A">
        <w:rPr>
          <w:lang w:val="en-US"/>
        </w:rPr>
        <w:t>at</w:t>
      </w:r>
      <w:r w:rsidR="00077F52">
        <w:rPr>
          <w:lang w:val="en-US"/>
        </w:rPr>
        <w:t xml:space="preserve"> night</w:t>
      </w:r>
      <w:r w:rsidRPr="00BB47F1">
        <w:rPr>
          <w:lang w:val="en-US"/>
        </w:rPr>
        <w:t>.</w:t>
      </w:r>
      <w:r w:rsidR="00077F52" w:rsidRPr="00D542CF">
        <w:rPr>
          <w:rStyle w:val="FootnoteReference"/>
        </w:rPr>
        <w:footnoteReference w:id="5"/>
      </w:r>
      <w:r w:rsidRPr="00BB47F1">
        <w:rPr>
          <w:lang w:val="en-US"/>
        </w:rPr>
        <w:t xml:space="preserve"> </w:t>
      </w:r>
      <w:r w:rsidR="00077F52">
        <w:rPr>
          <w:lang w:val="en-US"/>
        </w:rPr>
        <w:t xml:space="preserve">The author maintains that </w:t>
      </w:r>
      <w:r w:rsidR="005833BB">
        <w:rPr>
          <w:lang w:val="en-US"/>
        </w:rPr>
        <w:t>A</w:t>
      </w:r>
      <w:r w:rsidR="00077F52">
        <w:rPr>
          <w:lang w:val="en-US"/>
        </w:rPr>
        <w:t xml:space="preserve">l-Shabaab has increasingly </w:t>
      </w:r>
      <w:r w:rsidR="00FB2340">
        <w:rPr>
          <w:lang w:val="en-US"/>
        </w:rPr>
        <w:t xml:space="preserve">been </w:t>
      </w:r>
      <w:r w:rsidR="00077F52">
        <w:rPr>
          <w:lang w:val="en-US"/>
        </w:rPr>
        <w:t>targeting civilians and that people who live in areas</w:t>
      </w:r>
      <w:r w:rsidR="00522234">
        <w:rPr>
          <w:lang w:val="en-US"/>
        </w:rPr>
        <w:t xml:space="preserve"> </w:t>
      </w:r>
      <w:r w:rsidR="00522234">
        <w:rPr>
          <w:lang w:val="en-US"/>
        </w:rPr>
        <w:lastRenderedPageBreak/>
        <w:t>under its control</w:t>
      </w:r>
      <w:r w:rsidR="00077F52">
        <w:rPr>
          <w:lang w:val="en-US"/>
        </w:rPr>
        <w:t xml:space="preserve"> face widespread and grave human rights abuses.</w:t>
      </w:r>
      <w:r w:rsidR="00077F52" w:rsidRPr="00D542CF">
        <w:rPr>
          <w:rStyle w:val="FootnoteReference"/>
        </w:rPr>
        <w:footnoteReference w:id="6"/>
      </w:r>
      <w:r w:rsidR="00077F52">
        <w:rPr>
          <w:lang w:val="en-US"/>
        </w:rPr>
        <w:t xml:space="preserve"> </w:t>
      </w:r>
      <w:r w:rsidR="00A7661F">
        <w:rPr>
          <w:lang w:val="en-US"/>
        </w:rPr>
        <w:t>Th</w:t>
      </w:r>
      <w:r w:rsidR="00FD288D">
        <w:rPr>
          <w:lang w:val="en-US"/>
        </w:rPr>
        <w:t>e</w:t>
      </w:r>
      <w:r w:rsidR="00A7661F">
        <w:rPr>
          <w:lang w:val="en-US"/>
        </w:rPr>
        <w:t xml:space="preserve"> author</w:t>
      </w:r>
      <w:r w:rsidR="00FD288D">
        <w:rPr>
          <w:lang w:val="en-US"/>
        </w:rPr>
        <w:t xml:space="preserve">, </w:t>
      </w:r>
      <w:r w:rsidRPr="00BB47F1">
        <w:rPr>
          <w:lang w:val="en-US"/>
        </w:rPr>
        <w:t>therefore, argue</w:t>
      </w:r>
      <w:r w:rsidR="00522234">
        <w:rPr>
          <w:lang w:val="en-US"/>
        </w:rPr>
        <w:t>s</w:t>
      </w:r>
      <w:r w:rsidRPr="00BB47F1">
        <w:rPr>
          <w:lang w:val="en-US"/>
        </w:rPr>
        <w:t xml:space="preserve"> that </w:t>
      </w:r>
      <w:r w:rsidR="00FD288D">
        <w:rPr>
          <w:lang w:val="en-US"/>
        </w:rPr>
        <w:t>his</w:t>
      </w:r>
      <w:r w:rsidRPr="00BB47F1">
        <w:rPr>
          <w:lang w:val="en-US"/>
        </w:rPr>
        <w:t xml:space="preserve"> deportation would violate </w:t>
      </w:r>
      <w:r w:rsidR="00FD288D">
        <w:rPr>
          <w:lang w:val="en-US"/>
        </w:rPr>
        <w:t>his</w:t>
      </w:r>
      <w:r w:rsidRPr="00BB47F1">
        <w:rPr>
          <w:lang w:val="en-US"/>
        </w:rPr>
        <w:t xml:space="preserve"> rights under article 7 of the Covenant</w:t>
      </w:r>
      <w:r w:rsidR="00680805">
        <w:rPr>
          <w:lang w:val="en-US"/>
        </w:rPr>
        <w:t xml:space="preserve"> and article 3 of the European</w:t>
      </w:r>
      <w:r w:rsidR="00522234" w:rsidRPr="00522234">
        <w:rPr>
          <w:lang w:val="en-US"/>
        </w:rPr>
        <w:t xml:space="preserve"> </w:t>
      </w:r>
      <w:r w:rsidR="00522234">
        <w:rPr>
          <w:lang w:val="en-US"/>
        </w:rPr>
        <w:t>Convention on Human Rights</w:t>
      </w:r>
      <w:r w:rsidR="00680805">
        <w:rPr>
          <w:lang w:val="en-US"/>
        </w:rPr>
        <w:t>.</w:t>
      </w:r>
    </w:p>
    <w:p w:rsidR="00AD08B3" w:rsidRDefault="00AD08B3" w:rsidP="00760D0A">
      <w:pPr>
        <w:pStyle w:val="SingleTxtG"/>
        <w:spacing w:line="220" w:lineRule="atLeast"/>
        <w:rPr>
          <w:lang w:val="en-US"/>
        </w:rPr>
      </w:pPr>
      <w:r>
        <w:rPr>
          <w:lang w:val="en-US"/>
        </w:rPr>
        <w:t>3.2</w:t>
      </w:r>
      <w:r>
        <w:rPr>
          <w:lang w:val="en-US"/>
        </w:rPr>
        <w:tab/>
        <w:t>The author submit</w:t>
      </w:r>
      <w:r w:rsidR="00522234">
        <w:rPr>
          <w:lang w:val="en-US"/>
        </w:rPr>
        <w:t>s</w:t>
      </w:r>
      <w:r>
        <w:rPr>
          <w:lang w:val="en-US"/>
        </w:rPr>
        <w:t xml:space="preserve"> that he is closely attached to the State </w:t>
      </w:r>
      <w:proofErr w:type="gramStart"/>
      <w:r>
        <w:rPr>
          <w:lang w:val="en-US"/>
        </w:rPr>
        <w:t>party, that</w:t>
      </w:r>
      <w:proofErr w:type="gramEnd"/>
      <w:r>
        <w:rPr>
          <w:lang w:val="en-US"/>
        </w:rPr>
        <w:t xml:space="preserve"> he grew up there, that his mother, father and eight siblings liv</w:t>
      </w:r>
      <w:r w:rsidR="00522234">
        <w:rPr>
          <w:lang w:val="en-US"/>
        </w:rPr>
        <w:t>e</w:t>
      </w:r>
      <w:r>
        <w:rPr>
          <w:lang w:val="en-US"/>
        </w:rPr>
        <w:t xml:space="preserve"> there and that he fled to Denmark in order to be reunited with his family. He </w:t>
      </w:r>
      <w:r w:rsidR="00522234">
        <w:rPr>
          <w:lang w:val="en-US"/>
        </w:rPr>
        <w:t xml:space="preserve">also </w:t>
      </w:r>
      <w:r>
        <w:rPr>
          <w:lang w:val="en-US"/>
        </w:rPr>
        <w:t>submit</w:t>
      </w:r>
      <w:r w:rsidR="00522234">
        <w:rPr>
          <w:lang w:val="en-US"/>
        </w:rPr>
        <w:t>s</w:t>
      </w:r>
      <w:r>
        <w:rPr>
          <w:lang w:val="en-US"/>
        </w:rPr>
        <w:t xml:space="preserve"> that his deportation would violate his family life, protected under article 8 of the European Convention</w:t>
      </w:r>
      <w:r w:rsidR="00522234" w:rsidRPr="00522234">
        <w:rPr>
          <w:lang w:val="en-US"/>
        </w:rPr>
        <w:t xml:space="preserve"> </w:t>
      </w:r>
      <w:r w:rsidR="00522234">
        <w:rPr>
          <w:lang w:val="en-US"/>
        </w:rPr>
        <w:t>on Human Rights</w:t>
      </w:r>
      <w:r>
        <w:rPr>
          <w:lang w:val="en-US"/>
        </w:rPr>
        <w:t>.</w:t>
      </w:r>
    </w:p>
    <w:p w:rsidR="001C3120" w:rsidRPr="00760D0A" w:rsidRDefault="00675A40" w:rsidP="00760D0A">
      <w:pPr>
        <w:pStyle w:val="H23G"/>
      </w:pPr>
      <w:r>
        <w:tab/>
      </w:r>
      <w:r>
        <w:tab/>
      </w:r>
      <w:r w:rsidR="001C3120" w:rsidRPr="00650921">
        <w:t>State party</w:t>
      </w:r>
      <w:r w:rsidR="00341E7F">
        <w:t>’</w:t>
      </w:r>
      <w:r w:rsidR="001C3120" w:rsidRPr="00650921">
        <w:t>s observations on admissibility</w:t>
      </w:r>
      <w:r w:rsidR="002278E3" w:rsidRPr="00650921">
        <w:t xml:space="preserve"> and </w:t>
      </w:r>
      <w:r w:rsidR="00232B55">
        <w:t xml:space="preserve">the </w:t>
      </w:r>
      <w:r w:rsidR="002278E3" w:rsidRPr="00650921">
        <w:t xml:space="preserve">merits </w:t>
      </w:r>
    </w:p>
    <w:p w:rsidR="00A72D74" w:rsidRPr="00A72D74" w:rsidRDefault="001C3120" w:rsidP="00760D0A">
      <w:pPr>
        <w:pStyle w:val="SingleTxtG"/>
        <w:spacing w:line="220" w:lineRule="atLeast"/>
        <w:rPr>
          <w:lang w:val="en-GB"/>
        </w:rPr>
      </w:pPr>
      <w:r>
        <w:t>4.</w:t>
      </w:r>
      <w:r w:rsidR="00442317">
        <w:rPr>
          <w:lang w:val="en-US"/>
        </w:rPr>
        <w:t>1</w:t>
      </w:r>
      <w:r>
        <w:tab/>
      </w:r>
      <w:r w:rsidR="00232B55" w:rsidRPr="00760D0A">
        <w:rPr>
          <w:lang w:val="en-US"/>
        </w:rPr>
        <w:t>In</w:t>
      </w:r>
      <w:r w:rsidR="00232B55">
        <w:rPr>
          <w:lang w:val="en-US"/>
        </w:rPr>
        <w:t xml:space="preserve"> its observations dated</w:t>
      </w:r>
      <w:r w:rsidR="00A72D74" w:rsidRPr="00A72D74">
        <w:rPr>
          <w:lang w:val="en-GB"/>
        </w:rPr>
        <w:t xml:space="preserve"> 14 July 2015, the State party submit</w:t>
      </w:r>
      <w:r w:rsidR="00232B55">
        <w:rPr>
          <w:lang w:val="en-GB"/>
        </w:rPr>
        <w:t>s</w:t>
      </w:r>
      <w:r w:rsidR="00A72D74" w:rsidRPr="00A72D74">
        <w:rPr>
          <w:lang w:val="en-GB"/>
        </w:rPr>
        <w:t xml:space="preserve"> that the communication should be considered inadmissible. Should the Committee find the communication admissible, the Government submit</w:t>
      </w:r>
      <w:r w:rsidR="000E29F5">
        <w:rPr>
          <w:lang w:val="en-GB"/>
        </w:rPr>
        <w:t>s</w:t>
      </w:r>
      <w:r w:rsidR="00A72D74" w:rsidRPr="00A72D74">
        <w:rPr>
          <w:lang w:val="en-GB"/>
        </w:rPr>
        <w:t xml:space="preserve"> that article 7 of the </w:t>
      </w:r>
      <w:r w:rsidR="00232B55">
        <w:rPr>
          <w:lang w:val="en-GB"/>
        </w:rPr>
        <w:t>Convention</w:t>
      </w:r>
      <w:r w:rsidR="00232B55" w:rsidRPr="00A72D74">
        <w:rPr>
          <w:lang w:val="en-GB"/>
        </w:rPr>
        <w:t xml:space="preserve"> </w:t>
      </w:r>
      <w:r w:rsidR="00A72D74" w:rsidRPr="00A72D74">
        <w:rPr>
          <w:lang w:val="en-GB"/>
        </w:rPr>
        <w:t>w</w:t>
      </w:r>
      <w:r w:rsidR="00232B55">
        <w:rPr>
          <w:lang w:val="en-GB"/>
        </w:rPr>
        <w:t>ould</w:t>
      </w:r>
      <w:r w:rsidR="00A72D74" w:rsidRPr="00A72D74">
        <w:rPr>
          <w:lang w:val="en-GB"/>
        </w:rPr>
        <w:t xml:space="preserve"> not be violated </w:t>
      </w:r>
      <w:r w:rsidR="00232B55">
        <w:rPr>
          <w:lang w:val="en-GB"/>
        </w:rPr>
        <w:t>should</w:t>
      </w:r>
      <w:r w:rsidR="00232B55" w:rsidRPr="00A72D74">
        <w:rPr>
          <w:lang w:val="en-GB"/>
        </w:rPr>
        <w:t xml:space="preserve"> </w:t>
      </w:r>
      <w:r w:rsidR="00A72D74" w:rsidRPr="00A72D74">
        <w:rPr>
          <w:lang w:val="en-GB"/>
        </w:rPr>
        <w:t xml:space="preserve">the author </w:t>
      </w:r>
      <w:r w:rsidR="00232B55">
        <w:rPr>
          <w:lang w:val="en-GB"/>
        </w:rPr>
        <w:t>be</w:t>
      </w:r>
      <w:r w:rsidR="00A72D74" w:rsidRPr="00A72D74">
        <w:rPr>
          <w:lang w:val="en-GB"/>
        </w:rPr>
        <w:t xml:space="preserve"> returned to </w:t>
      </w:r>
      <w:proofErr w:type="gramStart"/>
      <w:r w:rsidR="009423E6">
        <w:rPr>
          <w:lang w:val="en-GB"/>
        </w:rPr>
        <w:t>Somalia.</w:t>
      </w:r>
      <w:proofErr w:type="gramEnd"/>
    </w:p>
    <w:p w:rsidR="00A72D74" w:rsidRPr="00A72D74" w:rsidRDefault="00FF4503" w:rsidP="00760D0A">
      <w:pPr>
        <w:pStyle w:val="SingleTxtG"/>
        <w:spacing w:line="220" w:lineRule="atLeast"/>
        <w:rPr>
          <w:lang w:val="en-GB"/>
        </w:rPr>
      </w:pPr>
      <w:r>
        <w:rPr>
          <w:lang w:val="en-GB"/>
        </w:rPr>
        <w:t>4.2</w:t>
      </w:r>
      <w:r>
        <w:rPr>
          <w:lang w:val="en-GB"/>
        </w:rPr>
        <w:tab/>
      </w:r>
      <w:r w:rsidR="00A72D74" w:rsidRPr="00A72D74">
        <w:rPr>
          <w:lang w:val="en-GB"/>
        </w:rPr>
        <w:t xml:space="preserve">The State party confirmed that the author, a Somali national born on 19 December 1986, entered its territory on 17 December 1992 together with his mother and his siblings. On 14 May 1993, the author was granted </w:t>
      </w:r>
      <w:r w:rsidR="00A72D74" w:rsidRPr="00760D0A">
        <w:rPr>
          <w:lang w:val="en-GB"/>
        </w:rPr>
        <w:t>de facto</w:t>
      </w:r>
      <w:r w:rsidR="00A72D74" w:rsidRPr="00A72D74">
        <w:rPr>
          <w:lang w:val="en-GB"/>
        </w:rPr>
        <w:t xml:space="preserve"> residence under section 7</w:t>
      </w:r>
      <w:r w:rsidR="007F7AB5">
        <w:rPr>
          <w:lang w:val="en-GB"/>
        </w:rPr>
        <w:t xml:space="preserve"> </w:t>
      </w:r>
      <w:r w:rsidR="00A72D74" w:rsidRPr="00A72D74">
        <w:rPr>
          <w:lang w:val="en-GB"/>
        </w:rPr>
        <w:t xml:space="preserve">(2) of the Aliens Act </w:t>
      </w:r>
      <w:r w:rsidR="007F7AB5">
        <w:rPr>
          <w:lang w:val="en-GB"/>
        </w:rPr>
        <w:t xml:space="preserve">then in force, </w:t>
      </w:r>
      <w:r w:rsidR="00A72D74" w:rsidRPr="00A72D74">
        <w:rPr>
          <w:lang w:val="en-GB"/>
        </w:rPr>
        <w:t xml:space="preserve">as </w:t>
      </w:r>
      <w:r w:rsidR="007F7AB5">
        <w:rPr>
          <w:lang w:val="en-GB"/>
        </w:rPr>
        <w:t>the</w:t>
      </w:r>
      <w:r w:rsidR="007F7AB5" w:rsidRPr="00A72D74">
        <w:rPr>
          <w:lang w:val="en-GB"/>
        </w:rPr>
        <w:t xml:space="preserve"> </w:t>
      </w:r>
      <w:r w:rsidR="00A72D74" w:rsidRPr="00A72D74">
        <w:rPr>
          <w:lang w:val="en-GB"/>
        </w:rPr>
        <w:t xml:space="preserve">accompanying child of his mother. On 8 August 2001, the author repatriated to Somalia together with his mother and six siblings. On 26 July 2003, the author’s mother re-entered the State party without the author, who remained in Somalia. On 29 March 2011, the author’s father forwarded a letter to the </w:t>
      </w:r>
      <w:r w:rsidR="007F7AB5">
        <w:rPr>
          <w:lang w:val="en-GB"/>
        </w:rPr>
        <w:t>E</w:t>
      </w:r>
      <w:r w:rsidR="00A72D74" w:rsidRPr="00A72D74">
        <w:rPr>
          <w:lang w:val="en-GB"/>
        </w:rPr>
        <w:t>mbassy</w:t>
      </w:r>
      <w:r w:rsidR="007F7AB5">
        <w:rPr>
          <w:lang w:val="en-GB"/>
        </w:rPr>
        <w:t xml:space="preserve"> of Denmark</w:t>
      </w:r>
      <w:r w:rsidR="00A72D74" w:rsidRPr="00A72D74">
        <w:rPr>
          <w:lang w:val="en-GB"/>
        </w:rPr>
        <w:t xml:space="preserve"> in Addis Ababa</w:t>
      </w:r>
      <w:r w:rsidR="007F7AB5">
        <w:rPr>
          <w:lang w:val="en-GB"/>
        </w:rPr>
        <w:t xml:space="preserve">, in which he wrote </w:t>
      </w:r>
      <w:r w:rsidR="00A72D74" w:rsidRPr="00A72D74">
        <w:rPr>
          <w:lang w:val="en-GB"/>
        </w:rPr>
        <w:t xml:space="preserve">that the author was in Ethiopia and wanted to return to Denmark. On 19 May 2011, the author submitted an application to the </w:t>
      </w:r>
      <w:r w:rsidR="007F7AB5">
        <w:rPr>
          <w:lang w:val="en-GB"/>
        </w:rPr>
        <w:t>E</w:t>
      </w:r>
      <w:r w:rsidR="00A72D74" w:rsidRPr="00A72D74">
        <w:rPr>
          <w:lang w:val="en-GB"/>
        </w:rPr>
        <w:t xml:space="preserve">mbassy </w:t>
      </w:r>
      <w:r w:rsidR="007F7AB5">
        <w:rPr>
          <w:lang w:val="en-GB"/>
        </w:rPr>
        <w:t xml:space="preserve">of Denmark </w:t>
      </w:r>
      <w:r w:rsidR="00A72D74" w:rsidRPr="00A72D74">
        <w:rPr>
          <w:lang w:val="en-GB"/>
        </w:rPr>
        <w:t xml:space="preserve">in Addis Ababa requesting that his residence permit be deemed not to have lapsed. On 28 September 2011, the Danish Immigration Service decided that the applicant’s residence permit had lapsed. On 12 July 2012, the author submitted a new application to the Service requesting that his residence permit be deemed not to have lapsed. The Service considered the application to be an appeal against its decision of 28 September 2011 and forwarded the appeal to the Refugee Appeals Board. </w:t>
      </w:r>
    </w:p>
    <w:p w:rsidR="00A72D74" w:rsidRPr="00A72D74" w:rsidRDefault="00FF4503" w:rsidP="00760D0A">
      <w:pPr>
        <w:pStyle w:val="SingleTxtG"/>
        <w:spacing w:line="220" w:lineRule="atLeast"/>
        <w:rPr>
          <w:lang w:val="en-GB"/>
        </w:rPr>
      </w:pPr>
      <w:r w:rsidRPr="00681BEF">
        <w:rPr>
          <w:lang w:val="en-GB"/>
        </w:rPr>
        <w:t>4.3</w:t>
      </w:r>
      <w:r w:rsidRPr="00681BEF">
        <w:rPr>
          <w:lang w:val="en-GB"/>
        </w:rPr>
        <w:tab/>
      </w:r>
      <w:r w:rsidR="00A72D74" w:rsidRPr="00681BEF">
        <w:rPr>
          <w:lang w:val="en-GB"/>
        </w:rPr>
        <w:t>On 15 February 2013, the author re-entered Denmark without valid travel</w:t>
      </w:r>
      <w:r w:rsidR="00A72D74" w:rsidRPr="00A72D74">
        <w:rPr>
          <w:lang w:val="en-GB"/>
        </w:rPr>
        <w:t xml:space="preserve"> documents. On 3 June 2013, the Refugee Appeals Board decided that the author’s residence permit was deemed to have lapsed. On 31 July 2013, the author requested </w:t>
      </w:r>
      <w:r w:rsidR="007F7AB5">
        <w:rPr>
          <w:lang w:val="en-GB"/>
        </w:rPr>
        <w:t>that</w:t>
      </w:r>
      <w:r w:rsidR="00A72D74" w:rsidRPr="00A72D74">
        <w:rPr>
          <w:lang w:val="en-GB"/>
        </w:rPr>
        <w:t xml:space="preserve"> </w:t>
      </w:r>
      <w:r w:rsidR="00A7661F">
        <w:rPr>
          <w:lang w:val="en-GB"/>
        </w:rPr>
        <w:t>the a</w:t>
      </w:r>
      <w:r w:rsidR="00A72D74" w:rsidRPr="00A72D74">
        <w:rPr>
          <w:lang w:val="en-GB"/>
        </w:rPr>
        <w:t>pplication for renewal of his residence permit</w:t>
      </w:r>
      <w:r w:rsidR="007F7AB5">
        <w:rPr>
          <w:lang w:val="en-GB"/>
        </w:rPr>
        <w:t xml:space="preserve"> be reopened</w:t>
      </w:r>
      <w:r w:rsidR="00A72D74" w:rsidRPr="00A72D74">
        <w:rPr>
          <w:lang w:val="en-GB"/>
        </w:rPr>
        <w:t>. On 26 June 2014, the Board refused to reopen th</w:t>
      </w:r>
      <w:r w:rsidR="007F7AB5">
        <w:rPr>
          <w:lang w:val="en-GB"/>
        </w:rPr>
        <w:t>at</w:t>
      </w:r>
      <w:r w:rsidR="00A72D74" w:rsidRPr="00A72D74">
        <w:rPr>
          <w:lang w:val="en-GB"/>
        </w:rPr>
        <w:t xml:space="preserve"> application</w:t>
      </w:r>
      <w:r w:rsidR="00A14B26">
        <w:rPr>
          <w:lang w:val="en-GB"/>
        </w:rPr>
        <w:t>. It added</w:t>
      </w:r>
      <w:r w:rsidR="00A72D74" w:rsidRPr="00A72D74">
        <w:rPr>
          <w:lang w:val="en-GB"/>
        </w:rPr>
        <w:t xml:space="preserve"> that the author’s fear </w:t>
      </w:r>
      <w:r w:rsidR="007F7AB5">
        <w:rPr>
          <w:lang w:val="en-GB"/>
        </w:rPr>
        <w:t>of</w:t>
      </w:r>
      <w:r w:rsidR="007F7AB5" w:rsidRPr="00A72D74">
        <w:rPr>
          <w:lang w:val="en-GB"/>
        </w:rPr>
        <w:t xml:space="preserve"> </w:t>
      </w:r>
      <w:r w:rsidR="005833BB">
        <w:rPr>
          <w:lang w:val="en-GB"/>
        </w:rPr>
        <w:t>A</w:t>
      </w:r>
      <w:r w:rsidR="00A72D74" w:rsidRPr="00A72D74">
        <w:rPr>
          <w:lang w:val="en-GB"/>
        </w:rPr>
        <w:t xml:space="preserve">l-Shabaab constituted a new ground for asylum, </w:t>
      </w:r>
      <w:r w:rsidR="007F7AB5">
        <w:rPr>
          <w:lang w:val="en-GB"/>
        </w:rPr>
        <w:t>one that</w:t>
      </w:r>
      <w:r w:rsidR="007F7AB5" w:rsidRPr="00A72D74">
        <w:rPr>
          <w:lang w:val="en-GB"/>
        </w:rPr>
        <w:t xml:space="preserve"> </w:t>
      </w:r>
      <w:r w:rsidR="007F7AB5">
        <w:rPr>
          <w:lang w:val="en-GB"/>
        </w:rPr>
        <w:t>had not been</w:t>
      </w:r>
      <w:r w:rsidR="00A72D74" w:rsidRPr="00A72D74">
        <w:rPr>
          <w:lang w:val="en-GB"/>
        </w:rPr>
        <w:t xml:space="preserve"> included in the assessment </w:t>
      </w:r>
      <w:r w:rsidR="00532327">
        <w:rPr>
          <w:lang w:val="en-GB"/>
        </w:rPr>
        <w:t>of</w:t>
      </w:r>
      <w:r w:rsidR="00A72D74" w:rsidRPr="00A72D74">
        <w:rPr>
          <w:lang w:val="en-GB"/>
        </w:rPr>
        <w:t xml:space="preserve"> whether his residence permit had lapsed</w:t>
      </w:r>
      <w:r w:rsidR="007F7AB5">
        <w:rPr>
          <w:lang w:val="en-GB"/>
        </w:rPr>
        <w:t>,</w:t>
      </w:r>
      <w:r w:rsidR="00A72D74" w:rsidRPr="00A72D74">
        <w:rPr>
          <w:lang w:val="en-GB"/>
        </w:rPr>
        <w:t xml:space="preserve"> and forwarded a copy of the</w:t>
      </w:r>
      <w:r w:rsidR="00532327">
        <w:rPr>
          <w:lang w:val="en-GB"/>
        </w:rPr>
        <w:t xml:space="preserve"> author’s</w:t>
      </w:r>
      <w:r w:rsidR="00A72D74" w:rsidRPr="00A72D74">
        <w:rPr>
          <w:lang w:val="en-GB"/>
        </w:rPr>
        <w:t xml:space="preserve"> request to the Danish Immigration Service for further action and examination. The Service treated the request as a new application for asylum</w:t>
      </w:r>
      <w:r w:rsidR="00532327">
        <w:rPr>
          <w:lang w:val="en-GB"/>
        </w:rPr>
        <w:t xml:space="preserve"> and, o</w:t>
      </w:r>
      <w:r w:rsidR="00A72D74" w:rsidRPr="00A72D74">
        <w:rPr>
          <w:lang w:val="en-GB"/>
        </w:rPr>
        <w:t xml:space="preserve">n 11 November 2014, refused </w:t>
      </w:r>
      <w:r w:rsidR="00532327">
        <w:rPr>
          <w:lang w:val="en-GB"/>
        </w:rPr>
        <w:t xml:space="preserve">to grant </w:t>
      </w:r>
      <w:r w:rsidR="00A72D74" w:rsidRPr="00A72D74">
        <w:rPr>
          <w:lang w:val="en-GB"/>
        </w:rPr>
        <w:t>asylum to the author. On 16 January 2015, the Ministry of Justice refused the author’s application for residence on humanitarian grounds under section 9</w:t>
      </w:r>
      <w:r w:rsidR="007677B7">
        <w:rPr>
          <w:lang w:val="en-GB"/>
        </w:rPr>
        <w:t xml:space="preserve"> (</w:t>
      </w:r>
      <w:r w:rsidR="00A72D74" w:rsidRPr="00A72D74">
        <w:rPr>
          <w:lang w:val="en-GB"/>
        </w:rPr>
        <w:t>b</w:t>
      </w:r>
      <w:r w:rsidR="007677B7">
        <w:rPr>
          <w:lang w:val="en-GB"/>
        </w:rPr>
        <w:t xml:space="preserve">) </w:t>
      </w:r>
      <w:r w:rsidR="00A72D74" w:rsidRPr="00A72D74">
        <w:rPr>
          <w:lang w:val="en-GB"/>
        </w:rPr>
        <w:t xml:space="preserve">(1) of the Aliens Act. On 19 January 2015, the Board upheld the refusal by the Service </w:t>
      </w:r>
      <w:r w:rsidR="007677B7">
        <w:rPr>
          <w:lang w:val="en-GB"/>
        </w:rPr>
        <w:t>to grant</w:t>
      </w:r>
      <w:r w:rsidR="00A72D74" w:rsidRPr="00A72D74">
        <w:rPr>
          <w:lang w:val="en-GB"/>
        </w:rPr>
        <w:t xml:space="preserve"> the author asylum.</w:t>
      </w:r>
    </w:p>
    <w:p w:rsidR="00A72D74" w:rsidRPr="00A72D74" w:rsidRDefault="00FF4503" w:rsidP="00760D0A">
      <w:pPr>
        <w:pStyle w:val="SingleTxtG"/>
        <w:spacing w:line="220" w:lineRule="atLeast"/>
        <w:rPr>
          <w:lang w:val="en-GB"/>
        </w:rPr>
      </w:pPr>
      <w:r>
        <w:rPr>
          <w:lang w:val="en-GB"/>
        </w:rPr>
        <w:t>4.4</w:t>
      </w:r>
      <w:r>
        <w:rPr>
          <w:lang w:val="en-GB"/>
        </w:rPr>
        <w:tab/>
      </w:r>
      <w:r w:rsidR="00A72D74" w:rsidRPr="00A72D74">
        <w:rPr>
          <w:lang w:val="en-GB"/>
        </w:rPr>
        <w:t>The author claim</w:t>
      </w:r>
      <w:r w:rsidR="007677B7">
        <w:rPr>
          <w:lang w:val="en-GB"/>
        </w:rPr>
        <w:t>s</w:t>
      </w:r>
      <w:r w:rsidR="00A72D74" w:rsidRPr="00A72D74">
        <w:rPr>
          <w:lang w:val="en-GB"/>
        </w:rPr>
        <w:t xml:space="preserve"> in his communication that</w:t>
      </w:r>
      <w:r w:rsidR="007677B7">
        <w:rPr>
          <w:lang w:val="en-GB"/>
        </w:rPr>
        <w:t xml:space="preserve"> returning him to Somalia</w:t>
      </w:r>
      <w:r w:rsidR="00A72D74" w:rsidRPr="00A72D74">
        <w:rPr>
          <w:lang w:val="en-GB"/>
        </w:rPr>
        <w:t xml:space="preserve"> would constitute a breach of </w:t>
      </w:r>
      <w:r w:rsidR="00A7661F">
        <w:rPr>
          <w:lang w:val="en-GB"/>
        </w:rPr>
        <w:t>a</w:t>
      </w:r>
      <w:r w:rsidR="00A72D74" w:rsidRPr="00A72D74">
        <w:rPr>
          <w:lang w:val="en-GB"/>
        </w:rPr>
        <w:t xml:space="preserve">rticle 7 of the </w:t>
      </w:r>
      <w:r w:rsidR="00A7661F">
        <w:rPr>
          <w:lang w:val="en-GB"/>
        </w:rPr>
        <w:t>Covenant</w:t>
      </w:r>
      <w:r w:rsidR="00A72D74" w:rsidRPr="00A72D74">
        <w:rPr>
          <w:lang w:val="en-GB"/>
        </w:rPr>
        <w:t xml:space="preserve"> and </w:t>
      </w:r>
      <w:r w:rsidR="007677B7">
        <w:rPr>
          <w:lang w:val="en-GB"/>
        </w:rPr>
        <w:t xml:space="preserve">a breach of </w:t>
      </w:r>
      <w:r w:rsidR="00A7661F">
        <w:rPr>
          <w:lang w:val="en-GB"/>
        </w:rPr>
        <w:t>a</w:t>
      </w:r>
      <w:r w:rsidR="00A72D74" w:rsidRPr="00A72D74">
        <w:rPr>
          <w:lang w:val="en-GB"/>
        </w:rPr>
        <w:t>rticles 3 and 8 of the E</w:t>
      </w:r>
      <w:r w:rsidR="00A7661F">
        <w:rPr>
          <w:lang w:val="en-GB"/>
        </w:rPr>
        <w:t>uropean Convention</w:t>
      </w:r>
      <w:r w:rsidR="00A72D74" w:rsidRPr="00A72D74">
        <w:rPr>
          <w:lang w:val="en-GB"/>
        </w:rPr>
        <w:t xml:space="preserve"> </w:t>
      </w:r>
      <w:r w:rsidR="007677B7">
        <w:rPr>
          <w:lang w:val="en-US"/>
        </w:rPr>
        <w:t>on Human Rights</w:t>
      </w:r>
      <w:r w:rsidR="00A72D74" w:rsidRPr="00A72D74">
        <w:rPr>
          <w:lang w:val="en-GB"/>
        </w:rPr>
        <w:t>. The State party note</w:t>
      </w:r>
      <w:r w:rsidR="00B03924">
        <w:rPr>
          <w:lang w:val="en-GB"/>
        </w:rPr>
        <w:t>s</w:t>
      </w:r>
      <w:r w:rsidR="00A72D74" w:rsidRPr="00A72D74">
        <w:rPr>
          <w:lang w:val="en-GB"/>
        </w:rPr>
        <w:t xml:space="preserve"> that</w:t>
      </w:r>
      <w:r w:rsidR="00B03924">
        <w:rPr>
          <w:lang w:val="en-GB"/>
        </w:rPr>
        <w:t>,</w:t>
      </w:r>
      <w:r w:rsidR="00A72D74" w:rsidRPr="00A72D74">
        <w:rPr>
          <w:lang w:val="en-GB"/>
        </w:rPr>
        <w:t xml:space="preserve"> in its decision of 19</w:t>
      </w:r>
      <w:r w:rsidR="007F1FDD">
        <w:rPr>
          <w:lang w:val="en-GB"/>
        </w:rPr>
        <w:t> </w:t>
      </w:r>
      <w:r w:rsidR="00A72D74" w:rsidRPr="00A72D74">
        <w:rPr>
          <w:lang w:val="en-GB"/>
        </w:rPr>
        <w:t xml:space="preserve">January 2015, the Refugee Appeals Board found that the applicant </w:t>
      </w:r>
      <w:r w:rsidR="00B03924">
        <w:rPr>
          <w:lang w:val="en-GB"/>
        </w:rPr>
        <w:t>would</w:t>
      </w:r>
      <w:r w:rsidR="00B03924" w:rsidRPr="00A72D74">
        <w:rPr>
          <w:lang w:val="en-GB"/>
        </w:rPr>
        <w:t xml:space="preserve"> </w:t>
      </w:r>
      <w:r w:rsidR="00A72D74" w:rsidRPr="00A72D74">
        <w:rPr>
          <w:lang w:val="en-GB"/>
        </w:rPr>
        <w:t>not be at a specific and individual risk of persecution</w:t>
      </w:r>
      <w:r w:rsidR="00B03924">
        <w:rPr>
          <w:lang w:val="en-GB"/>
        </w:rPr>
        <w:t xml:space="preserve">, as set out </w:t>
      </w:r>
      <w:r w:rsidR="00B03924" w:rsidRPr="00B03924">
        <w:rPr>
          <w:lang w:val="en-GB"/>
        </w:rPr>
        <w:t>in</w:t>
      </w:r>
      <w:r w:rsidR="00A72D74" w:rsidRPr="00A72D74">
        <w:rPr>
          <w:lang w:val="en-GB"/>
        </w:rPr>
        <w:t xml:space="preserve"> section 7</w:t>
      </w:r>
      <w:r w:rsidR="00B03924">
        <w:rPr>
          <w:lang w:val="en-GB"/>
        </w:rPr>
        <w:t xml:space="preserve"> </w:t>
      </w:r>
      <w:r w:rsidR="00A72D74" w:rsidRPr="00A72D74">
        <w:rPr>
          <w:lang w:val="en-GB"/>
        </w:rPr>
        <w:t>(1) of the Aliens Act</w:t>
      </w:r>
      <w:r w:rsidR="00B03924">
        <w:rPr>
          <w:lang w:val="en-GB"/>
        </w:rPr>
        <w:t>,</w:t>
      </w:r>
      <w:r w:rsidR="00A72D74" w:rsidRPr="00A72D74">
        <w:rPr>
          <w:lang w:val="en-GB"/>
        </w:rPr>
        <w:t xml:space="preserve"> or at a real risk of being subjected to inhuman treatment</w:t>
      </w:r>
      <w:r w:rsidR="00B03924">
        <w:rPr>
          <w:lang w:val="en-GB"/>
        </w:rPr>
        <w:t>, as set out in</w:t>
      </w:r>
      <w:r w:rsidR="00A72D74" w:rsidRPr="00A72D74">
        <w:rPr>
          <w:lang w:val="en-GB"/>
        </w:rPr>
        <w:t xml:space="preserve"> section 7</w:t>
      </w:r>
      <w:r w:rsidR="00B03924">
        <w:rPr>
          <w:lang w:val="en-GB"/>
        </w:rPr>
        <w:t xml:space="preserve"> </w:t>
      </w:r>
      <w:r w:rsidR="00A72D74" w:rsidRPr="00A72D74">
        <w:rPr>
          <w:lang w:val="en-GB"/>
        </w:rPr>
        <w:t>(2) of the Aliens Act</w:t>
      </w:r>
      <w:r w:rsidR="00B03924">
        <w:rPr>
          <w:lang w:val="en-GB"/>
        </w:rPr>
        <w:t>,</w:t>
      </w:r>
      <w:r w:rsidR="00A72D74" w:rsidRPr="00A72D74">
        <w:rPr>
          <w:lang w:val="en-GB"/>
        </w:rPr>
        <w:t xml:space="preserve"> in case of return to his country of origin. The Board upheld the decision of 11</w:t>
      </w:r>
      <w:r w:rsidR="007F1FDD">
        <w:rPr>
          <w:lang w:val="en-GB"/>
        </w:rPr>
        <w:t> </w:t>
      </w:r>
      <w:r w:rsidR="00A72D74" w:rsidRPr="00A72D74">
        <w:rPr>
          <w:lang w:val="en-GB"/>
        </w:rPr>
        <w:t xml:space="preserve">November 2014 of the Service to refuse asylum to the author. </w:t>
      </w:r>
    </w:p>
    <w:p w:rsidR="00A72D74" w:rsidRPr="00A72D74" w:rsidRDefault="00FF4503" w:rsidP="00760D0A">
      <w:pPr>
        <w:pStyle w:val="SingleTxtG"/>
        <w:spacing w:line="220" w:lineRule="atLeast"/>
        <w:rPr>
          <w:lang w:val="en-GB"/>
        </w:rPr>
      </w:pPr>
      <w:r>
        <w:rPr>
          <w:lang w:val="en-GB"/>
        </w:rPr>
        <w:t>4.5</w:t>
      </w:r>
      <w:r>
        <w:rPr>
          <w:lang w:val="en-GB"/>
        </w:rPr>
        <w:tab/>
      </w:r>
      <w:r w:rsidR="007E4C75">
        <w:rPr>
          <w:lang w:val="en-GB"/>
        </w:rPr>
        <w:t>The State party proceeds to provide a detailed description of it</w:t>
      </w:r>
      <w:r w:rsidR="00B03924">
        <w:rPr>
          <w:lang w:val="en-GB"/>
        </w:rPr>
        <w:t>s</w:t>
      </w:r>
      <w:r w:rsidR="007E4C75">
        <w:rPr>
          <w:lang w:val="en-GB"/>
        </w:rPr>
        <w:t xml:space="preserve"> refugee status application proceedings</w:t>
      </w:r>
      <w:r w:rsidR="00B03924">
        <w:rPr>
          <w:lang w:val="en-GB"/>
        </w:rPr>
        <w:t xml:space="preserve"> and information on</w:t>
      </w:r>
      <w:r w:rsidR="007E4C75">
        <w:rPr>
          <w:lang w:val="en-GB"/>
        </w:rPr>
        <w:t xml:space="preserve"> the legal basis and the functioning of the Refugee Appeals Board.</w:t>
      </w:r>
      <w:r w:rsidR="007E4C75" w:rsidRPr="00D542CF">
        <w:rPr>
          <w:rStyle w:val="FootnoteReference"/>
        </w:rPr>
        <w:footnoteReference w:id="7"/>
      </w:r>
      <w:r w:rsidR="00A72D74" w:rsidRPr="00A72D74">
        <w:rPr>
          <w:lang w:val="en-GB"/>
        </w:rPr>
        <w:t xml:space="preserve"> </w:t>
      </w:r>
    </w:p>
    <w:p w:rsidR="00A72D74" w:rsidRPr="00A72D74" w:rsidRDefault="0045611B" w:rsidP="00760D0A">
      <w:pPr>
        <w:pStyle w:val="SingleTxtG"/>
        <w:spacing w:line="220" w:lineRule="atLeast"/>
        <w:rPr>
          <w:lang w:val="en-GB"/>
        </w:rPr>
      </w:pPr>
      <w:r>
        <w:rPr>
          <w:lang w:val="en-GB"/>
        </w:rPr>
        <w:t>4.</w:t>
      </w:r>
      <w:r w:rsidR="004D2942">
        <w:rPr>
          <w:lang w:val="en-GB"/>
        </w:rPr>
        <w:t>6</w:t>
      </w:r>
      <w:r w:rsidR="00FF4503">
        <w:rPr>
          <w:lang w:val="en-GB"/>
        </w:rPr>
        <w:tab/>
      </w:r>
      <w:r w:rsidR="00A72D74" w:rsidRPr="00A72D74">
        <w:rPr>
          <w:lang w:val="en-GB"/>
        </w:rPr>
        <w:t>The State party submit</w:t>
      </w:r>
      <w:r w:rsidR="00B03924">
        <w:rPr>
          <w:lang w:val="en-GB"/>
        </w:rPr>
        <w:t>s</w:t>
      </w:r>
      <w:r w:rsidR="00A72D74" w:rsidRPr="00A72D74">
        <w:rPr>
          <w:lang w:val="en-GB"/>
        </w:rPr>
        <w:t xml:space="preserve"> that the author has failed to establish a </w:t>
      </w:r>
      <w:r w:rsidR="00A72D74" w:rsidRPr="00760D0A">
        <w:rPr>
          <w:lang w:val="en-GB"/>
        </w:rPr>
        <w:t>prima facie</w:t>
      </w:r>
      <w:r w:rsidR="00A72D74" w:rsidRPr="00A72D74">
        <w:rPr>
          <w:i/>
          <w:iCs/>
          <w:lang w:val="en-GB"/>
        </w:rPr>
        <w:t xml:space="preserve"> </w:t>
      </w:r>
      <w:r w:rsidR="00A72D74" w:rsidRPr="00A72D74">
        <w:rPr>
          <w:lang w:val="en-GB"/>
        </w:rPr>
        <w:t>case for the purpose of</w:t>
      </w:r>
      <w:r w:rsidR="00B03924">
        <w:rPr>
          <w:lang w:val="en-GB"/>
        </w:rPr>
        <w:t xml:space="preserve"> establishing the</w:t>
      </w:r>
      <w:r w:rsidR="00A72D74" w:rsidRPr="00A72D74">
        <w:rPr>
          <w:lang w:val="en-GB"/>
        </w:rPr>
        <w:t xml:space="preserve"> admissibility of his communication</w:t>
      </w:r>
      <w:r w:rsidR="00B03924">
        <w:rPr>
          <w:lang w:val="en-GB"/>
        </w:rPr>
        <w:t xml:space="preserve"> for a violation of</w:t>
      </w:r>
      <w:r w:rsidR="00A72D74" w:rsidRPr="00A72D74">
        <w:rPr>
          <w:lang w:val="en-GB"/>
        </w:rPr>
        <w:t xml:space="preserve"> article</w:t>
      </w:r>
      <w:r w:rsidR="00E86600">
        <w:rPr>
          <w:lang w:val="en-GB"/>
        </w:rPr>
        <w:t> </w:t>
      </w:r>
      <w:r w:rsidR="00A72D74" w:rsidRPr="00A72D74">
        <w:rPr>
          <w:lang w:val="en-GB"/>
        </w:rPr>
        <w:t>7 of the C</w:t>
      </w:r>
      <w:r>
        <w:rPr>
          <w:lang w:val="en-GB"/>
        </w:rPr>
        <w:t>ovenant</w:t>
      </w:r>
      <w:r w:rsidR="00B03924">
        <w:rPr>
          <w:lang w:val="en-GB"/>
        </w:rPr>
        <w:t>. Therefore,</w:t>
      </w:r>
      <w:r w:rsidR="00A72D74" w:rsidRPr="00A72D74">
        <w:rPr>
          <w:lang w:val="en-GB"/>
        </w:rPr>
        <w:t xml:space="preserve"> it has not been established that there are substantial grounds for believing that the author is in danger of being subjected to inhuman or degrading treatment or punishment if returned to Somalia. </w:t>
      </w:r>
      <w:r w:rsidR="00B03924">
        <w:rPr>
          <w:lang w:val="en-GB"/>
        </w:rPr>
        <w:t>The State party</w:t>
      </w:r>
      <w:r w:rsidR="00B03924" w:rsidRPr="00A72D74">
        <w:rPr>
          <w:lang w:val="en-GB"/>
        </w:rPr>
        <w:t xml:space="preserve"> </w:t>
      </w:r>
      <w:r w:rsidR="00A72D74" w:rsidRPr="00A72D74">
        <w:rPr>
          <w:lang w:val="en-GB"/>
        </w:rPr>
        <w:t>consider</w:t>
      </w:r>
      <w:r w:rsidR="00B03924">
        <w:rPr>
          <w:lang w:val="en-GB"/>
        </w:rPr>
        <w:t>s</w:t>
      </w:r>
      <w:r w:rsidR="00A72D74" w:rsidRPr="00A72D74">
        <w:rPr>
          <w:lang w:val="en-GB"/>
        </w:rPr>
        <w:t xml:space="preserve"> this part of the communication to be manifestly unfounded and therefore inadmissible. </w:t>
      </w:r>
      <w:r>
        <w:rPr>
          <w:lang w:val="en-GB"/>
        </w:rPr>
        <w:t>The State party</w:t>
      </w:r>
      <w:r w:rsidR="00A72D74" w:rsidRPr="00A72D74">
        <w:rPr>
          <w:lang w:val="en-GB"/>
        </w:rPr>
        <w:t xml:space="preserve"> also maintain</w:t>
      </w:r>
      <w:r w:rsidR="00B03924">
        <w:rPr>
          <w:lang w:val="en-GB"/>
        </w:rPr>
        <w:t>s</w:t>
      </w:r>
      <w:r w:rsidR="00A72D74" w:rsidRPr="00A72D74">
        <w:rPr>
          <w:lang w:val="en-GB"/>
        </w:rPr>
        <w:t xml:space="preserve"> that the author’s claim of a violation of articles 3 and 8 of the </w:t>
      </w:r>
      <w:r w:rsidR="00B03924">
        <w:rPr>
          <w:lang w:val="en-US"/>
        </w:rPr>
        <w:t>European</w:t>
      </w:r>
      <w:r w:rsidR="00B03924" w:rsidRPr="00522234">
        <w:rPr>
          <w:lang w:val="en-US"/>
        </w:rPr>
        <w:t xml:space="preserve"> </w:t>
      </w:r>
      <w:r w:rsidR="00B03924">
        <w:rPr>
          <w:lang w:val="en-US"/>
        </w:rPr>
        <w:t>Convention on Human Rights</w:t>
      </w:r>
      <w:r w:rsidR="00B03924" w:rsidRPr="00A72D74" w:rsidDel="00B03924">
        <w:rPr>
          <w:lang w:val="en-GB"/>
        </w:rPr>
        <w:t xml:space="preserve"> </w:t>
      </w:r>
      <w:r w:rsidR="00A72D74" w:rsidRPr="00A72D74">
        <w:rPr>
          <w:lang w:val="en-GB"/>
        </w:rPr>
        <w:t xml:space="preserve">does not concern the Covenant and therefore falls outside the scope of </w:t>
      </w:r>
      <w:r w:rsidR="00B03924">
        <w:rPr>
          <w:lang w:val="en-GB"/>
        </w:rPr>
        <w:t xml:space="preserve">the </w:t>
      </w:r>
      <w:r w:rsidR="00A72D74" w:rsidRPr="00A72D74">
        <w:rPr>
          <w:lang w:val="en-GB"/>
        </w:rPr>
        <w:t xml:space="preserve">competence of the Committee as set out in article 3 of the Optional Protocol. Accordingly, </w:t>
      </w:r>
      <w:r w:rsidR="000D6FCE">
        <w:rPr>
          <w:lang w:val="en-GB"/>
        </w:rPr>
        <w:t>the State party</w:t>
      </w:r>
      <w:r w:rsidR="000D6FCE" w:rsidRPr="00A72D74">
        <w:rPr>
          <w:lang w:val="en-GB"/>
        </w:rPr>
        <w:t xml:space="preserve"> </w:t>
      </w:r>
      <w:r w:rsidR="00A72D74" w:rsidRPr="00A72D74">
        <w:rPr>
          <w:lang w:val="en-GB"/>
        </w:rPr>
        <w:t>submit</w:t>
      </w:r>
      <w:r w:rsidR="000D6FCE">
        <w:rPr>
          <w:lang w:val="en-GB"/>
        </w:rPr>
        <w:t>s</w:t>
      </w:r>
      <w:r w:rsidR="00A72D74" w:rsidRPr="00A72D74">
        <w:rPr>
          <w:lang w:val="en-GB"/>
        </w:rPr>
        <w:t xml:space="preserve"> that this part of the communication should be considered inadmissible </w:t>
      </w:r>
      <w:proofErr w:type="spellStart"/>
      <w:r w:rsidR="00A72D74" w:rsidRPr="00A72D74">
        <w:rPr>
          <w:i/>
          <w:iCs/>
          <w:lang w:val="en-GB"/>
        </w:rPr>
        <w:t>ratione</w:t>
      </w:r>
      <w:proofErr w:type="spellEnd"/>
      <w:r w:rsidR="00A72D74" w:rsidRPr="00A72D74">
        <w:rPr>
          <w:i/>
          <w:iCs/>
          <w:lang w:val="en-GB"/>
        </w:rPr>
        <w:t xml:space="preserve"> </w:t>
      </w:r>
      <w:proofErr w:type="spellStart"/>
      <w:r w:rsidR="00A72D74" w:rsidRPr="00A72D74">
        <w:rPr>
          <w:i/>
          <w:iCs/>
          <w:lang w:val="en-GB"/>
        </w:rPr>
        <w:t>materiae</w:t>
      </w:r>
      <w:proofErr w:type="spellEnd"/>
      <w:r w:rsidR="00A72D74" w:rsidRPr="00A72D74">
        <w:rPr>
          <w:i/>
          <w:iCs/>
          <w:lang w:val="en-GB"/>
        </w:rPr>
        <w:t xml:space="preserve"> </w:t>
      </w:r>
      <w:r w:rsidR="00A72D74" w:rsidRPr="00A72D74">
        <w:rPr>
          <w:lang w:val="en-GB"/>
        </w:rPr>
        <w:t xml:space="preserve">pursuant to </w:t>
      </w:r>
      <w:r w:rsidR="000D6FCE">
        <w:rPr>
          <w:lang w:val="en-GB"/>
        </w:rPr>
        <w:t>r</w:t>
      </w:r>
      <w:r w:rsidR="00A72D74" w:rsidRPr="00A72D74">
        <w:rPr>
          <w:lang w:val="en-GB"/>
        </w:rPr>
        <w:t xml:space="preserve">ule 96 (d) of the Committee’s </w:t>
      </w:r>
      <w:r w:rsidR="000D6FCE">
        <w:rPr>
          <w:lang w:val="en-GB"/>
        </w:rPr>
        <w:t>r</w:t>
      </w:r>
      <w:r w:rsidR="00A72D74" w:rsidRPr="00A72D74">
        <w:rPr>
          <w:lang w:val="en-GB"/>
        </w:rPr>
        <w:t xml:space="preserve">ules of </w:t>
      </w:r>
      <w:r w:rsidR="000D6FCE">
        <w:rPr>
          <w:lang w:val="en-GB"/>
        </w:rPr>
        <w:t>p</w:t>
      </w:r>
      <w:r w:rsidR="00A72D74" w:rsidRPr="00A72D74">
        <w:rPr>
          <w:lang w:val="en-GB"/>
        </w:rPr>
        <w:t xml:space="preserve">rocedure as being incompatible with the provisions of the </w:t>
      </w:r>
      <w:r>
        <w:rPr>
          <w:lang w:val="en-GB"/>
        </w:rPr>
        <w:t>Covenant</w:t>
      </w:r>
      <w:r w:rsidR="00A72D74" w:rsidRPr="00A72D74">
        <w:rPr>
          <w:lang w:val="en-GB"/>
        </w:rPr>
        <w:t xml:space="preserve">. </w:t>
      </w:r>
    </w:p>
    <w:p w:rsidR="00A72D74" w:rsidRPr="00A72D74" w:rsidRDefault="00FF4503" w:rsidP="00760D0A">
      <w:pPr>
        <w:pStyle w:val="SingleTxtG"/>
        <w:spacing w:line="220" w:lineRule="atLeast"/>
        <w:rPr>
          <w:lang w:val="en-GB"/>
        </w:rPr>
      </w:pPr>
      <w:r>
        <w:rPr>
          <w:lang w:val="en-GB"/>
        </w:rPr>
        <w:t>4.</w:t>
      </w:r>
      <w:r w:rsidR="004D2942">
        <w:rPr>
          <w:lang w:val="en-GB"/>
        </w:rPr>
        <w:t>7</w:t>
      </w:r>
      <w:r>
        <w:rPr>
          <w:lang w:val="en-GB"/>
        </w:rPr>
        <w:tab/>
      </w:r>
      <w:r w:rsidR="00A72D74" w:rsidRPr="00A72D74">
        <w:rPr>
          <w:lang w:val="en-GB"/>
        </w:rPr>
        <w:t>Should the Committee find the author’s communication admissible, the State party submit</w:t>
      </w:r>
      <w:r w:rsidR="000D6FCE">
        <w:rPr>
          <w:lang w:val="en-GB"/>
        </w:rPr>
        <w:t>s</w:t>
      </w:r>
      <w:r w:rsidR="00A72D74" w:rsidRPr="00A72D74">
        <w:rPr>
          <w:lang w:val="en-GB"/>
        </w:rPr>
        <w:t xml:space="preserve"> that the author has not sufficiently established that </w:t>
      </w:r>
      <w:r w:rsidR="000D6FCE">
        <w:rPr>
          <w:lang w:val="en-GB"/>
        </w:rPr>
        <w:t>returning him to Somalia</w:t>
      </w:r>
      <w:r w:rsidR="000D6FCE" w:rsidRPr="00A72D74">
        <w:rPr>
          <w:lang w:val="en-GB"/>
        </w:rPr>
        <w:t xml:space="preserve"> </w:t>
      </w:r>
      <w:r w:rsidR="00A72D74" w:rsidRPr="00A72D74">
        <w:rPr>
          <w:lang w:val="en-GB"/>
        </w:rPr>
        <w:t xml:space="preserve">would constitute a violation of article 7 of the </w:t>
      </w:r>
      <w:proofErr w:type="gramStart"/>
      <w:r w:rsidR="00A72D74" w:rsidRPr="00A72D74">
        <w:rPr>
          <w:lang w:val="en-GB"/>
        </w:rPr>
        <w:t>C</w:t>
      </w:r>
      <w:r w:rsidR="0045611B">
        <w:rPr>
          <w:lang w:val="en-GB"/>
        </w:rPr>
        <w:t>ovenant</w:t>
      </w:r>
      <w:r w:rsidR="00A72D74" w:rsidRPr="00A72D74">
        <w:rPr>
          <w:lang w:val="en-GB"/>
        </w:rPr>
        <w:t>.</w:t>
      </w:r>
      <w:proofErr w:type="gramEnd"/>
      <w:r w:rsidR="00A72D74" w:rsidRPr="00A72D74">
        <w:rPr>
          <w:lang w:val="en-GB"/>
        </w:rPr>
        <w:t xml:space="preserve"> </w:t>
      </w:r>
      <w:r w:rsidR="0045611B">
        <w:rPr>
          <w:lang w:val="en-GB"/>
        </w:rPr>
        <w:t>The State party note</w:t>
      </w:r>
      <w:r w:rsidR="000D6FCE">
        <w:rPr>
          <w:lang w:val="en-GB"/>
        </w:rPr>
        <w:t>s</w:t>
      </w:r>
      <w:r w:rsidR="0045611B">
        <w:rPr>
          <w:lang w:val="en-GB"/>
        </w:rPr>
        <w:t xml:space="preserve"> that</w:t>
      </w:r>
      <w:r w:rsidR="00A72D74" w:rsidRPr="00A72D74">
        <w:rPr>
          <w:lang w:val="en-GB"/>
        </w:rPr>
        <w:t xml:space="preserve"> </w:t>
      </w:r>
      <w:r w:rsidR="0045611B">
        <w:rPr>
          <w:lang w:val="en-GB"/>
        </w:rPr>
        <w:t>t</w:t>
      </w:r>
      <w:r w:rsidR="00A72D74" w:rsidRPr="00A72D74">
        <w:rPr>
          <w:lang w:val="en-GB"/>
        </w:rPr>
        <w:t>he Committee ha</w:t>
      </w:r>
      <w:r w:rsidR="000D6FCE">
        <w:rPr>
          <w:lang w:val="en-GB"/>
        </w:rPr>
        <w:t>s</w:t>
      </w:r>
      <w:r w:rsidR="00A72D74" w:rsidRPr="00A72D74">
        <w:rPr>
          <w:lang w:val="en-GB"/>
        </w:rPr>
        <w:t xml:space="preserve"> indicated that the risk must be personal and that there is a high threshold for providing substantial grounds for establishing that a real risk of irreparable harm exists.</w:t>
      </w:r>
      <w:r w:rsidR="00A72D74" w:rsidRPr="00D542CF">
        <w:rPr>
          <w:rStyle w:val="FootnoteReference"/>
        </w:rPr>
        <w:footnoteReference w:id="8"/>
      </w:r>
      <w:r w:rsidR="00A72D74" w:rsidRPr="00A72D74">
        <w:rPr>
          <w:lang w:val="en-GB"/>
        </w:rPr>
        <w:t xml:space="preserve"> The State party’s obligations under article 7 of the Covenant are reflected in section 7</w:t>
      </w:r>
      <w:r w:rsidR="000D6FCE">
        <w:rPr>
          <w:lang w:val="en-GB"/>
        </w:rPr>
        <w:t xml:space="preserve"> </w:t>
      </w:r>
      <w:r w:rsidR="00A72D74" w:rsidRPr="00A72D74">
        <w:rPr>
          <w:lang w:val="en-GB"/>
        </w:rPr>
        <w:t xml:space="preserve">(2) of the Aliens Act, </w:t>
      </w:r>
      <w:r w:rsidR="000D6FCE">
        <w:rPr>
          <w:lang w:val="en-GB"/>
        </w:rPr>
        <w:t>pursuant to</w:t>
      </w:r>
      <w:r w:rsidR="000D6FCE" w:rsidRPr="00A72D74">
        <w:rPr>
          <w:lang w:val="en-GB"/>
        </w:rPr>
        <w:t xml:space="preserve"> </w:t>
      </w:r>
      <w:r w:rsidR="00A72D74" w:rsidRPr="00A72D74">
        <w:rPr>
          <w:lang w:val="en-GB"/>
        </w:rPr>
        <w:t xml:space="preserve">which a residence permit </w:t>
      </w:r>
      <w:r w:rsidR="000D6FCE">
        <w:rPr>
          <w:lang w:val="en-GB"/>
        </w:rPr>
        <w:t xml:space="preserve">is </w:t>
      </w:r>
      <w:r w:rsidR="00A72D74" w:rsidRPr="00A72D74">
        <w:rPr>
          <w:lang w:val="en-GB"/>
        </w:rPr>
        <w:t>issued to an alien</w:t>
      </w:r>
      <w:r w:rsidR="000D6FCE">
        <w:rPr>
          <w:lang w:val="en-GB"/>
        </w:rPr>
        <w:t>,</w:t>
      </w:r>
      <w:r w:rsidR="00A72D74" w:rsidRPr="00A72D74">
        <w:rPr>
          <w:lang w:val="en-GB"/>
        </w:rPr>
        <w:t xml:space="preserve"> upon application</w:t>
      </w:r>
      <w:r w:rsidR="000D6FCE">
        <w:rPr>
          <w:lang w:val="en-GB"/>
        </w:rPr>
        <w:t>,</w:t>
      </w:r>
      <w:r w:rsidR="00A72D74" w:rsidRPr="00A72D74">
        <w:rPr>
          <w:lang w:val="en-GB"/>
        </w:rPr>
        <w:t xml:space="preserve"> if the alien risks</w:t>
      </w:r>
      <w:r w:rsidR="000D6FCE">
        <w:rPr>
          <w:lang w:val="en-GB"/>
        </w:rPr>
        <w:t xml:space="preserve"> being subjected to</w:t>
      </w:r>
      <w:r w:rsidR="00A72D74" w:rsidRPr="00A72D74">
        <w:rPr>
          <w:lang w:val="en-GB"/>
        </w:rPr>
        <w:t xml:space="preserve"> the death penalty</w:t>
      </w:r>
      <w:r w:rsidR="000D6FCE">
        <w:rPr>
          <w:lang w:val="en-GB"/>
        </w:rPr>
        <w:t>,</w:t>
      </w:r>
      <w:r w:rsidR="00A72D74" w:rsidRPr="00A72D74">
        <w:rPr>
          <w:lang w:val="en-GB"/>
        </w:rPr>
        <w:t xml:space="preserve"> to torture or to inhuman or degrading treatment or punishment </w:t>
      </w:r>
      <w:r w:rsidR="000D6FCE">
        <w:rPr>
          <w:lang w:val="en-GB"/>
        </w:rPr>
        <w:t xml:space="preserve">should he or she be </w:t>
      </w:r>
      <w:r w:rsidR="00A72D74" w:rsidRPr="00A72D74">
        <w:rPr>
          <w:lang w:val="en-GB"/>
        </w:rPr>
        <w:t>return</w:t>
      </w:r>
      <w:r w:rsidR="000D6FCE">
        <w:rPr>
          <w:lang w:val="en-GB"/>
        </w:rPr>
        <w:t>ed</w:t>
      </w:r>
      <w:r w:rsidR="00A72D74" w:rsidRPr="00A72D74">
        <w:rPr>
          <w:lang w:val="en-GB"/>
        </w:rPr>
        <w:t xml:space="preserve"> to his </w:t>
      </w:r>
      <w:r w:rsidR="000D6FCE">
        <w:rPr>
          <w:lang w:val="en-GB"/>
        </w:rPr>
        <w:t xml:space="preserve">or her </w:t>
      </w:r>
      <w:r w:rsidR="00A72D74" w:rsidRPr="00A72D74">
        <w:rPr>
          <w:lang w:val="en-GB"/>
        </w:rPr>
        <w:t xml:space="preserve">country of origin. </w:t>
      </w:r>
    </w:p>
    <w:p w:rsidR="00A72D74" w:rsidRPr="00A72D74" w:rsidRDefault="00FF4503" w:rsidP="00760D0A">
      <w:pPr>
        <w:pStyle w:val="SingleTxtG"/>
        <w:spacing w:line="220" w:lineRule="atLeast"/>
        <w:rPr>
          <w:lang w:val="en-GB"/>
        </w:rPr>
      </w:pPr>
      <w:r>
        <w:rPr>
          <w:lang w:val="en-GB"/>
        </w:rPr>
        <w:t>4.</w:t>
      </w:r>
      <w:r w:rsidR="004D2942">
        <w:rPr>
          <w:lang w:val="en-GB"/>
        </w:rPr>
        <w:t>8</w:t>
      </w:r>
      <w:r>
        <w:rPr>
          <w:lang w:val="en-GB"/>
        </w:rPr>
        <w:tab/>
      </w:r>
      <w:r w:rsidR="00A72D74" w:rsidRPr="00A72D74">
        <w:rPr>
          <w:lang w:val="en-GB"/>
        </w:rPr>
        <w:t xml:space="preserve">The State party </w:t>
      </w:r>
      <w:r w:rsidR="0045611B">
        <w:rPr>
          <w:lang w:val="en-GB"/>
        </w:rPr>
        <w:t xml:space="preserve">also </w:t>
      </w:r>
      <w:r w:rsidR="00A72D74" w:rsidRPr="00A72D74">
        <w:rPr>
          <w:lang w:val="en-GB"/>
        </w:rPr>
        <w:t>note</w:t>
      </w:r>
      <w:r w:rsidR="00633BAD">
        <w:rPr>
          <w:lang w:val="en-GB"/>
        </w:rPr>
        <w:t>s</w:t>
      </w:r>
      <w:r w:rsidR="00A72D74" w:rsidRPr="00A72D74">
        <w:rPr>
          <w:lang w:val="en-GB"/>
        </w:rPr>
        <w:t xml:space="preserve"> </w:t>
      </w:r>
      <w:r>
        <w:rPr>
          <w:lang w:val="en-GB"/>
        </w:rPr>
        <w:t xml:space="preserve">that there </w:t>
      </w:r>
      <w:r w:rsidR="00633BAD">
        <w:rPr>
          <w:lang w:val="en-GB"/>
        </w:rPr>
        <w:t>i</w:t>
      </w:r>
      <w:r>
        <w:rPr>
          <w:lang w:val="en-GB"/>
        </w:rPr>
        <w:t xml:space="preserve">s </w:t>
      </w:r>
      <w:r w:rsidR="00A72D74" w:rsidRPr="00A72D74">
        <w:rPr>
          <w:lang w:val="en-GB"/>
        </w:rPr>
        <w:t xml:space="preserve">no new information </w:t>
      </w:r>
      <w:r w:rsidRPr="00A72D74">
        <w:rPr>
          <w:lang w:val="en-GB"/>
        </w:rPr>
        <w:t xml:space="preserve">in the author’s communication to the Committee </w:t>
      </w:r>
      <w:r w:rsidR="00A72D74" w:rsidRPr="00A72D74">
        <w:rPr>
          <w:lang w:val="en-GB"/>
        </w:rPr>
        <w:t xml:space="preserve">on his conflicts in his country of origin as compared with the information available on 19 January 2015 when the Refugee Appeals Board decided </w:t>
      </w:r>
      <w:r w:rsidR="00633BAD">
        <w:rPr>
          <w:lang w:val="en-GB"/>
        </w:rPr>
        <w:t>on</w:t>
      </w:r>
      <w:r w:rsidR="00633BAD" w:rsidRPr="00A72D74">
        <w:rPr>
          <w:lang w:val="en-GB"/>
        </w:rPr>
        <w:t xml:space="preserve"> </w:t>
      </w:r>
      <w:r w:rsidR="00A72D74" w:rsidRPr="00A72D74">
        <w:rPr>
          <w:lang w:val="en-GB"/>
        </w:rPr>
        <w:t xml:space="preserve">the appeal. The </w:t>
      </w:r>
      <w:r w:rsidR="0045611B" w:rsidRPr="00A72D74">
        <w:rPr>
          <w:lang w:val="en-GB"/>
        </w:rPr>
        <w:t>State party</w:t>
      </w:r>
      <w:r w:rsidR="00A72D74" w:rsidRPr="00A72D74">
        <w:rPr>
          <w:lang w:val="en-GB"/>
        </w:rPr>
        <w:t xml:space="preserve"> observes that </w:t>
      </w:r>
      <w:r w:rsidR="00633BAD">
        <w:rPr>
          <w:lang w:val="en-GB"/>
        </w:rPr>
        <w:t xml:space="preserve">the document entitled </w:t>
      </w:r>
      <w:r w:rsidR="00633BAD" w:rsidRPr="00633BAD">
        <w:rPr>
          <w:lang w:val="en-GB"/>
        </w:rPr>
        <w:t>“</w:t>
      </w:r>
      <w:r w:rsidR="00A72D74" w:rsidRPr="00760D0A">
        <w:rPr>
          <w:lang w:val="en-GB"/>
        </w:rPr>
        <w:t xml:space="preserve">UNHCR </w:t>
      </w:r>
      <w:r w:rsidR="00633BAD" w:rsidRPr="00760D0A">
        <w:rPr>
          <w:lang w:val="en-GB"/>
        </w:rPr>
        <w:t>p</w:t>
      </w:r>
      <w:r w:rsidR="00A72D74" w:rsidRPr="00760D0A">
        <w:rPr>
          <w:lang w:val="en-GB"/>
        </w:rPr>
        <w:t xml:space="preserve">osition on </w:t>
      </w:r>
      <w:r w:rsidR="00633BAD" w:rsidRPr="00760D0A">
        <w:rPr>
          <w:lang w:val="en-GB"/>
        </w:rPr>
        <w:t>r</w:t>
      </w:r>
      <w:r w:rsidR="00A72D74" w:rsidRPr="00760D0A">
        <w:rPr>
          <w:lang w:val="en-GB"/>
        </w:rPr>
        <w:t>eturns to Southern and Central Somalia</w:t>
      </w:r>
      <w:r w:rsidR="00633BAD" w:rsidRPr="00760D0A">
        <w:rPr>
          <w:lang w:val="en-GB"/>
        </w:rPr>
        <w:t>”</w:t>
      </w:r>
      <w:r w:rsidR="00A72D74" w:rsidRPr="00A72D74">
        <w:rPr>
          <w:lang w:val="en-GB"/>
        </w:rPr>
        <w:t xml:space="preserve"> and </w:t>
      </w:r>
      <w:r w:rsidR="00D20E19" w:rsidRPr="00A72D74">
        <w:rPr>
          <w:lang w:val="en-GB"/>
        </w:rPr>
        <w:t>the report published by Amnesty International on 23 October 2014</w:t>
      </w:r>
      <w:r w:rsidR="00D20E19">
        <w:rPr>
          <w:lang w:val="en-GB"/>
        </w:rPr>
        <w:t xml:space="preserve"> </w:t>
      </w:r>
      <w:r w:rsidR="00633BAD">
        <w:rPr>
          <w:lang w:val="en-GB"/>
        </w:rPr>
        <w:t xml:space="preserve">entitled </w:t>
      </w:r>
      <w:r w:rsidR="00633BAD" w:rsidRPr="00633BAD">
        <w:rPr>
          <w:lang w:val="en-GB"/>
        </w:rPr>
        <w:t>“</w:t>
      </w:r>
      <w:r w:rsidR="00A72D74" w:rsidRPr="00760D0A">
        <w:rPr>
          <w:lang w:val="en-GB"/>
        </w:rPr>
        <w:t xml:space="preserve">Forced returns to South and Central Somalia, including </w:t>
      </w:r>
      <w:r w:rsidR="00633BAD" w:rsidRPr="00760D0A">
        <w:rPr>
          <w:lang w:val="en-GB"/>
        </w:rPr>
        <w:t>A</w:t>
      </w:r>
      <w:r w:rsidR="00A72D74" w:rsidRPr="00760D0A">
        <w:rPr>
          <w:lang w:val="en-GB"/>
        </w:rPr>
        <w:t xml:space="preserve">l-Shabaab areas: </w:t>
      </w:r>
      <w:r w:rsidR="00633BAD" w:rsidRPr="00760D0A">
        <w:rPr>
          <w:lang w:val="en-GB"/>
        </w:rPr>
        <w:t>a</w:t>
      </w:r>
      <w:r w:rsidR="00A72D74" w:rsidRPr="00760D0A">
        <w:rPr>
          <w:lang w:val="en-GB"/>
        </w:rPr>
        <w:t xml:space="preserve"> blatant violation of international law</w:t>
      </w:r>
      <w:r w:rsidR="00633BAD" w:rsidRPr="00760D0A">
        <w:rPr>
          <w:lang w:val="en-GB"/>
        </w:rPr>
        <w:t>”</w:t>
      </w:r>
      <w:r w:rsidR="00A72D74" w:rsidRPr="00A72D74">
        <w:rPr>
          <w:lang w:val="en-GB"/>
        </w:rPr>
        <w:t>,</w:t>
      </w:r>
      <w:r w:rsidR="00D20E19" w:rsidRPr="00D542CF">
        <w:rPr>
          <w:rStyle w:val="FootnoteReference"/>
        </w:rPr>
        <w:footnoteReference w:id="9"/>
      </w:r>
      <w:r w:rsidR="00A72D74" w:rsidRPr="00A72D74">
        <w:rPr>
          <w:lang w:val="en-GB"/>
        </w:rPr>
        <w:t xml:space="preserve"> were known to the Board when it decided </w:t>
      </w:r>
      <w:r w:rsidR="00633BAD">
        <w:rPr>
          <w:lang w:val="en-GB"/>
        </w:rPr>
        <w:t>on</w:t>
      </w:r>
      <w:r w:rsidR="00633BAD" w:rsidRPr="00A72D74">
        <w:rPr>
          <w:lang w:val="en-GB"/>
        </w:rPr>
        <w:t xml:space="preserve"> </w:t>
      </w:r>
      <w:r w:rsidR="00A72D74" w:rsidRPr="00A72D74">
        <w:rPr>
          <w:lang w:val="en-GB"/>
        </w:rPr>
        <w:t xml:space="preserve">the appeal on 19 January 2015, </w:t>
      </w:r>
      <w:r w:rsidR="00633BAD">
        <w:rPr>
          <w:lang w:val="en-GB"/>
        </w:rPr>
        <w:t>which is why</w:t>
      </w:r>
      <w:r w:rsidR="00A72D74" w:rsidRPr="00A72D74">
        <w:rPr>
          <w:lang w:val="en-GB"/>
        </w:rPr>
        <w:t xml:space="preserve"> those reports, and several other reports on conditions in Somalia, were taken into account by the Board in its assessment of the matter. In its decision of 19 January 2015, the Board found that the author had not been subjected to any ill-treatment before he left Somalia</w:t>
      </w:r>
      <w:r w:rsidR="00077F52" w:rsidRPr="00077F52">
        <w:rPr>
          <w:lang w:val="en-GB"/>
        </w:rPr>
        <w:t xml:space="preserve"> </w:t>
      </w:r>
      <w:r w:rsidR="00077F52" w:rsidRPr="00A72D74">
        <w:rPr>
          <w:lang w:val="en-GB"/>
        </w:rPr>
        <w:t>that would independently justify asylum</w:t>
      </w:r>
      <w:r w:rsidR="00A72D74" w:rsidRPr="00A72D74">
        <w:rPr>
          <w:lang w:val="en-GB"/>
        </w:rPr>
        <w:t xml:space="preserve"> and, </w:t>
      </w:r>
      <w:r w:rsidR="000268D0">
        <w:rPr>
          <w:lang w:val="en-GB"/>
        </w:rPr>
        <w:t xml:space="preserve">having </w:t>
      </w:r>
      <w:r w:rsidR="00A72D74" w:rsidRPr="00A72D74">
        <w:rPr>
          <w:lang w:val="en-GB"/>
        </w:rPr>
        <w:t>consider</w:t>
      </w:r>
      <w:r w:rsidR="000268D0">
        <w:rPr>
          <w:lang w:val="en-GB"/>
        </w:rPr>
        <w:t>ed</w:t>
      </w:r>
      <w:r w:rsidR="00A72D74" w:rsidRPr="00A72D74">
        <w:rPr>
          <w:lang w:val="en-GB"/>
        </w:rPr>
        <w:t xml:space="preserve"> the background information available, </w:t>
      </w:r>
      <w:r w:rsidR="000268D0">
        <w:rPr>
          <w:lang w:val="en-GB"/>
        </w:rPr>
        <w:t>it</w:t>
      </w:r>
      <w:r w:rsidR="00A72D74" w:rsidRPr="00A72D74">
        <w:rPr>
          <w:lang w:val="en-GB"/>
        </w:rPr>
        <w:t xml:space="preserve"> also found that the author’s subjective fear was not based on such objective grounds </w:t>
      </w:r>
      <w:r w:rsidR="00633BAD">
        <w:rPr>
          <w:lang w:val="en-GB"/>
        </w:rPr>
        <w:t>as</w:t>
      </w:r>
      <w:r w:rsidR="00A72D74" w:rsidRPr="00A72D74">
        <w:rPr>
          <w:lang w:val="en-GB"/>
        </w:rPr>
        <w:t xml:space="preserve"> would justify asylum. </w:t>
      </w:r>
    </w:p>
    <w:p w:rsidR="00A72D74" w:rsidRPr="00A72D74" w:rsidRDefault="00FF4503" w:rsidP="00760D0A">
      <w:pPr>
        <w:pStyle w:val="SingleTxtG"/>
        <w:spacing w:line="220" w:lineRule="atLeast"/>
        <w:rPr>
          <w:lang w:val="en-GB"/>
        </w:rPr>
      </w:pPr>
      <w:r>
        <w:rPr>
          <w:lang w:val="en-GB"/>
        </w:rPr>
        <w:t>4.</w:t>
      </w:r>
      <w:r w:rsidR="004D2942">
        <w:rPr>
          <w:lang w:val="en-GB"/>
        </w:rPr>
        <w:t>9</w:t>
      </w:r>
      <w:r>
        <w:rPr>
          <w:lang w:val="en-GB"/>
        </w:rPr>
        <w:tab/>
      </w:r>
      <w:r w:rsidR="00A72D74" w:rsidRPr="00A72D74">
        <w:rPr>
          <w:lang w:val="en-GB"/>
        </w:rPr>
        <w:t xml:space="preserve">As regards the author’s subjective fear of returning to Somalia, the Government </w:t>
      </w:r>
      <w:r w:rsidR="000268D0">
        <w:rPr>
          <w:lang w:val="en-GB"/>
        </w:rPr>
        <w:t xml:space="preserve">of the State party </w:t>
      </w:r>
      <w:r w:rsidR="00A72D74" w:rsidRPr="00A72D74">
        <w:rPr>
          <w:lang w:val="en-GB"/>
        </w:rPr>
        <w:t>observes that</w:t>
      </w:r>
      <w:r w:rsidR="000268D0">
        <w:rPr>
          <w:lang w:val="en-GB"/>
        </w:rPr>
        <w:t>, in line with</w:t>
      </w:r>
      <w:r w:rsidR="00A72D74" w:rsidRPr="00A72D74">
        <w:rPr>
          <w:lang w:val="en-GB"/>
        </w:rPr>
        <w:t xml:space="preserve"> article 1 A (2) of the Convention</w:t>
      </w:r>
      <w:r w:rsidR="000268D0">
        <w:rPr>
          <w:lang w:val="en-GB"/>
        </w:rPr>
        <w:t xml:space="preserve"> relating to the Status of Refugees</w:t>
      </w:r>
      <w:r w:rsidR="00FB2340">
        <w:rPr>
          <w:lang w:val="en-GB"/>
        </w:rPr>
        <w:t>,</w:t>
      </w:r>
      <w:r w:rsidR="00A72D74" w:rsidRPr="00A72D74">
        <w:rPr>
          <w:lang w:val="en-GB"/>
        </w:rPr>
        <w:t xml:space="preserve"> the author must have a well-founded fear of persecution to fall within the </w:t>
      </w:r>
      <w:r w:rsidR="000268D0">
        <w:rPr>
          <w:lang w:val="en-GB"/>
        </w:rPr>
        <w:t xml:space="preserve">scope of the </w:t>
      </w:r>
      <w:r w:rsidR="00A72D74" w:rsidRPr="00A72D74">
        <w:rPr>
          <w:lang w:val="en-GB"/>
        </w:rPr>
        <w:t>Convention. Th</w:t>
      </w:r>
      <w:r w:rsidR="000268D0">
        <w:rPr>
          <w:lang w:val="en-GB"/>
        </w:rPr>
        <w:t>at means</w:t>
      </w:r>
      <w:r w:rsidR="00A72D74" w:rsidRPr="00A72D74">
        <w:rPr>
          <w:lang w:val="en-GB"/>
        </w:rPr>
        <w:t xml:space="preserve"> that the author’s fear must be justified by objective facts. The Government observes in this respect that, regardless of whether the Refugee Appeals Board may have considered as a fact the author’s statement that </w:t>
      </w:r>
      <w:r w:rsidR="005833BB">
        <w:rPr>
          <w:lang w:val="en-GB"/>
        </w:rPr>
        <w:t>A</w:t>
      </w:r>
      <w:r w:rsidR="00A72D74" w:rsidRPr="00A72D74">
        <w:rPr>
          <w:lang w:val="en-GB"/>
        </w:rPr>
        <w:t xml:space="preserve">l-Shabaab attempted to forcibly recruit him over the </w:t>
      </w:r>
      <w:r w:rsidR="000268D0">
        <w:rPr>
          <w:lang w:val="en-GB"/>
        </w:rPr>
        <w:t>tele</w:t>
      </w:r>
      <w:r w:rsidR="00A72D74" w:rsidRPr="00A72D74">
        <w:rPr>
          <w:lang w:val="en-GB"/>
        </w:rPr>
        <w:t xml:space="preserve">phone once in 2010, the Board found that the author would not, for that reason, be at a real risk of persecution or abuse by </w:t>
      </w:r>
      <w:r w:rsidR="005833BB">
        <w:rPr>
          <w:lang w:val="en-GB"/>
        </w:rPr>
        <w:t>A</w:t>
      </w:r>
      <w:r w:rsidR="00A72D74" w:rsidRPr="00A72D74">
        <w:rPr>
          <w:lang w:val="en-GB"/>
        </w:rPr>
        <w:t>l-Shabaab or others if returned to Somalia. The State party note</w:t>
      </w:r>
      <w:r w:rsidR="000268D0">
        <w:rPr>
          <w:lang w:val="en-GB"/>
        </w:rPr>
        <w:t>s</w:t>
      </w:r>
      <w:r w:rsidR="00A72D74" w:rsidRPr="00A72D74">
        <w:rPr>
          <w:lang w:val="en-GB"/>
        </w:rPr>
        <w:t xml:space="preserve"> that the author stated in support of his case that he was contacted only th</w:t>
      </w:r>
      <w:r w:rsidR="000268D0">
        <w:rPr>
          <w:lang w:val="en-GB"/>
        </w:rPr>
        <w:t>at</w:t>
      </w:r>
      <w:r w:rsidR="00A72D74" w:rsidRPr="00A72D74">
        <w:rPr>
          <w:lang w:val="en-GB"/>
        </w:rPr>
        <w:t xml:space="preserve"> one time and that he had not previously experienced any conflict with members of </w:t>
      </w:r>
      <w:r w:rsidR="005833BB">
        <w:rPr>
          <w:lang w:val="en-GB"/>
        </w:rPr>
        <w:t>A</w:t>
      </w:r>
      <w:r w:rsidR="00A72D74" w:rsidRPr="00A72D74">
        <w:rPr>
          <w:lang w:val="en-GB"/>
        </w:rPr>
        <w:t xml:space="preserve">l-Shabaab. It </w:t>
      </w:r>
      <w:r w:rsidR="000268D0">
        <w:rPr>
          <w:lang w:val="en-GB"/>
        </w:rPr>
        <w:t>also</w:t>
      </w:r>
      <w:r w:rsidR="000268D0" w:rsidRPr="00A72D74">
        <w:rPr>
          <w:lang w:val="en-GB"/>
        </w:rPr>
        <w:t xml:space="preserve"> </w:t>
      </w:r>
      <w:r w:rsidR="00A72D74" w:rsidRPr="00A72D74">
        <w:rPr>
          <w:lang w:val="en-GB"/>
        </w:rPr>
        <w:t>note</w:t>
      </w:r>
      <w:r w:rsidR="000268D0">
        <w:rPr>
          <w:lang w:val="en-GB"/>
        </w:rPr>
        <w:t>s</w:t>
      </w:r>
      <w:r w:rsidR="00A72D74" w:rsidRPr="00A72D74">
        <w:rPr>
          <w:lang w:val="en-GB"/>
        </w:rPr>
        <w:t xml:space="preserve"> that </w:t>
      </w:r>
      <w:r w:rsidR="005833BB">
        <w:rPr>
          <w:lang w:val="en-GB"/>
        </w:rPr>
        <w:t>A</w:t>
      </w:r>
      <w:r w:rsidR="00A72D74" w:rsidRPr="00A72D74">
        <w:rPr>
          <w:lang w:val="en-GB"/>
        </w:rPr>
        <w:t>l-Shabaab has not contacted the author since 2010, nor ha</w:t>
      </w:r>
      <w:r w:rsidR="000268D0">
        <w:rPr>
          <w:lang w:val="en-GB"/>
        </w:rPr>
        <w:t>s it</w:t>
      </w:r>
      <w:r w:rsidR="00A72D74" w:rsidRPr="00A72D74">
        <w:rPr>
          <w:lang w:val="en-GB"/>
        </w:rPr>
        <w:t xml:space="preserve"> contacted his uncle, with whom he lived at the time of the alleged call from </w:t>
      </w:r>
      <w:r w:rsidR="005833BB">
        <w:rPr>
          <w:lang w:val="en-GB"/>
        </w:rPr>
        <w:t>A</w:t>
      </w:r>
      <w:r w:rsidR="00A72D74" w:rsidRPr="00A72D74">
        <w:rPr>
          <w:lang w:val="en-GB"/>
        </w:rPr>
        <w:t xml:space="preserve">l-Shabaab. </w:t>
      </w:r>
    </w:p>
    <w:p w:rsidR="00A72D74" w:rsidRPr="00A72D74" w:rsidRDefault="00FF4503" w:rsidP="00760D0A">
      <w:pPr>
        <w:pStyle w:val="SingleTxtG"/>
        <w:spacing w:line="220" w:lineRule="atLeast"/>
        <w:rPr>
          <w:lang w:val="en-GB"/>
        </w:rPr>
      </w:pPr>
      <w:r>
        <w:rPr>
          <w:lang w:val="en-GB"/>
        </w:rPr>
        <w:t>4.</w:t>
      </w:r>
      <w:r w:rsidR="007E4C75">
        <w:rPr>
          <w:lang w:val="en-GB"/>
        </w:rPr>
        <w:t>1</w:t>
      </w:r>
      <w:r w:rsidR="004D2942">
        <w:rPr>
          <w:lang w:val="en-GB"/>
        </w:rPr>
        <w:t>0</w:t>
      </w:r>
      <w:r>
        <w:rPr>
          <w:lang w:val="en-GB"/>
        </w:rPr>
        <w:tab/>
      </w:r>
      <w:r w:rsidR="00A72D74" w:rsidRPr="00A72D74">
        <w:rPr>
          <w:lang w:val="en-GB"/>
        </w:rPr>
        <w:t>Moreover, the State party maintain</w:t>
      </w:r>
      <w:r w:rsidR="000268D0">
        <w:rPr>
          <w:lang w:val="en-GB"/>
        </w:rPr>
        <w:t>s</w:t>
      </w:r>
      <w:r w:rsidR="00A72D74" w:rsidRPr="00A72D74">
        <w:rPr>
          <w:lang w:val="en-GB"/>
        </w:rPr>
        <w:t xml:space="preserve"> that the attempt to recruit him in 2010 does not mean that the author belongs to a group of persons who would be at risk of persecution if returned to Somalia, nor does the background information available on Somalia support this allegation. </w:t>
      </w:r>
      <w:r w:rsidR="000268D0">
        <w:rPr>
          <w:lang w:val="en-GB"/>
        </w:rPr>
        <w:t>T</w:t>
      </w:r>
      <w:r w:rsidR="000268D0" w:rsidRPr="00A72D74">
        <w:rPr>
          <w:lang w:val="en-GB"/>
        </w:rPr>
        <w:t xml:space="preserve">he State party </w:t>
      </w:r>
      <w:r w:rsidR="00A72D74" w:rsidRPr="00A72D74">
        <w:rPr>
          <w:lang w:val="en-GB"/>
        </w:rPr>
        <w:t>refer</w:t>
      </w:r>
      <w:r w:rsidR="000268D0">
        <w:rPr>
          <w:lang w:val="en-GB"/>
        </w:rPr>
        <w:t>s</w:t>
      </w:r>
      <w:r w:rsidR="00A72D74" w:rsidRPr="00A72D74">
        <w:rPr>
          <w:lang w:val="en-GB"/>
        </w:rPr>
        <w:t xml:space="preserve"> to the report </w:t>
      </w:r>
      <w:r w:rsidR="000268D0">
        <w:rPr>
          <w:lang w:val="en-GB"/>
        </w:rPr>
        <w:t>entitled “Update on s</w:t>
      </w:r>
      <w:r w:rsidR="00A72D74" w:rsidRPr="00760D0A">
        <w:rPr>
          <w:lang w:val="en-GB"/>
        </w:rPr>
        <w:t>ecurity and protection</w:t>
      </w:r>
      <w:r w:rsidR="000268D0">
        <w:rPr>
          <w:lang w:val="en-GB"/>
        </w:rPr>
        <w:t xml:space="preserve"> issues</w:t>
      </w:r>
      <w:r w:rsidR="00A72D74" w:rsidRPr="00760D0A">
        <w:rPr>
          <w:lang w:val="en-GB"/>
        </w:rPr>
        <w:t xml:space="preserve"> in Mogadishu and South-Central Somalia</w:t>
      </w:r>
      <w:r w:rsidR="000268D0">
        <w:rPr>
          <w:lang w:val="en-GB"/>
        </w:rPr>
        <w:t>”</w:t>
      </w:r>
      <w:r w:rsidR="00A72D74" w:rsidRPr="000268D0">
        <w:rPr>
          <w:lang w:val="en-GB"/>
        </w:rPr>
        <w:t>,</w:t>
      </w:r>
      <w:r w:rsidR="00A72D74" w:rsidRPr="00A72D74">
        <w:rPr>
          <w:lang w:val="en-GB"/>
        </w:rPr>
        <w:t xml:space="preserve"> published by </w:t>
      </w:r>
      <w:proofErr w:type="spellStart"/>
      <w:r w:rsidR="00A72D74" w:rsidRPr="00A72D74">
        <w:rPr>
          <w:lang w:val="en-GB"/>
        </w:rPr>
        <w:t>Landinfo</w:t>
      </w:r>
      <w:proofErr w:type="spellEnd"/>
      <w:r w:rsidR="00A72D74" w:rsidRPr="00A72D74">
        <w:rPr>
          <w:lang w:val="en-GB"/>
        </w:rPr>
        <w:t xml:space="preserve"> and the Danish Immigration Service </w:t>
      </w:r>
      <w:r w:rsidR="0012149B">
        <w:rPr>
          <w:lang w:val="en-GB"/>
        </w:rPr>
        <w:t>i</w:t>
      </w:r>
      <w:r w:rsidR="00A72D74" w:rsidRPr="00A72D74">
        <w:rPr>
          <w:lang w:val="en-GB"/>
        </w:rPr>
        <w:t xml:space="preserve">n March 2014, </w:t>
      </w:r>
      <w:r w:rsidR="000268D0">
        <w:rPr>
          <w:lang w:val="en-GB"/>
        </w:rPr>
        <w:t xml:space="preserve">in which it is </w:t>
      </w:r>
      <w:r w:rsidR="00A72D74" w:rsidRPr="00A72D74">
        <w:rPr>
          <w:lang w:val="en-GB"/>
        </w:rPr>
        <w:t>stat</w:t>
      </w:r>
      <w:r w:rsidR="000268D0">
        <w:rPr>
          <w:lang w:val="en-GB"/>
        </w:rPr>
        <w:t>ed</w:t>
      </w:r>
      <w:r w:rsidR="00A72D74" w:rsidRPr="00A72D74">
        <w:rPr>
          <w:lang w:val="en-GB"/>
        </w:rPr>
        <w:t xml:space="preserve"> that</w:t>
      </w:r>
      <w:r w:rsidR="0012149B">
        <w:rPr>
          <w:lang w:val="en-GB"/>
        </w:rPr>
        <w:t>, according to an international non-governmental organization</w:t>
      </w:r>
      <w:r w:rsidR="00A72D74" w:rsidRPr="00A72D74">
        <w:rPr>
          <w:lang w:val="en-GB"/>
        </w:rPr>
        <w:t>: “</w:t>
      </w:r>
      <w:r w:rsidR="0012149B">
        <w:rPr>
          <w:lang w:val="en-GB"/>
        </w:rPr>
        <w:t>F</w:t>
      </w:r>
      <w:r w:rsidR="00A72D74" w:rsidRPr="00A72D74">
        <w:rPr>
          <w:lang w:val="en-GB"/>
        </w:rPr>
        <w:t xml:space="preserve">orced recruitment to </w:t>
      </w:r>
      <w:r w:rsidR="0012149B">
        <w:rPr>
          <w:lang w:val="en-GB"/>
        </w:rPr>
        <w:t>a</w:t>
      </w:r>
      <w:r w:rsidR="00A72D74" w:rsidRPr="00A72D74">
        <w:rPr>
          <w:lang w:val="en-GB"/>
        </w:rPr>
        <w:t xml:space="preserve">l-Shabaab is only relevant in those areas where </w:t>
      </w:r>
      <w:r w:rsidR="0012149B">
        <w:rPr>
          <w:lang w:val="en-GB"/>
        </w:rPr>
        <w:t>a</w:t>
      </w:r>
      <w:r w:rsidR="00A72D74" w:rsidRPr="00A72D74">
        <w:rPr>
          <w:lang w:val="en-GB"/>
        </w:rPr>
        <w:t xml:space="preserve">l-Shabaab is in full control. Recruitment mostly takes place via the elders. Some elders may support </w:t>
      </w:r>
      <w:r w:rsidR="005833BB">
        <w:rPr>
          <w:lang w:val="en-GB"/>
        </w:rPr>
        <w:t>a</w:t>
      </w:r>
      <w:r w:rsidR="00A72D74" w:rsidRPr="00A72D74">
        <w:rPr>
          <w:lang w:val="en-GB"/>
        </w:rPr>
        <w:t>l-Shabaab while others do not.”</w:t>
      </w:r>
      <w:r w:rsidR="0012149B" w:rsidRPr="00D542CF">
        <w:rPr>
          <w:rStyle w:val="FootnoteReference"/>
        </w:rPr>
        <w:footnoteReference w:id="10"/>
      </w:r>
      <w:r w:rsidR="00A72D74" w:rsidRPr="00A72D74">
        <w:rPr>
          <w:lang w:val="en-GB"/>
        </w:rPr>
        <w:t xml:space="preserve"> In addition, it appeared from the background information available that the city of </w:t>
      </w:r>
      <w:proofErr w:type="spellStart"/>
      <w:r w:rsidR="00A72D74" w:rsidRPr="00A72D74">
        <w:rPr>
          <w:lang w:val="en-GB"/>
        </w:rPr>
        <w:t>Galkayo</w:t>
      </w:r>
      <w:proofErr w:type="spellEnd"/>
      <w:r w:rsidR="00A72D74" w:rsidRPr="00A72D74">
        <w:rPr>
          <w:lang w:val="en-GB"/>
        </w:rPr>
        <w:t>, which</w:t>
      </w:r>
      <w:r w:rsidR="0012149B">
        <w:rPr>
          <w:lang w:val="en-GB"/>
        </w:rPr>
        <w:t xml:space="preserve"> is where</w:t>
      </w:r>
      <w:r w:rsidR="00A72D74" w:rsidRPr="00A72D74">
        <w:rPr>
          <w:lang w:val="en-GB"/>
        </w:rPr>
        <w:t xml:space="preserve"> the author was born and ha</w:t>
      </w:r>
      <w:r w:rsidR="0012149B">
        <w:rPr>
          <w:lang w:val="en-GB"/>
        </w:rPr>
        <w:t>d</w:t>
      </w:r>
      <w:r w:rsidR="00A72D74" w:rsidRPr="00A72D74">
        <w:rPr>
          <w:lang w:val="en-GB"/>
        </w:rPr>
        <w:t xml:space="preserve"> lived, </w:t>
      </w:r>
      <w:r w:rsidR="0012149B">
        <w:rPr>
          <w:lang w:val="en-GB"/>
        </w:rPr>
        <w:t>wa</w:t>
      </w:r>
      <w:r w:rsidR="00A72D74" w:rsidRPr="00A72D74">
        <w:rPr>
          <w:lang w:val="en-GB"/>
        </w:rPr>
        <w:t xml:space="preserve">s controlled by the </w:t>
      </w:r>
      <w:r w:rsidR="0012149B">
        <w:rPr>
          <w:lang w:val="en-GB"/>
        </w:rPr>
        <w:t>G</w:t>
      </w:r>
      <w:r w:rsidR="00A72D74" w:rsidRPr="00A72D74">
        <w:rPr>
          <w:lang w:val="en-GB"/>
        </w:rPr>
        <w:t>overnment.</w:t>
      </w:r>
      <w:r w:rsidR="00A72D74" w:rsidRPr="00D542CF">
        <w:rPr>
          <w:rStyle w:val="FootnoteReference"/>
        </w:rPr>
        <w:footnoteReference w:id="11"/>
      </w:r>
    </w:p>
    <w:p w:rsidR="00A72D74" w:rsidRPr="00A72D74" w:rsidRDefault="00FF4503" w:rsidP="00760D0A">
      <w:pPr>
        <w:pStyle w:val="SingleTxtG"/>
        <w:spacing w:line="220" w:lineRule="atLeast"/>
        <w:rPr>
          <w:lang w:val="en-GB"/>
        </w:rPr>
      </w:pPr>
      <w:r>
        <w:rPr>
          <w:lang w:val="en-GB"/>
        </w:rPr>
        <w:t>4.</w:t>
      </w:r>
      <w:r w:rsidR="007E4C75">
        <w:rPr>
          <w:lang w:val="en-GB"/>
        </w:rPr>
        <w:t>1</w:t>
      </w:r>
      <w:r w:rsidR="004D2942">
        <w:rPr>
          <w:lang w:val="en-GB"/>
        </w:rPr>
        <w:t>1</w:t>
      </w:r>
      <w:r>
        <w:rPr>
          <w:lang w:val="en-GB"/>
        </w:rPr>
        <w:tab/>
      </w:r>
      <w:r w:rsidR="00A72D74" w:rsidRPr="00A72D74">
        <w:rPr>
          <w:lang w:val="en-GB"/>
        </w:rPr>
        <w:t xml:space="preserve">As regards the general conditions in Somalia, including </w:t>
      </w:r>
      <w:r w:rsidR="005B5E55">
        <w:rPr>
          <w:lang w:val="en-GB"/>
        </w:rPr>
        <w:t xml:space="preserve">in </w:t>
      </w:r>
      <w:r w:rsidR="00A72D74" w:rsidRPr="00A72D74">
        <w:rPr>
          <w:lang w:val="en-GB"/>
        </w:rPr>
        <w:t xml:space="preserve">the author’s home city of </w:t>
      </w:r>
      <w:proofErr w:type="spellStart"/>
      <w:r w:rsidR="00A72D74" w:rsidRPr="00A72D74">
        <w:rPr>
          <w:lang w:val="en-GB"/>
        </w:rPr>
        <w:t>Galkayo</w:t>
      </w:r>
      <w:proofErr w:type="spellEnd"/>
      <w:r w:rsidR="00A72D74" w:rsidRPr="00A72D74">
        <w:rPr>
          <w:lang w:val="en-GB"/>
        </w:rPr>
        <w:t xml:space="preserve">, </w:t>
      </w:r>
      <w:r w:rsidR="007425A6" w:rsidRPr="00A72D74">
        <w:rPr>
          <w:lang w:val="en-GB"/>
        </w:rPr>
        <w:t>the State party submit</w:t>
      </w:r>
      <w:r w:rsidR="007425A6">
        <w:rPr>
          <w:lang w:val="en-GB"/>
        </w:rPr>
        <w:t>s</w:t>
      </w:r>
      <w:r w:rsidR="007425A6" w:rsidRPr="00A72D74">
        <w:rPr>
          <w:lang w:val="en-GB"/>
        </w:rPr>
        <w:t xml:space="preserve"> that the</w:t>
      </w:r>
      <w:r w:rsidR="007425A6">
        <w:rPr>
          <w:lang w:val="en-GB"/>
        </w:rPr>
        <w:t xml:space="preserve">y </w:t>
      </w:r>
      <w:r w:rsidR="00A72D74" w:rsidRPr="00A72D74">
        <w:rPr>
          <w:lang w:val="en-GB"/>
        </w:rPr>
        <w:t xml:space="preserve">are not at present of such </w:t>
      </w:r>
      <w:r w:rsidR="007425A6">
        <w:rPr>
          <w:lang w:val="en-GB"/>
        </w:rPr>
        <w:t xml:space="preserve">a </w:t>
      </w:r>
      <w:r w:rsidR="00A72D74" w:rsidRPr="00A72D74">
        <w:rPr>
          <w:lang w:val="en-GB"/>
        </w:rPr>
        <w:t xml:space="preserve">nature </w:t>
      </w:r>
      <w:r w:rsidR="007425A6">
        <w:rPr>
          <w:lang w:val="en-GB"/>
        </w:rPr>
        <w:t xml:space="preserve">as to lead to the conclusion </w:t>
      </w:r>
      <w:r w:rsidR="00A72D74" w:rsidRPr="00A72D74">
        <w:rPr>
          <w:lang w:val="en-GB"/>
        </w:rPr>
        <w:t xml:space="preserve">that everybody returning to that area </w:t>
      </w:r>
      <w:r w:rsidR="007425A6">
        <w:rPr>
          <w:lang w:val="en-GB"/>
        </w:rPr>
        <w:t>is</w:t>
      </w:r>
      <w:r w:rsidR="00A72D74" w:rsidRPr="00A72D74">
        <w:rPr>
          <w:lang w:val="en-GB"/>
        </w:rPr>
        <w:t xml:space="preserve"> at a real risk of abuse</w:t>
      </w:r>
      <w:r w:rsidR="007425A6">
        <w:rPr>
          <w:lang w:val="en-GB"/>
        </w:rPr>
        <w:t>, thereby</w:t>
      </w:r>
      <w:r w:rsidR="00A72D74" w:rsidRPr="00A72D74">
        <w:rPr>
          <w:lang w:val="en-GB"/>
        </w:rPr>
        <w:t xml:space="preserve"> justify</w:t>
      </w:r>
      <w:r w:rsidR="007425A6">
        <w:rPr>
          <w:lang w:val="en-GB"/>
        </w:rPr>
        <w:t>ing</w:t>
      </w:r>
      <w:r w:rsidR="00A72D74" w:rsidRPr="00A72D74">
        <w:rPr>
          <w:lang w:val="en-GB"/>
        </w:rPr>
        <w:t xml:space="preserve"> </w:t>
      </w:r>
      <w:r w:rsidR="007425A6">
        <w:rPr>
          <w:lang w:val="en-GB"/>
        </w:rPr>
        <w:t xml:space="preserve">the granting of </w:t>
      </w:r>
      <w:r w:rsidR="00A72D74" w:rsidRPr="00A72D74">
        <w:rPr>
          <w:lang w:val="en-GB"/>
        </w:rPr>
        <w:t xml:space="preserve">asylum solely as a result of their presence in the area. </w:t>
      </w:r>
      <w:r w:rsidR="008015E3">
        <w:rPr>
          <w:lang w:val="en-GB"/>
        </w:rPr>
        <w:t xml:space="preserve">The State party also submits that </w:t>
      </w:r>
      <w:r w:rsidR="00A72D74" w:rsidRPr="00A72D74">
        <w:rPr>
          <w:lang w:val="en-GB"/>
        </w:rPr>
        <w:t xml:space="preserve">the article </w:t>
      </w:r>
      <w:r w:rsidR="007425A6">
        <w:rPr>
          <w:lang w:val="en-GB"/>
        </w:rPr>
        <w:t>dated</w:t>
      </w:r>
      <w:r w:rsidR="00A72D74" w:rsidRPr="00A72D74">
        <w:rPr>
          <w:lang w:val="en-GB"/>
        </w:rPr>
        <w:t xml:space="preserve"> 2 January 2015</w:t>
      </w:r>
      <w:r w:rsidR="007425A6" w:rsidRPr="00D542CF">
        <w:rPr>
          <w:rStyle w:val="FootnoteReference"/>
        </w:rPr>
        <w:footnoteReference w:id="12"/>
      </w:r>
      <w:r w:rsidR="00A72D74" w:rsidRPr="00A72D74">
        <w:rPr>
          <w:lang w:val="en-GB"/>
        </w:rPr>
        <w:t xml:space="preserve"> provides information only about a blast </w:t>
      </w:r>
      <w:r w:rsidR="008015E3">
        <w:rPr>
          <w:lang w:val="en-GB"/>
        </w:rPr>
        <w:t xml:space="preserve">that </w:t>
      </w:r>
      <w:r w:rsidR="00A72D74" w:rsidRPr="00A72D74">
        <w:rPr>
          <w:lang w:val="en-GB"/>
        </w:rPr>
        <w:t>kill</w:t>
      </w:r>
      <w:r w:rsidR="008015E3">
        <w:rPr>
          <w:lang w:val="en-GB"/>
        </w:rPr>
        <w:t>ed</w:t>
      </w:r>
      <w:r w:rsidR="00A72D74" w:rsidRPr="00A72D74">
        <w:rPr>
          <w:lang w:val="en-GB"/>
        </w:rPr>
        <w:t xml:space="preserve"> one person and injur</w:t>
      </w:r>
      <w:r w:rsidR="008015E3">
        <w:rPr>
          <w:lang w:val="en-GB"/>
        </w:rPr>
        <w:t>ed</w:t>
      </w:r>
      <w:r w:rsidR="00A72D74" w:rsidRPr="00A72D74">
        <w:rPr>
          <w:lang w:val="en-GB"/>
        </w:rPr>
        <w:t xml:space="preserve"> four </w:t>
      </w:r>
      <w:r w:rsidR="008015E3">
        <w:rPr>
          <w:lang w:val="en-GB"/>
        </w:rPr>
        <w:t>others</w:t>
      </w:r>
      <w:r w:rsidR="008015E3" w:rsidRPr="00A72D74">
        <w:rPr>
          <w:lang w:val="en-GB"/>
        </w:rPr>
        <w:t xml:space="preserve"> </w:t>
      </w:r>
      <w:r w:rsidR="00A72D74" w:rsidRPr="00A72D74">
        <w:rPr>
          <w:lang w:val="en-GB"/>
        </w:rPr>
        <w:t xml:space="preserve">outside an international school in </w:t>
      </w:r>
      <w:proofErr w:type="spellStart"/>
      <w:r w:rsidR="00A72D74" w:rsidRPr="00A72D74">
        <w:rPr>
          <w:lang w:val="en-GB"/>
        </w:rPr>
        <w:t>Galkayo</w:t>
      </w:r>
      <w:proofErr w:type="spellEnd"/>
      <w:r w:rsidR="00A72D74" w:rsidRPr="00A72D74">
        <w:rPr>
          <w:lang w:val="en-GB"/>
        </w:rPr>
        <w:t>. The article includes no information on those responsible for the attack as alleged by the author. Accordingly, the State party maintain</w:t>
      </w:r>
      <w:r w:rsidR="008015E3">
        <w:rPr>
          <w:lang w:val="en-GB"/>
        </w:rPr>
        <w:t>s</w:t>
      </w:r>
      <w:r w:rsidR="00A72D74" w:rsidRPr="00A72D74">
        <w:rPr>
          <w:lang w:val="en-GB"/>
        </w:rPr>
        <w:t xml:space="preserve"> that the author’s subjective fear of returning to Somalia </w:t>
      </w:r>
      <w:r w:rsidR="008015E3">
        <w:rPr>
          <w:lang w:val="en-GB"/>
        </w:rPr>
        <w:t>i</w:t>
      </w:r>
      <w:r w:rsidR="00A72D74" w:rsidRPr="00A72D74">
        <w:rPr>
          <w:lang w:val="en-GB"/>
        </w:rPr>
        <w:t xml:space="preserve">s not based on such objective facts, including the background information available on forced recruitment and the general situation in the author’s home region, </w:t>
      </w:r>
      <w:r w:rsidR="008015E3">
        <w:rPr>
          <w:lang w:val="en-GB"/>
        </w:rPr>
        <w:t>as to</w:t>
      </w:r>
      <w:r w:rsidR="00A72D74" w:rsidRPr="00A72D74">
        <w:rPr>
          <w:lang w:val="en-GB"/>
        </w:rPr>
        <w:t xml:space="preserve"> constitute a sufficient basis for granting asylum. </w:t>
      </w:r>
    </w:p>
    <w:p w:rsidR="008015E3" w:rsidRDefault="00FF4503" w:rsidP="00760D0A">
      <w:pPr>
        <w:pStyle w:val="SingleTxtG"/>
        <w:spacing w:line="220" w:lineRule="atLeast"/>
        <w:rPr>
          <w:lang w:val="en-GB"/>
        </w:rPr>
      </w:pPr>
      <w:r>
        <w:rPr>
          <w:iCs/>
          <w:lang w:val="en-GB"/>
        </w:rPr>
        <w:t>4.</w:t>
      </w:r>
      <w:r w:rsidR="007E4C75">
        <w:rPr>
          <w:iCs/>
          <w:lang w:val="en-GB"/>
        </w:rPr>
        <w:t>1</w:t>
      </w:r>
      <w:r w:rsidR="004D2942">
        <w:rPr>
          <w:iCs/>
          <w:lang w:val="en-GB"/>
        </w:rPr>
        <w:t>2</w:t>
      </w:r>
      <w:r>
        <w:rPr>
          <w:iCs/>
          <w:lang w:val="en-GB"/>
        </w:rPr>
        <w:tab/>
      </w:r>
      <w:r w:rsidR="00A72D74" w:rsidRPr="00A72D74">
        <w:rPr>
          <w:lang w:val="en-GB"/>
        </w:rPr>
        <w:t>The author ha</w:t>
      </w:r>
      <w:r w:rsidR="008015E3">
        <w:rPr>
          <w:lang w:val="en-GB"/>
        </w:rPr>
        <w:t>s</w:t>
      </w:r>
      <w:r w:rsidR="00A72D74" w:rsidRPr="00A72D74">
        <w:rPr>
          <w:lang w:val="en-GB"/>
        </w:rPr>
        <w:t xml:space="preserve"> stated that the decision of the Refugee Appeals Board was contrary to section 26 of the Aliens Act</w:t>
      </w:r>
      <w:r w:rsidR="008015E3">
        <w:rPr>
          <w:lang w:val="en-GB"/>
        </w:rPr>
        <w:t>,</w:t>
      </w:r>
      <w:r w:rsidR="00A72D74" w:rsidRPr="00A72D74">
        <w:rPr>
          <w:lang w:val="en-GB"/>
        </w:rPr>
        <w:t xml:space="preserve"> as section 26 provides that the Board must consider whether a foreigner</w:t>
      </w:r>
      <w:r w:rsidR="008015E3">
        <w:rPr>
          <w:lang w:val="en-GB"/>
        </w:rPr>
        <w:t xml:space="preserve"> with a close attachment to Denmark</w:t>
      </w:r>
      <w:r w:rsidR="00A72D74" w:rsidRPr="00A72D74">
        <w:rPr>
          <w:lang w:val="en-GB"/>
        </w:rPr>
        <w:t xml:space="preserve"> should be allowed to stay. The State party observes in this respect that the above is not a correct construction of Danish law. Section 26</w:t>
      </w:r>
      <w:r w:rsidR="008015E3">
        <w:rPr>
          <w:lang w:val="en-GB"/>
        </w:rPr>
        <w:t xml:space="preserve"> </w:t>
      </w:r>
      <w:r w:rsidR="00A72D74" w:rsidRPr="00A72D74">
        <w:rPr>
          <w:lang w:val="en-GB"/>
        </w:rPr>
        <w:t xml:space="preserve">(1) of the Aliens Act provides as follows: </w:t>
      </w:r>
    </w:p>
    <w:p w:rsidR="00A72D74" w:rsidRPr="00A72D74" w:rsidRDefault="00A72D74" w:rsidP="00760D0A">
      <w:pPr>
        <w:pStyle w:val="SingleTxtG"/>
        <w:spacing w:line="220" w:lineRule="atLeast"/>
        <w:ind w:left="1701"/>
        <w:rPr>
          <w:lang w:val="en-GB"/>
        </w:rPr>
      </w:pPr>
      <w:r w:rsidRPr="00A72D74">
        <w:rPr>
          <w:lang w:val="en-GB"/>
        </w:rPr>
        <w:t>In deciding on expulsion, regard must be had to the question whether expulsion must be assumed to be particularly burdensome, in particular because of (</w:t>
      </w:r>
      <w:proofErr w:type="spellStart"/>
      <w:r w:rsidRPr="00A72D74">
        <w:rPr>
          <w:lang w:val="en-GB"/>
        </w:rPr>
        <w:t>i</w:t>
      </w:r>
      <w:proofErr w:type="spellEnd"/>
      <w:r w:rsidRPr="00A72D74">
        <w:rPr>
          <w:lang w:val="en-GB"/>
        </w:rPr>
        <w:t>) the alien’s ties with the Danish society; (ii) the alien’s age, health</w:t>
      </w:r>
      <w:r w:rsidR="00625DEF">
        <w:rPr>
          <w:lang w:val="en-GB"/>
        </w:rPr>
        <w:t>,</w:t>
      </w:r>
      <w:r w:rsidRPr="00A72D74">
        <w:rPr>
          <w:lang w:val="en-GB"/>
        </w:rPr>
        <w:t xml:space="preserve"> and other personal circumstances; (iii) the alien’s ties with persons living in Denmark; (iv) the consequences of the expulsion for the alien’s close relatives living in Denmark, including </w:t>
      </w:r>
      <w:r w:rsidR="00625DEF">
        <w:rPr>
          <w:lang w:val="en-GB"/>
        </w:rPr>
        <w:t xml:space="preserve">in relation </w:t>
      </w:r>
      <w:r w:rsidR="008A11F3">
        <w:rPr>
          <w:lang w:val="en-GB"/>
        </w:rPr>
        <w:t>to …</w:t>
      </w:r>
      <w:r w:rsidRPr="00A72D74">
        <w:rPr>
          <w:lang w:val="en-GB"/>
        </w:rPr>
        <w:t xml:space="preserve"> family unity; (v) the alien’s slight or non-existent ties with his country of origin or any other country in which he may be expected to take up residence; and (vi) the risk that, in cases other than those mentioned in section 7</w:t>
      </w:r>
      <w:r w:rsidR="008015E3">
        <w:rPr>
          <w:lang w:val="en-GB"/>
        </w:rPr>
        <w:t xml:space="preserve"> </w:t>
      </w:r>
      <w:r w:rsidRPr="00A72D74">
        <w:rPr>
          <w:lang w:val="en-GB"/>
        </w:rPr>
        <w:t xml:space="preserve">(1) and (2) </w:t>
      </w:r>
      <w:r w:rsidR="00625DEF">
        <w:rPr>
          <w:lang w:val="en-GB"/>
        </w:rPr>
        <w:t>or</w:t>
      </w:r>
      <w:r w:rsidR="00625DEF" w:rsidRPr="00A72D74">
        <w:rPr>
          <w:lang w:val="en-GB"/>
        </w:rPr>
        <w:t xml:space="preserve"> </w:t>
      </w:r>
      <w:r w:rsidRPr="00A72D74">
        <w:rPr>
          <w:lang w:val="en-GB"/>
        </w:rPr>
        <w:t>section 8</w:t>
      </w:r>
      <w:r w:rsidR="008015E3">
        <w:rPr>
          <w:lang w:val="en-GB"/>
        </w:rPr>
        <w:t xml:space="preserve"> </w:t>
      </w:r>
      <w:r w:rsidRPr="00A72D74">
        <w:rPr>
          <w:lang w:val="en-GB"/>
        </w:rPr>
        <w:t xml:space="preserve">(1) and (2), the alien will be ill-treated in his country of origin or any other country in which he may be expected to take up residence. </w:t>
      </w:r>
    </w:p>
    <w:p w:rsidR="00A72D74" w:rsidRPr="00A72D74" w:rsidRDefault="00D20E19" w:rsidP="00760D0A">
      <w:pPr>
        <w:pStyle w:val="SingleTxtG"/>
        <w:spacing w:line="220" w:lineRule="atLeast"/>
        <w:rPr>
          <w:lang w:val="en-GB"/>
        </w:rPr>
      </w:pPr>
      <w:r w:rsidRPr="00040138">
        <w:rPr>
          <w:lang w:val="en-GB"/>
        </w:rPr>
        <w:t>4.</w:t>
      </w:r>
      <w:r w:rsidR="007E4C75" w:rsidRPr="00040138">
        <w:rPr>
          <w:lang w:val="en-GB"/>
        </w:rPr>
        <w:t>1</w:t>
      </w:r>
      <w:r w:rsidR="004D2942" w:rsidRPr="00040138">
        <w:rPr>
          <w:lang w:val="en-GB"/>
        </w:rPr>
        <w:t>3</w:t>
      </w:r>
      <w:r w:rsidR="00FF4503" w:rsidRPr="00040138">
        <w:rPr>
          <w:lang w:val="en-GB"/>
        </w:rPr>
        <w:tab/>
      </w:r>
      <w:r w:rsidR="00A72D74" w:rsidRPr="00040138">
        <w:rPr>
          <w:lang w:val="en-GB"/>
        </w:rPr>
        <w:t>The State party maintain</w:t>
      </w:r>
      <w:r w:rsidR="00040138">
        <w:rPr>
          <w:lang w:val="en-GB"/>
        </w:rPr>
        <w:t>s</w:t>
      </w:r>
      <w:r w:rsidR="00A72D74" w:rsidRPr="00040138">
        <w:rPr>
          <w:lang w:val="en-GB"/>
        </w:rPr>
        <w:t xml:space="preserve"> that </w:t>
      </w:r>
      <w:r w:rsidR="00040138">
        <w:rPr>
          <w:lang w:val="en-GB"/>
        </w:rPr>
        <w:t xml:space="preserve">the provision in </w:t>
      </w:r>
      <w:r w:rsidR="00A72D74" w:rsidRPr="00040138">
        <w:rPr>
          <w:lang w:val="en-GB"/>
        </w:rPr>
        <w:t xml:space="preserve">section 26 of the Aliens Act applies to cases concerning expulsion from Denmark. The provision </w:t>
      </w:r>
      <w:r w:rsidR="00040138">
        <w:rPr>
          <w:lang w:val="en-GB"/>
        </w:rPr>
        <w:t>also</w:t>
      </w:r>
      <w:r w:rsidR="00A72D74" w:rsidRPr="00040138">
        <w:rPr>
          <w:lang w:val="en-GB"/>
        </w:rPr>
        <w:t xml:space="preserve"> applies to cases concerning</w:t>
      </w:r>
      <w:r w:rsidR="00A72D74" w:rsidRPr="00A72D74">
        <w:rPr>
          <w:lang w:val="en-GB"/>
        </w:rPr>
        <w:t xml:space="preserve"> </w:t>
      </w:r>
      <w:r w:rsidR="00040138">
        <w:rPr>
          <w:lang w:val="en-GB"/>
        </w:rPr>
        <w:t xml:space="preserve">the </w:t>
      </w:r>
      <w:r w:rsidR="00A72D74" w:rsidRPr="00A72D74">
        <w:rPr>
          <w:lang w:val="en-GB"/>
        </w:rPr>
        <w:t>revocation of or refusal to renew a residence permit granted under section 7</w:t>
      </w:r>
      <w:r w:rsidR="00040138">
        <w:rPr>
          <w:lang w:val="en-GB"/>
        </w:rPr>
        <w:t xml:space="preserve"> </w:t>
      </w:r>
      <w:r w:rsidR="00B31F6E">
        <w:rPr>
          <w:lang w:val="en-GB"/>
        </w:rPr>
        <w:t>and</w:t>
      </w:r>
      <w:r w:rsidR="00040138">
        <w:rPr>
          <w:lang w:val="en-GB"/>
        </w:rPr>
        <w:t xml:space="preserve"> the first sentence of section 19 (6)</w:t>
      </w:r>
      <w:r w:rsidR="00A72D74" w:rsidRPr="00A72D74">
        <w:rPr>
          <w:lang w:val="en-GB"/>
        </w:rPr>
        <w:t xml:space="preserve"> of the Act</w:t>
      </w:r>
      <w:r w:rsidR="00040138">
        <w:rPr>
          <w:lang w:val="en-GB"/>
        </w:rPr>
        <w:t>.</w:t>
      </w:r>
      <w:r w:rsidR="00A72D74" w:rsidRPr="00A72D74">
        <w:rPr>
          <w:lang w:val="en-GB"/>
        </w:rPr>
        <w:t xml:space="preserve"> The provision does </w:t>
      </w:r>
      <w:r w:rsidR="00A72D74" w:rsidRPr="00A72D74">
        <w:rPr>
          <w:iCs/>
          <w:lang w:val="en-GB"/>
        </w:rPr>
        <w:t xml:space="preserve">not </w:t>
      </w:r>
      <w:r w:rsidR="00A72D74" w:rsidRPr="00A72D74">
        <w:rPr>
          <w:lang w:val="en-GB"/>
        </w:rPr>
        <w:t xml:space="preserve">apply to asylum cases falling within section 7 of the Act. Accordingly, the provision does not apply to the author’s case. </w:t>
      </w:r>
    </w:p>
    <w:p w:rsidR="00A72D74" w:rsidRPr="00A72D74" w:rsidRDefault="00FF4503" w:rsidP="00760D0A">
      <w:pPr>
        <w:pStyle w:val="SingleTxtG"/>
        <w:spacing w:line="220" w:lineRule="atLeast"/>
        <w:rPr>
          <w:lang w:val="en-GB"/>
        </w:rPr>
      </w:pPr>
      <w:r>
        <w:rPr>
          <w:lang w:val="en-GB"/>
        </w:rPr>
        <w:t>4.</w:t>
      </w:r>
      <w:r w:rsidR="007E4C75">
        <w:rPr>
          <w:lang w:val="en-GB"/>
        </w:rPr>
        <w:t>1</w:t>
      </w:r>
      <w:r w:rsidR="004D2942">
        <w:rPr>
          <w:lang w:val="en-GB"/>
        </w:rPr>
        <w:t>4</w:t>
      </w:r>
      <w:r>
        <w:rPr>
          <w:lang w:val="en-GB"/>
        </w:rPr>
        <w:tab/>
      </w:r>
      <w:r w:rsidR="00A72D74" w:rsidRPr="00A72D74">
        <w:rPr>
          <w:lang w:val="en-GB"/>
        </w:rPr>
        <w:t>The State party note</w:t>
      </w:r>
      <w:r w:rsidR="00040138">
        <w:rPr>
          <w:lang w:val="en-GB"/>
        </w:rPr>
        <w:t>s</w:t>
      </w:r>
      <w:r w:rsidR="00A72D74" w:rsidRPr="00A72D74">
        <w:rPr>
          <w:lang w:val="en-GB"/>
        </w:rPr>
        <w:t xml:space="preserve"> that the </w:t>
      </w:r>
      <w:r w:rsidR="00040138">
        <w:rPr>
          <w:lang w:val="en-GB"/>
        </w:rPr>
        <w:t>fact</w:t>
      </w:r>
      <w:r w:rsidR="00040138" w:rsidRPr="00A72D74">
        <w:rPr>
          <w:lang w:val="en-GB"/>
        </w:rPr>
        <w:t xml:space="preserve"> </w:t>
      </w:r>
      <w:r w:rsidR="00A72D74" w:rsidRPr="00A72D74">
        <w:rPr>
          <w:lang w:val="en-GB"/>
        </w:rPr>
        <w:t xml:space="preserve">that the author’s whole family, except for his sister, live in Denmark, that the author speaks fluent Danish and that the author has close ties with Danish society because of his family are not relevant for asylum purposes. It </w:t>
      </w:r>
      <w:r w:rsidR="00040138">
        <w:rPr>
          <w:lang w:val="en-GB"/>
        </w:rPr>
        <w:t>also</w:t>
      </w:r>
      <w:r w:rsidR="00040138" w:rsidRPr="00A72D74">
        <w:rPr>
          <w:lang w:val="en-GB"/>
        </w:rPr>
        <w:t xml:space="preserve"> </w:t>
      </w:r>
      <w:r w:rsidR="00A72D74" w:rsidRPr="00A72D74">
        <w:rPr>
          <w:lang w:val="en-GB"/>
        </w:rPr>
        <w:t xml:space="preserve">notes that the </w:t>
      </w:r>
      <w:r w:rsidR="00040138">
        <w:rPr>
          <w:lang w:val="en-GB"/>
        </w:rPr>
        <w:t>fact</w:t>
      </w:r>
      <w:r w:rsidR="00040138" w:rsidRPr="00A72D74">
        <w:rPr>
          <w:lang w:val="en-GB"/>
        </w:rPr>
        <w:t xml:space="preserve"> </w:t>
      </w:r>
      <w:r w:rsidR="00A72D74" w:rsidRPr="00A72D74">
        <w:rPr>
          <w:lang w:val="en-GB"/>
        </w:rPr>
        <w:t>that the author will have no close family in Somalia in case of his return because his uncle has died does not independently justify asylum. The Government observes in this respect that it appears from page 4 of the report on the asylum screening interview conducted by the Danish Immigration Service on 30 October 2014 that the author, who is now a 29</w:t>
      </w:r>
      <w:r w:rsidR="006817BF">
        <w:rPr>
          <w:lang w:val="en-GB"/>
        </w:rPr>
        <w:t>-</w:t>
      </w:r>
      <w:r w:rsidR="00A72D74" w:rsidRPr="00A72D74">
        <w:rPr>
          <w:lang w:val="en-GB"/>
        </w:rPr>
        <w:t xml:space="preserve">year-old man in good health, has stated that he has distant clan and family relations in </w:t>
      </w:r>
      <w:proofErr w:type="spellStart"/>
      <w:r w:rsidR="00A72D74" w:rsidRPr="00A72D74">
        <w:rPr>
          <w:lang w:val="en-GB"/>
        </w:rPr>
        <w:t>Galkayo</w:t>
      </w:r>
      <w:proofErr w:type="spellEnd"/>
      <w:r w:rsidR="00A72D74" w:rsidRPr="00A72D74">
        <w:rPr>
          <w:lang w:val="en-GB"/>
        </w:rPr>
        <w:t xml:space="preserve"> and that he maintains contact with his friends in </w:t>
      </w:r>
      <w:proofErr w:type="spellStart"/>
      <w:r w:rsidR="00A72D74" w:rsidRPr="00A72D74">
        <w:rPr>
          <w:lang w:val="en-GB"/>
        </w:rPr>
        <w:t>Galkayo</w:t>
      </w:r>
      <w:proofErr w:type="spellEnd"/>
      <w:r w:rsidR="00A72D74" w:rsidRPr="00A72D74">
        <w:rPr>
          <w:lang w:val="en-GB"/>
        </w:rPr>
        <w:t xml:space="preserve"> </w:t>
      </w:r>
      <w:r w:rsidR="006817BF">
        <w:rPr>
          <w:lang w:val="en-GB"/>
        </w:rPr>
        <w:t>through</w:t>
      </w:r>
      <w:r w:rsidR="006817BF" w:rsidRPr="00A72D74">
        <w:rPr>
          <w:lang w:val="en-GB"/>
        </w:rPr>
        <w:t xml:space="preserve"> </w:t>
      </w:r>
      <w:r w:rsidR="00A72D74" w:rsidRPr="00A72D74">
        <w:rPr>
          <w:lang w:val="en-GB"/>
        </w:rPr>
        <w:t xml:space="preserve">Facebook. </w:t>
      </w:r>
    </w:p>
    <w:p w:rsidR="00A72D74" w:rsidRPr="00A72D74" w:rsidRDefault="00FF4503" w:rsidP="00760D0A">
      <w:pPr>
        <w:pStyle w:val="SingleTxtG"/>
        <w:spacing w:line="220" w:lineRule="atLeast"/>
        <w:rPr>
          <w:lang w:val="en-GB"/>
        </w:rPr>
      </w:pPr>
      <w:r>
        <w:rPr>
          <w:lang w:val="en-GB"/>
        </w:rPr>
        <w:t>4.</w:t>
      </w:r>
      <w:r w:rsidR="007E4C75">
        <w:rPr>
          <w:lang w:val="en-GB"/>
        </w:rPr>
        <w:t>1</w:t>
      </w:r>
      <w:r w:rsidR="004D2942">
        <w:rPr>
          <w:lang w:val="en-GB"/>
        </w:rPr>
        <w:t>5</w:t>
      </w:r>
      <w:r>
        <w:rPr>
          <w:lang w:val="en-GB"/>
        </w:rPr>
        <w:tab/>
      </w:r>
      <w:r w:rsidR="00A72D74" w:rsidRPr="00A72D74">
        <w:rPr>
          <w:lang w:val="en-GB"/>
        </w:rPr>
        <w:t>The State party maintain</w:t>
      </w:r>
      <w:r w:rsidR="006817BF">
        <w:rPr>
          <w:lang w:val="en-GB"/>
        </w:rPr>
        <w:t>s</w:t>
      </w:r>
      <w:r w:rsidR="00A72D74" w:rsidRPr="00A72D74">
        <w:rPr>
          <w:lang w:val="en-GB"/>
        </w:rPr>
        <w:t xml:space="preserve"> that the Refugee Appeals Board included all relevant information in its decision and that the communication has not brought to light any information substantiating that the author will </w:t>
      </w:r>
      <w:r w:rsidR="006817BF">
        <w:rPr>
          <w:lang w:val="en-GB"/>
        </w:rPr>
        <w:t xml:space="preserve">be at such a </w:t>
      </w:r>
      <w:r w:rsidR="00A72D74" w:rsidRPr="00A72D74">
        <w:rPr>
          <w:lang w:val="en-GB"/>
        </w:rPr>
        <w:t>risk</w:t>
      </w:r>
      <w:r w:rsidR="006817BF">
        <w:rPr>
          <w:lang w:val="en-GB"/>
        </w:rPr>
        <w:t xml:space="preserve"> of</w:t>
      </w:r>
      <w:r w:rsidR="00A72D74" w:rsidRPr="00A72D74">
        <w:rPr>
          <w:lang w:val="en-GB"/>
        </w:rPr>
        <w:t xml:space="preserve"> persecution or abuse</w:t>
      </w:r>
      <w:r w:rsidR="006817BF" w:rsidRPr="006817BF">
        <w:rPr>
          <w:lang w:val="en-GB"/>
        </w:rPr>
        <w:t xml:space="preserve"> </w:t>
      </w:r>
      <w:r w:rsidR="006817BF" w:rsidRPr="00A72D74">
        <w:rPr>
          <w:lang w:val="en-GB"/>
        </w:rPr>
        <w:t>upon his return to Somalia</w:t>
      </w:r>
      <w:r w:rsidR="006817BF">
        <w:rPr>
          <w:lang w:val="en-GB"/>
        </w:rPr>
        <w:t xml:space="preserve"> as to</w:t>
      </w:r>
      <w:r w:rsidR="00A72D74" w:rsidRPr="00A72D74">
        <w:rPr>
          <w:lang w:val="en-GB"/>
        </w:rPr>
        <w:t xml:space="preserve"> justify asylum. It refer</w:t>
      </w:r>
      <w:r w:rsidR="006817BF">
        <w:rPr>
          <w:lang w:val="en-GB"/>
        </w:rPr>
        <w:t>s</w:t>
      </w:r>
      <w:r w:rsidR="00A72D74" w:rsidRPr="00A72D74">
        <w:rPr>
          <w:lang w:val="en-GB"/>
        </w:rPr>
        <w:t xml:space="preserve"> to the Committee’s Views in </w:t>
      </w:r>
      <w:r w:rsidR="00A72D74" w:rsidRPr="00A72D74">
        <w:rPr>
          <w:i/>
          <w:iCs/>
          <w:lang w:val="en-GB"/>
        </w:rPr>
        <w:t>P.T. v. Denmark</w:t>
      </w:r>
      <w:r w:rsidR="00A72D74" w:rsidRPr="00D542CF">
        <w:rPr>
          <w:rStyle w:val="FootnoteReference"/>
        </w:rPr>
        <w:footnoteReference w:id="13"/>
      </w:r>
      <w:r w:rsidR="00A72D74" w:rsidRPr="00A72D74">
        <w:rPr>
          <w:i/>
          <w:iCs/>
          <w:lang w:val="en-GB"/>
        </w:rPr>
        <w:t xml:space="preserve"> </w:t>
      </w:r>
      <w:r w:rsidR="00A72D74" w:rsidRPr="00A72D74">
        <w:rPr>
          <w:lang w:val="en-GB"/>
        </w:rPr>
        <w:t xml:space="preserve">and in </w:t>
      </w:r>
      <w:r w:rsidR="00A72D74" w:rsidRPr="00A72D74">
        <w:rPr>
          <w:i/>
          <w:iCs/>
          <w:lang w:val="en-GB"/>
        </w:rPr>
        <w:t>Mr. X and Ms. X v. Denmark</w:t>
      </w:r>
      <w:r w:rsidR="00A72D74" w:rsidRPr="00D542CF">
        <w:rPr>
          <w:rStyle w:val="FootnoteReference"/>
        </w:rPr>
        <w:footnoteReference w:id="14"/>
      </w:r>
      <w:r w:rsidR="00A72D74" w:rsidRPr="00A72D74">
        <w:rPr>
          <w:i/>
          <w:iCs/>
          <w:lang w:val="en-GB"/>
        </w:rPr>
        <w:t xml:space="preserve"> </w:t>
      </w:r>
      <w:r w:rsidR="00A72D74" w:rsidRPr="00A72D74">
        <w:rPr>
          <w:iCs/>
          <w:lang w:val="en-GB"/>
        </w:rPr>
        <w:t>and maintain</w:t>
      </w:r>
      <w:r w:rsidR="006817BF">
        <w:rPr>
          <w:iCs/>
          <w:lang w:val="en-GB"/>
        </w:rPr>
        <w:t>s</w:t>
      </w:r>
      <w:r w:rsidR="00A72D74" w:rsidRPr="00A72D74">
        <w:rPr>
          <w:iCs/>
          <w:lang w:val="en-GB"/>
        </w:rPr>
        <w:t xml:space="preserve"> that t</w:t>
      </w:r>
      <w:r w:rsidR="00A72D74" w:rsidRPr="00A72D74">
        <w:rPr>
          <w:lang w:val="en-GB"/>
        </w:rPr>
        <w:t>he same guarantees of due process appl</w:t>
      </w:r>
      <w:r w:rsidR="006817BF">
        <w:rPr>
          <w:lang w:val="en-GB"/>
        </w:rPr>
        <w:t>y</w:t>
      </w:r>
      <w:r w:rsidR="00A72D74" w:rsidRPr="00A72D74">
        <w:rPr>
          <w:lang w:val="en-GB"/>
        </w:rPr>
        <w:t xml:space="preserve"> to the author in the present case. </w:t>
      </w:r>
    </w:p>
    <w:p w:rsidR="00A72D74" w:rsidRPr="00A72D74" w:rsidRDefault="00FF4503" w:rsidP="00760D0A">
      <w:pPr>
        <w:pStyle w:val="SingleTxtG"/>
        <w:spacing w:line="220" w:lineRule="atLeast"/>
        <w:rPr>
          <w:lang w:val="en-GB"/>
        </w:rPr>
      </w:pPr>
      <w:r>
        <w:rPr>
          <w:lang w:val="en-GB"/>
        </w:rPr>
        <w:t>4.</w:t>
      </w:r>
      <w:r w:rsidR="007E4C75">
        <w:rPr>
          <w:lang w:val="en-GB"/>
        </w:rPr>
        <w:t>1</w:t>
      </w:r>
      <w:r w:rsidR="004D2942">
        <w:rPr>
          <w:lang w:val="en-GB"/>
        </w:rPr>
        <w:t>6</w:t>
      </w:r>
      <w:r>
        <w:rPr>
          <w:lang w:val="en-GB"/>
        </w:rPr>
        <w:tab/>
      </w:r>
      <w:r w:rsidR="00A72D74" w:rsidRPr="00A72D74">
        <w:rPr>
          <w:lang w:val="en-GB"/>
        </w:rPr>
        <w:t>The State party submit</w:t>
      </w:r>
      <w:r w:rsidR="006817BF">
        <w:rPr>
          <w:lang w:val="en-GB"/>
        </w:rPr>
        <w:t>s</w:t>
      </w:r>
      <w:r w:rsidR="00A72D74" w:rsidRPr="00A72D74">
        <w:rPr>
          <w:lang w:val="en-GB"/>
        </w:rPr>
        <w:t xml:space="preserve"> that the author’s communication to the Committee merely reflects the author’s disagreement with the assessment of the background information made by the Refugee Appeals Board and that he failed to identify any irregularity in the decision-making process or any risk factors that the Board has failed to take properly into account. Therefore, it maintain</w:t>
      </w:r>
      <w:r w:rsidR="006817BF">
        <w:rPr>
          <w:lang w:val="en-GB"/>
        </w:rPr>
        <w:t>s</w:t>
      </w:r>
      <w:r w:rsidR="00A72D74" w:rsidRPr="00A72D74">
        <w:rPr>
          <w:lang w:val="en-GB"/>
        </w:rPr>
        <w:t xml:space="preserve"> that the author was trying to use the Committee as an appellate body to have the factual circumstances advocated in support of his claim for </w:t>
      </w:r>
      <w:r w:rsidR="00A72D74" w:rsidRPr="009423E6">
        <w:t>asylum</w:t>
      </w:r>
      <w:r w:rsidR="00A72D74" w:rsidRPr="00A72D74">
        <w:rPr>
          <w:lang w:val="en-GB"/>
        </w:rPr>
        <w:t xml:space="preserve"> reassessed by the Committee. The State party submit</w:t>
      </w:r>
      <w:r w:rsidR="006817BF">
        <w:rPr>
          <w:lang w:val="en-GB"/>
        </w:rPr>
        <w:t>s</w:t>
      </w:r>
      <w:r w:rsidR="00A72D74" w:rsidRPr="00A72D74">
        <w:rPr>
          <w:lang w:val="en-GB"/>
        </w:rPr>
        <w:t xml:space="preserve"> that the Committee must give considerable weight to the findings </w:t>
      </w:r>
      <w:r w:rsidR="006817BF">
        <w:rPr>
          <w:lang w:val="en-GB"/>
        </w:rPr>
        <w:t xml:space="preserve">of </w:t>
      </w:r>
      <w:r w:rsidR="00A72D74" w:rsidRPr="00A72D74">
        <w:rPr>
          <w:lang w:val="en-GB"/>
        </w:rPr>
        <w:t xml:space="preserve">the Board, which is better placed to assess the factual circumstances of the author’s case. </w:t>
      </w:r>
    </w:p>
    <w:p w:rsidR="00F00747" w:rsidRPr="00760D0A" w:rsidRDefault="0000397C" w:rsidP="00760D0A">
      <w:pPr>
        <w:pStyle w:val="H23G"/>
      </w:pPr>
      <w:r>
        <w:tab/>
      </w:r>
      <w:r>
        <w:tab/>
      </w:r>
      <w:r w:rsidR="00F00747" w:rsidRPr="00F422CA">
        <w:t xml:space="preserve">Author’s comments on the </w:t>
      </w:r>
      <w:r w:rsidR="00F00747" w:rsidRPr="009423E6">
        <w:t>State</w:t>
      </w:r>
      <w:r w:rsidR="00F00747" w:rsidRPr="00F422CA">
        <w:t xml:space="preserve"> party’s observations</w:t>
      </w:r>
    </w:p>
    <w:p w:rsidR="007F17BB" w:rsidRPr="001B2349" w:rsidRDefault="00375CDD" w:rsidP="00760D0A">
      <w:pPr>
        <w:pStyle w:val="SingleTxtG"/>
        <w:spacing w:line="220" w:lineRule="atLeast"/>
        <w:rPr>
          <w:lang w:val="en-GB"/>
        </w:rPr>
      </w:pPr>
      <w:r>
        <w:rPr>
          <w:lang w:val="en-GB"/>
        </w:rPr>
        <w:t>5.1</w:t>
      </w:r>
      <w:r>
        <w:rPr>
          <w:lang w:val="en-GB"/>
        </w:rPr>
        <w:tab/>
      </w:r>
      <w:r w:rsidR="006817BF">
        <w:rPr>
          <w:lang w:val="en-GB"/>
        </w:rPr>
        <w:t>In his comments of</w:t>
      </w:r>
      <w:r w:rsidR="007F17BB">
        <w:rPr>
          <w:lang w:val="en-GB"/>
        </w:rPr>
        <w:t xml:space="preserve"> 24 September 2015, the author submit</w:t>
      </w:r>
      <w:r w:rsidR="006817BF">
        <w:rPr>
          <w:lang w:val="en-GB"/>
        </w:rPr>
        <w:t>s</w:t>
      </w:r>
      <w:r w:rsidR="007F17BB">
        <w:rPr>
          <w:lang w:val="en-GB"/>
        </w:rPr>
        <w:t xml:space="preserve"> that he ha</w:t>
      </w:r>
      <w:r w:rsidR="006817BF">
        <w:rPr>
          <w:lang w:val="en-GB"/>
        </w:rPr>
        <w:t>s</w:t>
      </w:r>
      <w:r w:rsidR="007F17BB">
        <w:rPr>
          <w:lang w:val="en-GB"/>
        </w:rPr>
        <w:t xml:space="preserve"> at </w:t>
      </w:r>
      <w:r w:rsidR="007F17BB" w:rsidRPr="007F17BB">
        <w:t xml:space="preserve">all times </w:t>
      </w:r>
      <w:r w:rsidR="00192967">
        <w:rPr>
          <w:lang w:val="en-GB"/>
        </w:rPr>
        <w:t>“</w:t>
      </w:r>
      <w:r w:rsidR="007F17BB" w:rsidRPr="007F17BB">
        <w:t>lifted the burden of proof</w:t>
      </w:r>
      <w:r w:rsidR="00341E7F">
        <w:rPr>
          <w:lang w:val="en-GB"/>
        </w:rPr>
        <w:t>”</w:t>
      </w:r>
      <w:r w:rsidR="007F17BB" w:rsidRPr="007F17BB">
        <w:t xml:space="preserve"> by describing and documenting every claim and statement he has made. </w:t>
      </w:r>
      <w:r w:rsidR="007F17BB" w:rsidRPr="007F17BB">
        <w:rPr>
          <w:lang w:val="en-GB"/>
        </w:rPr>
        <w:t>He</w:t>
      </w:r>
      <w:r w:rsidR="007F17BB" w:rsidRPr="007F17BB">
        <w:t xml:space="preserve"> has established that there are substantial grounds for believing that he would be at risk of being subjected to persecution and mistreat</w:t>
      </w:r>
      <w:r w:rsidR="007F17BB" w:rsidRPr="007F17BB">
        <w:rPr>
          <w:lang w:val="en-GB"/>
        </w:rPr>
        <w:t>ment</w:t>
      </w:r>
      <w:r w:rsidR="007F17BB" w:rsidRPr="007F17BB">
        <w:t xml:space="preserve">. </w:t>
      </w:r>
      <w:r w:rsidR="00680805" w:rsidRPr="00680805">
        <w:rPr>
          <w:lang w:val="en-GB"/>
        </w:rPr>
        <w:t>Th</w:t>
      </w:r>
      <w:r w:rsidR="007F17BB" w:rsidRPr="007F17BB">
        <w:rPr>
          <w:lang w:val="en-GB"/>
        </w:rPr>
        <w:t>e</w:t>
      </w:r>
      <w:r w:rsidR="00680805">
        <w:rPr>
          <w:lang w:val="en-GB"/>
        </w:rPr>
        <w:t xml:space="preserve"> author</w:t>
      </w:r>
      <w:r w:rsidR="007F17BB" w:rsidRPr="007F17BB">
        <w:rPr>
          <w:lang w:val="en-GB"/>
        </w:rPr>
        <w:t xml:space="preserve"> </w:t>
      </w:r>
      <w:r w:rsidR="007F17BB">
        <w:rPr>
          <w:lang w:val="en-GB"/>
        </w:rPr>
        <w:t>denie</w:t>
      </w:r>
      <w:r w:rsidR="006817BF">
        <w:rPr>
          <w:lang w:val="en-GB"/>
        </w:rPr>
        <w:t>s</w:t>
      </w:r>
      <w:r w:rsidR="007F17BB" w:rsidRPr="007F17BB">
        <w:rPr>
          <w:lang w:val="en-GB"/>
        </w:rPr>
        <w:t xml:space="preserve"> </w:t>
      </w:r>
      <w:r w:rsidR="007F17BB" w:rsidRPr="007F17BB">
        <w:t xml:space="preserve">trying to use the Committee as an appellate body to have the factual circumstances in support of his claim for asylum reassessed by the Committee. </w:t>
      </w:r>
      <w:r w:rsidR="007F17BB">
        <w:rPr>
          <w:lang w:val="en-GB"/>
        </w:rPr>
        <w:t>He maintain</w:t>
      </w:r>
      <w:r w:rsidR="006817BF">
        <w:rPr>
          <w:lang w:val="en-GB"/>
        </w:rPr>
        <w:t>s</w:t>
      </w:r>
      <w:r w:rsidR="007F17BB">
        <w:rPr>
          <w:lang w:val="en-GB"/>
        </w:rPr>
        <w:t xml:space="preserve"> </w:t>
      </w:r>
      <w:r w:rsidR="007F17BB" w:rsidRPr="007F17BB">
        <w:rPr>
          <w:lang w:val="en-GB"/>
        </w:rPr>
        <w:t xml:space="preserve">that </w:t>
      </w:r>
      <w:r w:rsidR="007F17BB" w:rsidRPr="007F17BB">
        <w:t xml:space="preserve">the Refugee Appeals Board did not take his extraordinary conditions in consideration and </w:t>
      </w:r>
      <w:r w:rsidR="007F17BB" w:rsidRPr="007F17BB">
        <w:rPr>
          <w:lang w:val="en-GB"/>
        </w:rPr>
        <w:t xml:space="preserve">did not apply </w:t>
      </w:r>
      <w:r w:rsidR="007F17BB" w:rsidRPr="007F17BB">
        <w:t>correct</w:t>
      </w:r>
      <w:r w:rsidR="007F17BB" w:rsidRPr="007F17BB">
        <w:rPr>
          <w:lang w:val="en-GB"/>
        </w:rPr>
        <w:t>ly</w:t>
      </w:r>
      <w:r w:rsidR="007F17BB" w:rsidRPr="007F17BB">
        <w:t xml:space="preserve"> section 26</w:t>
      </w:r>
      <w:r w:rsidR="007F17BB" w:rsidRPr="007F17BB">
        <w:rPr>
          <w:lang w:val="en-GB"/>
        </w:rPr>
        <w:t xml:space="preserve"> of the </w:t>
      </w:r>
      <w:r w:rsidR="007F17BB" w:rsidRPr="007F17BB">
        <w:t xml:space="preserve">Aliens Act. </w:t>
      </w:r>
    </w:p>
    <w:p w:rsidR="007F17BB" w:rsidRPr="007F17BB" w:rsidRDefault="007F17BB" w:rsidP="00760D0A">
      <w:pPr>
        <w:pStyle w:val="SingleTxtG"/>
        <w:spacing w:line="220" w:lineRule="atLeast"/>
      </w:pPr>
      <w:r w:rsidRPr="007F17BB">
        <w:rPr>
          <w:lang w:val="en-GB"/>
        </w:rPr>
        <w:t>5.2</w:t>
      </w:r>
      <w:r w:rsidRPr="007F17BB">
        <w:rPr>
          <w:lang w:val="en-GB"/>
        </w:rPr>
        <w:tab/>
        <w:t>The author reiterate</w:t>
      </w:r>
      <w:r w:rsidR="006817BF">
        <w:rPr>
          <w:lang w:val="en-GB"/>
        </w:rPr>
        <w:t>s</w:t>
      </w:r>
      <w:r w:rsidRPr="007F17BB">
        <w:rPr>
          <w:lang w:val="en-GB"/>
        </w:rPr>
        <w:t xml:space="preserve"> that he </w:t>
      </w:r>
      <w:r w:rsidR="000E29F5">
        <w:rPr>
          <w:lang w:val="en-GB"/>
        </w:rPr>
        <w:t>ha</w:t>
      </w:r>
      <w:r w:rsidRPr="007F17BB">
        <w:rPr>
          <w:lang w:val="en-GB"/>
        </w:rPr>
        <w:t>s</w:t>
      </w:r>
      <w:r w:rsidRPr="007F17BB">
        <w:t xml:space="preserve"> close</w:t>
      </w:r>
      <w:r w:rsidRPr="007F17BB">
        <w:rPr>
          <w:lang w:val="en-GB"/>
        </w:rPr>
        <w:t xml:space="preserve"> </w:t>
      </w:r>
      <w:r w:rsidR="000E29F5">
        <w:rPr>
          <w:lang w:val="en-US"/>
        </w:rPr>
        <w:t>ties to</w:t>
      </w:r>
      <w:r w:rsidRPr="007F17BB">
        <w:t xml:space="preserve"> Denmark. His entire family lives </w:t>
      </w:r>
      <w:r w:rsidR="00760D0A" w:rsidRPr="00760D0A">
        <w:rPr>
          <w:lang w:val="en-US"/>
        </w:rPr>
        <w:t>t</w:t>
      </w:r>
      <w:r w:rsidR="00760D0A" w:rsidRPr="007F17BB">
        <w:t>here</w:t>
      </w:r>
      <w:r w:rsidRPr="007F17BB">
        <w:t xml:space="preserve"> and he speaks the language fluently. His </w:t>
      </w:r>
      <w:r w:rsidRPr="007F17BB">
        <w:rPr>
          <w:lang w:val="en-GB"/>
        </w:rPr>
        <w:t xml:space="preserve">parents </w:t>
      </w:r>
      <w:r w:rsidRPr="007F17BB">
        <w:t xml:space="preserve">and eight of his siblings live in Aarhus, Denmark. He fled from Somalia because he fears the militia </w:t>
      </w:r>
      <w:r w:rsidR="005833BB" w:rsidRPr="004D2942">
        <w:rPr>
          <w:lang w:val="en-GB"/>
        </w:rPr>
        <w:t>A</w:t>
      </w:r>
      <w:r w:rsidRPr="007F17BB">
        <w:t>l-</w:t>
      </w:r>
      <w:proofErr w:type="spellStart"/>
      <w:r w:rsidRPr="007F17BB">
        <w:t>Shabaab</w:t>
      </w:r>
      <w:proofErr w:type="spellEnd"/>
      <w:r w:rsidRPr="007F17BB">
        <w:t xml:space="preserve">, and fled to Denmark to be reunited with his relatives. </w:t>
      </w:r>
      <w:r w:rsidRPr="007F17BB">
        <w:rPr>
          <w:lang w:val="en-GB"/>
        </w:rPr>
        <w:t>He maintain</w:t>
      </w:r>
      <w:r w:rsidR="000E29F5">
        <w:rPr>
          <w:lang w:val="en-GB"/>
        </w:rPr>
        <w:t>s</w:t>
      </w:r>
      <w:r w:rsidRPr="007F17BB">
        <w:rPr>
          <w:lang w:val="en-GB"/>
        </w:rPr>
        <w:t xml:space="preserve"> that </w:t>
      </w:r>
      <w:proofErr w:type="spellStart"/>
      <w:r w:rsidRPr="007F17BB">
        <w:rPr>
          <w:lang w:val="en-GB"/>
        </w:rPr>
        <w:t>t</w:t>
      </w:r>
      <w:r w:rsidRPr="007F17BB">
        <w:t>he</w:t>
      </w:r>
      <w:proofErr w:type="spellEnd"/>
      <w:r w:rsidRPr="007F17BB">
        <w:t xml:space="preserve"> Refugee </w:t>
      </w:r>
      <w:r w:rsidR="000E29F5" w:rsidRPr="00760D0A">
        <w:rPr>
          <w:lang w:val="en-US"/>
        </w:rPr>
        <w:t xml:space="preserve">Appeals </w:t>
      </w:r>
      <w:r w:rsidRPr="007F17BB">
        <w:t xml:space="preserve">Board </w:t>
      </w:r>
      <w:r w:rsidRPr="007F17BB">
        <w:rPr>
          <w:lang w:val="en-GB"/>
        </w:rPr>
        <w:t>failed to</w:t>
      </w:r>
      <w:r w:rsidRPr="007F17BB">
        <w:t xml:space="preserve"> consider his close connection to Denmark. Pursuant to </w:t>
      </w:r>
      <w:r w:rsidRPr="007F17BB">
        <w:rPr>
          <w:lang w:val="en-GB"/>
        </w:rPr>
        <w:t>section</w:t>
      </w:r>
      <w:r w:rsidRPr="007F17BB">
        <w:t xml:space="preserve"> 26 </w:t>
      </w:r>
      <w:r w:rsidRPr="007F17BB">
        <w:rPr>
          <w:lang w:val="en-GB"/>
        </w:rPr>
        <w:t>of</w:t>
      </w:r>
      <w:r w:rsidRPr="007F17BB">
        <w:t xml:space="preserve"> the Aliens Act, </w:t>
      </w:r>
      <w:r>
        <w:t xml:space="preserve">if </w:t>
      </w:r>
      <w:r w:rsidRPr="007F17BB">
        <w:rPr>
          <w:lang w:val="en-GB"/>
        </w:rPr>
        <w:t>a</w:t>
      </w:r>
      <w:r w:rsidRPr="007F17BB">
        <w:t xml:space="preserve"> person has a close </w:t>
      </w:r>
      <w:r w:rsidRPr="007F17BB">
        <w:rPr>
          <w:lang w:val="en-US"/>
        </w:rPr>
        <w:t>connection</w:t>
      </w:r>
      <w:r w:rsidRPr="007F17BB">
        <w:rPr>
          <w:lang w:val="en-GB"/>
        </w:rPr>
        <w:t xml:space="preserve"> to</w:t>
      </w:r>
      <w:r w:rsidRPr="007F17BB">
        <w:t xml:space="preserve"> Denmark</w:t>
      </w:r>
      <w:r w:rsidR="000E29F5" w:rsidRPr="00760D0A">
        <w:rPr>
          <w:lang w:val="en-US"/>
        </w:rPr>
        <w:t>, that fact</w:t>
      </w:r>
      <w:r w:rsidRPr="007F17BB">
        <w:t xml:space="preserve"> must be </w:t>
      </w:r>
      <w:r w:rsidR="000E29F5" w:rsidRPr="00760D0A">
        <w:rPr>
          <w:lang w:val="en-US"/>
        </w:rPr>
        <w:t xml:space="preserve">take into account in </w:t>
      </w:r>
      <w:r w:rsidRPr="007F17BB">
        <w:t>consider</w:t>
      </w:r>
      <w:r w:rsidR="000E29F5" w:rsidRPr="00760D0A">
        <w:rPr>
          <w:lang w:val="en-US"/>
        </w:rPr>
        <w:t>ing</w:t>
      </w:r>
      <w:r w:rsidRPr="007F17BB">
        <w:t xml:space="preserve"> whether </w:t>
      </w:r>
      <w:r w:rsidRPr="007F17BB">
        <w:rPr>
          <w:lang w:val="en-GB"/>
        </w:rPr>
        <w:t>he</w:t>
      </w:r>
      <w:r w:rsidR="000E29F5">
        <w:rPr>
          <w:lang w:val="en-GB"/>
        </w:rPr>
        <w:t xml:space="preserve"> or </w:t>
      </w:r>
      <w:r w:rsidRPr="007F17BB">
        <w:rPr>
          <w:lang w:val="en-GB"/>
        </w:rPr>
        <w:t>she</w:t>
      </w:r>
      <w:r w:rsidRPr="007F17BB">
        <w:t xml:space="preserve"> should be allowed to stay</w:t>
      </w:r>
      <w:r w:rsidRPr="007F17BB">
        <w:rPr>
          <w:lang w:val="en-GB"/>
        </w:rPr>
        <w:t>.</w:t>
      </w:r>
      <w:r w:rsidRPr="007F17BB">
        <w:t xml:space="preserve"> Furthermore</w:t>
      </w:r>
      <w:r w:rsidR="000E29F5" w:rsidRPr="00760D0A">
        <w:rPr>
          <w:lang w:val="en-US"/>
        </w:rPr>
        <w:t>,</w:t>
      </w:r>
      <w:r w:rsidRPr="007F17BB">
        <w:t xml:space="preserve"> the </w:t>
      </w:r>
      <w:r w:rsidRPr="007F17BB">
        <w:rPr>
          <w:lang w:val="en-GB"/>
        </w:rPr>
        <w:t>author</w:t>
      </w:r>
      <w:r w:rsidRPr="007F17BB">
        <w:t xml:space="preserve"> does not have any </w:t>
      </w:r>
      <w:r w:rsidRPr="007F17BB">
        <w:rPr>
          <w:lang w:val="en-GB"/>
        </w:rPr>
        <w:t>relations</w:t>
      </w:r>
      <w:r w:rsidRPr="007F17BB">
        <w:t xml:space="preserve"> left in Somalia. </w:t>
      </w:r>
      <w:r w:rsidRPr="007F17BB">
        <w:rPr>
          <w:lang w:val="en-GB"/>
        </w:rPr>
        <w:t>He argue</w:t>
      </w:r>
      <w:r w:rsidR="000E29F5">
        <w:rPr>
          <w:lang w:val="en-GB"/>
        </w:rPr>
        <w:t>s</w:t>
      </w:r>
      <w:r>
        <w:t xml:space="preserve"> that the </w:t>
      </w:r>
      <w:r w:rsidRPr="007F17BB">
        <w:rPr>
          <w:lang w:val="en-GB"/>
        </w:rPr>
        <w:t xml:space="preserve">State party </w:t>
      </w:r>
      <w:r w:rsidR="000E29F5">
        <w:rPr>
          <w:lang w:val="en-GB"/>
        </w:rPr>
        <w:t xml:space="preserve">would </w:t>
      </w:r>
      <w:r w:rsidRPr="007F17BB">
        <w:rPr>
          <w:lang w:val="en-GB"/>
        </w:rPr>
        <w:t xml:space="preserve">violate </w:t>
      </w:r>
      <w:r>
        <w:rPr>
          <w:lang w:val="en-GB"/>
        </w:rPr>
        <w:t xml:space="preserve">section 26 of the </w:t>
      </w:r>
      <w:r w:rsidRPr="007F17BB">
        <w:t xml:space="preserve">Aliens Act and article 8 </w:t>
      </w:r>
      <w:r w:rsidRPr="007F17BB">
        <w:rPr>
          <w:lang w:val="en-GB"/>
        </w:rPr>
        <w:t>of the European Convention</w:t>
      </w:r>
      <w:r w:rsidR="000E29F5">
        <w:rPr>
          <w:lang w:val="en-GB"/>
        </w:rPr>
        <w:t xml:space="preserve"> on Human Rights</w:t>
      </w:r>
      <w:r w:rsidRPr="007F17BB">
        <w:t xml:space="preserve">. </w:t>
      </w:r>
    </w:p>
    <w:p w:rsidR="007F17BB" w:rsidRPr="007F17BB" w:rsidRDefault="007F17BB" w:rsidP="00760D0A">
      <w:pPr>
        <w:pStyle w:val="SingleTxtG"/>
        <w:spacing w:line="220" w:lineRule="atLeast"/>
      </w:pPr>
      <w:r w:rsidRPr="007F17BB">
        <w:rPr>
          <w:lang w:val="en-GB"/>
        </w:rPr>
        <w:t>5.3</w:t>
      </w:r>
      <w:r w:rsidRPr="007F17BB">
        <w:rPr>
          <w:lang w:val="en-GB"/>
        </w:rPr>
        <w:tab/>
      </w:r>
      <w:r w:rsidRPr="007F17BB">
        <w:t xml:space="preserve">The author </w:t>
      </w:r>
      <w:r w:rsidRPr="007F17BB">
        <w:rPr>
          <w:lang w:val="en-GB"/>
        </w:rPr>
        <w:t>submit</w:t>
      </w:r>
      <w:r w:rsidR="000E29F5">
        <w:rPr>
          <w:lang w:val="en-GB"/>
        </w:rPr>
        <w:t>s</w:t>
      </w:r>
      <w:r w:rsidRPr="007F17BB">
        <w:rPr>
          <w:lang w:val="en-GB"/>
        </w:rPr>
        <w:t xml:space="preserve"> that after </w:t>
      </w:r>
      <w:proofErr w:type="spellStart"/>
      <w:r w:rsidRPr="007F17BB">
        <w:rPr>
          <w:lang w:val="en-GB"/>
        </w:rPr>
        <w:t>i</w:t>
      </w:r>
      <w:r w:rsidRPr="007F17BB">
        <w:t>nterim</w:t>
      </w:r>
      <w:proofErr w:type="spellEnd"/>
      <w:r w:rsidRPr="007F17BB">
        <w:t xml:space="preserve"> </w:t>
      </w:r>
      <w:r w:rsidRPr="007F17BB">
        <w:rPr>
          <w:lang w:val="en-GB"/>
        </w:rPr>
        <w:t>m</w:t>
      </w:r>
      <w:proofErr w:type="spellStart"/>
      <w:r w:rsidRPr="007F17BB">
        <w:t>easures</w:t>
      </w:r>
      <w:proofErr w:type="spellEnd"/>
      <w:r w:rsidRPr="007F17BB">
        <w:t xml:space="preserve"> </w:t>
      </w:r>
      <w:r w:rsidRPr="007F17BB">
        <w:rPr>
          <w:lang w:val="en-GB"/>
        </w:rPr>
        <w:t xml:space="preserve">were granted by </w:t>
      </w:r>
      <w:r w:rsidRPr="007F17BB">
        <w:t>the Committee,</w:t>
      </w:r>
      <w:r w:rsidRPr="007F17BB">
        <w:rPr>
          <w:lang w:val="en-GB"/>
        </w:rPr>
        <w:t xml:space="preserve"> he started studying in </w:t>
      </w:r>
      <w:r w:rsidR="000332A2">
        <w:rPr>
          <w:lang w:val="en-GB"/>
        </w:rPr>
        <w:t xml:space="preserve">a </w:t>
      </w:r>
      <w:r w:rsidR="000332A2">
        <w:t>school</w:t>
      </w:r>
      <w:r w:rsidR="000E29F5" w:rsidRPr="00760D0A">
        <w:rPr>
          <w:lang w:val="en-US"/>
        </w:rPr>
        <w:t xml:space="preserve"> that</w:t>
      </w:r>
      <w:r w:rsidRPr="007F17BB">
        <w:t xml:space="preserve"> offer</w:t>
      </w:r>
      <w:r w:rsidR="000332A2" w:rsidRPr="000332A2">
        <w:rPr>
          <w:lang w:val="en-GB"/>
        </w:rPr>
        <w:t>ed</w:t>
      </w:r>
      <w:r w:rsidRPr="007F17BB">
        <w:t xml:space="preserve"> </w:t>
      </w:r>
      <w:r w:rsidR="000E29F5" w:rsidRPr="00760D0A">
        <w:rPr>
          <w:lang w:val="en-US"/>
        </w:rPr>
        <w:t xml:space="preserve">a range of </w:t>
      </w:r>
      <w:r w:rsidRPr="007F17BB">
        <w:t>different classes for</w:t>
      </w:r>
      <w:r w:rsidR="00192967" w:rsidRPr="002623B4">
        <w:rPr>
          <w:lang w:val="en-GB"/>
        </w:rPr>
        <w:t xml:space="preserve"> young adults</w:t>
      </w:r>
      <w:r w:rsidRPr="007F17BB">
        <w:t xml:space="preserve">. He </w:t>
      </w:r>
      <w:r w:rsidR="000332A2" w:rsidRPr="000332A2">
        <w:rPr>
          <w:lang w:val="en-GB"/>
        </w:rPr>
        <w:t>obtained a</w:t>
      </w:r>
      <w:r w:rsidRPr="007F17BB">
        <w:t xml:space="preserve"> driving </w:t>
      </w:r>
      <w:proofErr w:type="spellStart"/>
      <w:r w:rsidRPr="007F17BB">
        <w:t>licen</w:t>
      </w:r>
      <w:r w:rsidR="000E29F5" w:rsidRPr="00760D0A">
        <w:rPr>
          <w:lang w:val="en-US"/>
        </w:rPr>
        <w:t>c</w:t>
      </w:r>
      <w:proofErr w:type="spellEnd"/>
      <w:r w:rsidRPr="007F17BB">
        <w:t>e</w:t>
      </w:r>
      <w:r w:rsidR="000332A2" w:rsidRPr="000332A2">
        <w:rPr>
          <w:lang w:val="en-GB"/>
        </w:rPr>
        <w:t>.</w:t>
      </w:r>
      <w:r w:rsidR="000332A2">
        <w:rPr>
          <w:lang w:val="en-GB"/>
        </w:rPr>
        <w:t xml:space="preserve"> M</w:t>
      </w:r>
      <w:proofErr w:type="spellStart"/>
      <w:r w:rsidRPr="007F17BB">
        <w:t>ost</w:t>
      </w:r>
      <w:proofErr w:type="spellEnd"/>
      <w:r w:rsidRPr="007F17BB">
        <w:t xml:space="preserve"> important</w:t>
      </w:r>
      <w:r w:rsidR="000332A2" w:rsidRPr="000332A2">
        <w:rPr>
          <w:lang w:val="en-GB"/>
        </w:rPr>
        <w:t>ly,</w:t>
      </w:r>
      <w:r w:rsidRPr="007F17BB">
        <w:t xml:space="preserve"> he </w:t>
      </w:r>
      <w:r w:rsidR="000332A2" w:rsidRPr="000332A2">
        <w:rPr>
          <w:lang w:val="en-GB"/>
        </w:rPr>
        <w:t>was</w:t>
      </w:r>
      <w:r w:rsidRPr="007F17BB">
        <w:t xml:space="preserve"> reunited with his family and friends. He has integrated in</w:t>
      </w:r>
      <w:r w:rsidR="000E29F5" w:rsidRPr="00760D0A">
        <w:rPr>
          <w:lang w:val="en-US"/>
        </w:rPr>
        <w:t>to</w:t>
      </w:r>
      <w:r w:rsidRPr="007F17BB">
        <w:t xml:space="preserve"> Danish society and is now no different from other Danish young adults. </w:t>
      </w:r>
      <w:r w:rsidR="000332A2" w:rsidRPr="000332A2">
        <w:rPr>
          <w:lang w:val="en-GB"/>
        </w:rPr>
        <w:t xml:space="preserve">He </w:t>
      </w:r>
      <w:r w:rsidR="00680805" w:rsidRPr="000332A2">
        <w:rPr>
          <w:lang w:val="en-GB"/>
        </w:rPr>
        <w:t>maintain</w:t>
      </w:r>
      <w:r w:rsidR="000E29F5">
        <w:rPr>
          <w:lang w:val="en-GB"/>
        </w:rPr>
        <w:t>s</w:t>
      </w:r>
      <w:r w:rsidR="000332A2" w:rsidRPr="000332A2">
        <w:rPr>
          <w:lang w:val="en-GB"/>
        </w:rPr>
        <w:t xml:space="preserve"> that </w:t>
      </w:r>
      <w:r w:rsidR="000E29F5">
        <w:rPr>
          <w:lang w:val="en-GB"/>
        </w:rPr>
        <w:t xml:space="preserve">his </w:t>
      </w:r>
      <w:r w:rsidR="000332A2" w:rsidRPr="000332A2">
        <w:rPr>
          <w:lang w:val="en-GB"/>
        </w:rPr>
        <w:t>deport</w:t>
      </w:r>
      <w:r w:rsidR="000E29F5">
        <w:rPr>
          <w:lang w:val="en-GB"/>
        </w:rPr>
        <w:t>ation</w:t>
      </w:r>
      <w:r w:rsidR="000332A2" w:rsidRPr="000332A2">
        <w:rPr>
          <w:lang w:val="en-GB"/>
        </w:rPr>
        <w:t xml:space="preserve"> would constitute a </w:t>
      </w:r>
      <w:r w:rsidRPr="007F17BB">
        <w:t xml:space="preserve">severe violation </w:t>
      </w:r>
      <w:r w:rsidR="000332A2" w:rsidRPr="000332A2">
        <w:rPr>
          <w:lang w:val="en-GB"/>
        </w:rPr>
        <w:t xml:space="preserve">of </w:t>
      </w:r>
      <w:r w:rsidR="000332A2">
        <w:rPr>
          <w:lang w:val="en-GB"/>
        </w:rPr>
        <w:t xml:space="preserve">article </w:t>
      </w:r>
      <w:r w:rsidRPr="007F17BB">
        <w:t>8</w:t>
      </w:r>
      <w:r w:rsidR="000332A2">
        <w:rPr>
          <w:lang w:val="en-GB"/>
        </w:rPr>
        <w:t xml:space="preserve"> of the E</w:t>
      </w:r>
      <w:r w:rsidR="000332A2" w:rsidRPr="000332A2">
        <w:rPr>
          <w:lang w:val="en-GB"/>
        </w:rPr>
        <w:t>uropean</w:t>
      </w:r>
      <w:r w:rsidR="000332A2">
        <w:rPr>
          <w:lang w:val="en-GB"/>
        </w:rPr>
        <w:t xml:space="preserve"> Convention</w:t>
      </w:r>
      <w:r w:rsidR="000E29F5" w:rsidRPr="000E29F5">
        <w:rPr>
          <w:lang w:val="en-GB"/>
        </w:rPr>
        <w:t xml:space="preserve"> </w:t>
      </w:r>
      <w:r w:rsidR="000E29F5">
        <w:rPr>
          <w:lang w:val="en-GB"/>
        </w:rPr>
        <w:t>on Human Rights</w:t>
      </w:r>
      <w:r w:rsidRPr="007F17BB">
        <w:t xml:space="preserve">. </w:t>
      </w:r>
      <w:r w:rsidR="000E29F5" w:rsidRPr="00760D0A">
        <w:rPr>
          <w:lang w:val="en-US"/>
        </w:rPr>
        <w:t>H</w:t>
      </w:r>
      <w:proofErr w:type="spellStart"/>
      <w:r w:rsidRPr="007F17BB">
        <w:t>e</w:t>
      </w:r>
      <w:proofErr w:type="spellEnd"/>
      <w:r w:rsidRPr="007F17BB">
        <w:t xml:space="preserve"> has no family </w:t>
      </w:r>
      <w:r w:rsidR="000E29F5" w:rsidRPr="00760D0A">
        <w:rPr>
          <w:lang w:val="en-US"/>
        </w:rPr>
        <w:t xml:space="preserve">in Somalia </w:t>
      </w:r>
      <w:r w:rsidRPr="007F17BB">
        <w:t xml:space="preserve">and </w:t>
      </w:r>
      <w:r w:rsidR="000E29F5" w:rsidRPr="00760D0A">
        <w:rPr>
          <w:lang w:val="en-US"/>
        </w:rPr>
        <w:t>would</w:t>
      </w:r>
      <w:r w:rsidR="000E29F5" w:rsidRPr="007F17BB">
        <w:t xml:space="preserve"> </w:t>
      </w:r>
      <w:r w:rsidRPr="007F17BB">
        <w:t xml:space="preserve">be living in constant fear of </w:t>
      </w:r>
      <w:r w:rsidR="005833BB">
        <w:rPr>
          <w:lang w:val="en-GB"/>
        </w:rPr>
        <w:t>A</w:t>
      </w:r>
      <w:r w:rsidRPr="007F17BB">
        <w:t>l-</w:t>
      </w:r>
      <w:proofErr w:type="spellStart"/>
      <w:r w:rsidRPr="007F17BB">
        <w:t>Shabaab</w:t>
      </w:r>
      <w:proofErr w:type="spellEnd"/>
      <w:r w:rsidRPr="007F17BB">
        <w:t>.</w:t>
      </w:r>
      <w:r w:rsidR="009423E6">
        <w:t xml:space="preserve"> </w:t>
      </w:r>
      <w:r w:rsidR="000332A2" w:rsidRPr="000332A2">
        <w:rPr>
          <w:lang w:val="en-GB"/>
        </w:rPr>
        <w:t xml:space="preserve">He </w:t>
      </w:r>
      <w:r w:rsidR="000E29F5">
        <w:rPr>
          <w:lang w:val="en-GB"/>
        </w:rPr>
        <w:t xml:space="preserve">also </w:t>
      </w:r>
      <w:r w:rsidR="000332A2" w:rsidRPr="000332A2">
        <w:rPr>
          <w:lang w:val="en-US"/>
        </w:rPr>
        <w:t>maintain</w:t>
      </w:r>
      <w:r w:rsidR="000E29F5">
        <w:rPr>
          <w:lang w:val="en-US"/>
        </w:rPr>
        <w:t>s</w:t>
      </w:r>
      <w:r w:rsidR="000332A2" w:rsidRPr="000332A2">
        <w:rPr>
          <w:lang w:val="en-GB"/>
        </w:rPr>
        <w:t xml:space="preserve"> that </w:t>
      </w:r>
      <w:proofErr w:type="spellStart"/>
      <w:r w:rsidR="000332A2" w:rsidRPr="000332A2">
        <w:rPr>
          <w:lang w:val="en-GB"/>
        </w:rPr>
        <w:t>t</w:t>
      </w:r>
      <w:r w:rsidRPr="007F17BB">
        <w:t>he</w:t>
      </w:r>
      <w:proofErr w:type="spellEnd"/>
      <w:r w:rsidRPr="007F17BB">
        <w:t xml:space="preserve"> current conditions in Somalia for people who have </w:t>
      </w:r>
      <w:r w:rsidR="00680805" w:rsidRPr="00680805">
        <w:rPr>
          <w:lang w:val="en-GB"/>
        </w:rPr>
        <w:t>refused to join</w:t>
      </w:r>
      <w:r w:rsidRPr="007F17BB">
        <w:t xml:space="preserve"> </w:t>
      </w:r>
      <w:r w:rsidR="005833BB" w:rsidRPr="004D2942">
        <w:rPr>
          <w:lang w:val="en-GB"/>
        </w:rPr>
        <w:t>A</w:t>
      </w:r>
      <w:r w:rsidRPr="007F17BB">
        <w:t>l-</w:t>
      </w:r>
      <w:proofErr w:type="spellStart"/>
      <w:r w:rsidRPr="007F17BB">
        <w:t>Shabaab</w:t>
      </w:r>
      <w:proofErr w:type="spellEnd"/>
      <w:r w:rsidR="000332A2" w:rsidRPr="000332A2">
        <w:rPr>
          <w:lang w:val="en-GB"/>
        </w:rPr>
        <w:t xml:space="preserve"> </w:t>
      </w:r>
      <w:r w:rsidR="000E29F5">
        <w:rPr>
          <w:lang w:val="en-GB"/>
        </w:rPr>
        <w:t>a</w:t>
      </w:r>
      <w:r w:rsidR="000332A2" w:rsidRPr="000332A2">
        <w:rPr>
          <w:lang w:val="en-GB"/>
        </w:rPr>
        <w:t>re</w:t>
      </w:r>
      <w:r w:rsidR="000332A2">
        <w:t xml:space="preserve"> of such character </w:t>
      </w:r>
      <w:r w:rsidR="000E29F5" w:rsidRPr="00760D0A">
        <w:rPr>
          <w:lang w:val="en-US"/>
        </w:rPr>
        <w:t xml:space="preserve">as to </w:t>
      </w:r>
      <w:r w:rsidR="000E29F5">
        <w:rPr>
          <w:lang w:val="en-US"/>
        </w:rPr>
        <w:t>place him at</w:t>
      </w:r>
      <w:r w:rsidRPr="007F17BB">
        <w:t xml:space="preserve"> real risk </w:t>
      </w:r>
      <w:r w:rsidR="000E29F5" w:rsidRPr="00760D0A">
        <w:rPr>
          <w:lang w:val="en-US"/>
        </w:rPr>
        <w:t>of</w:t>
      </w:r>
      <w:r w:rsidR="000332A2" w:rsidRPr="000332A2">
        <w:rPr>
          <w:lang w:val="en-GB"/>
        </w:rPr>
        <w:t xml:space="preserve"> be</w:t>
      </w:r>
      <w:r w:rsidR="000E29F5">
        <w:rPr>
          <w:lang w:val="en-GB"/>
        </w:rPr>
        <w:t>ing</w:t>
      </w:r>
      <w:r w:rsidR="000332A2" w:rsidRPr="000332A2">
        <w:rPr>
          <w:lang w:val="en-GB"/>
        </w:rPr>
        <w:t xml:space="preserve"> exposed to torture.</w:t>
      </w:r>
      <w:r w:rsidR="000332A2">
        <w:rPr>
          <w:lang w:val="en-GB"/>
        </w:rPr>
        <w:t xml:space="preserve"> He argue</w:t>
      </w:r>
      <w:r w:rsidR="000E29F5">
        <w:rPr>
          <w:lang w:val="en-GB"/>
        </w:rPr>
        <w:t>s</w:t>
      </w:r>
      <w:r w:rsidR="000332A2">
        <w:rPr>
          <w:lang w:val="en-GB"/>
        </w:rPr>
        <w:t xml:space="preserve"> that the State party </w:t>
      </w:r>
      <w:r w:rsidR="00680805">
        <w:rPr>
          <w:lang w:val="en-GB"/>
        </w:rPr>
        <w:t>ha</w:t>
      </w:r>
      <w:r w:rsidR="000E29F5">
        <w:rPr>
          <w:lang w:val="en-GB"/>
        </w:rPr>
        <w:t>s</w:t>
      </w:r>
      <w:r w:rsidR="00680805">
        <w:rPr>
          <w:lang w:val="en-GB"/>
        </w:rPr>
        <w:t xml:space="preserve"> </w:t>
      </w:r>
      <w:r w:rsidR="000332A2">
        <w:rPr>
          <w:lang w:val="en-GB"/>
        </w:rPr>
        <w:t xml:space="preserve">failed to establish why he should not be </w:t>
      </w:r>
      <w:r w:rsidRPr="007F17BB">
        <w:t>granted</w:t>
      </w:r>
      <w:r w:rsidR="000332A2">
        <w:t xml:space="preserve"> asylum</w:t>
      </w:r>
      <w:r w:rsidR="000332A2" w:rsidRPr="000332A2">
        <w:rPr>
          <w:lang w:val="en-GB"/>
        </w:rPr>
        <w:t xml:space="preserve"> and reiterate</w:t>
      </w:r>
      <w:r w:rsidR="000E29F5">
        <w:rPr>
          <w:lang w:val="en-GB"/>
        </w:rPr>
        <w:t>s</w:t>
      </w:r>
      <w:r w:rsidR="000332A2" w:rsidRPr="000332A2">
        <w:rPr>
          <w:lang w:val="en-GB"/>
        </w:rPr>
        <w:t xml:space="preserve"> that </w:t>
      </w:r>
      <w:r w:rsidR="000E29F5">
        <w:rPr>
          <w:lang w:val="en-GB"/>
        </w:rPr>
        <w:t>his</w:t>
      </w:r>
      <w:r w:rsidR="000E29F5" w:rsidRPr="000332A2">
        <w:rPr>
          <w:lang w:val="en-GB"/>
        </w:rPr>
        <w:t xml:space="preserve"> </w:t>
      </w:r>
      <w:r w:rsidR="000332A2" w:rsidRPr="000332A2">
        <w:rPr>
          <w:lang w:val="en-GB"/>
        </w:rPr>
        <w:t xml:space="preserve">planned </w:t>
      </w:r>
      <w:r w:rsidRPr="007F17BB">
        <w:t>deportation</w:t>
      </w:r>
      <w:r w:rsidR="000332A2" w:rsidRPr="000332A2">
        <w:rPr>
          <w:lang w:val="en-GB"/>
        </w:rPr>
        <w:t xml:space="preserve"> would </w:t>
      </w:r>
      <w:r w:rsidRPr="007F17BB">
        <w:t>violate</w:t>
      </w:r>
      <w:r w:rsidR="000332A2">
        <w:rPr>
          <w:lang w:val="en-GB"/>
        </w:rPr>
        <w:t xml:space="preserve"> his right</w:t>
      </w:r>
      <w:r w:rsidR="000332A2" w:rsidRPr="000332A2">
        <w:rPr>
          <w:lang w:val="en-GB"/>
        </w:rPr>
        <w:t>s</w:t>
      </w:r>
      <w:r w:rsidR="000332A2">
        <w:rPr>
          <w:lang w:val="en-GB"/>
        </w:rPr>
        <w:t xml:space="preserve"> </w:t>
      </w:r>
      <w:r w:rsidR="000332A2" w:rsidRPr="000332A2">
        <w:rPr>
          <w:lang w:val="en-GB"/>
        </w:rPr>
        <w:t>under artic</w:t>
      </w:r>
      <w:r w:rsidR="000332A2">
        <w:rPr>
          <w:lang w:val="en-GB"/>
        </w:rPr>
        <w:t>le 7 of the Covenant</w:t>
      </w:r>
      <w:r w:rsidRPr="007F17BB">
        <w:t>.</w:t>
      </w:r>
    </w:p>
    <w:p w:rsidR="00D7111B" w:rsidRPr="00760D0A" w:rsidRDefault="00675A40" w:rsidP="00760D0A">
      <w:pPr>
        <w:pStyle w:val="H23G"/>
      </w:pPr>
      <w:r>
        <w:rPr>
          <w:lang w:val="en-US"/>
        </w:rPr>
        <w:tab/>
      </w:r>
      <w:r>
        <w:rPr>
          <w:lang w:val="en-US"/>
        </w:rPr>
        <w:tab/>
      </w:r>
      <w:r w:rsidR="00D7111B">
        <w:rPr>
          <w:lang w:val="en-US"/>
        </w:rPr>
        <w:t xml:space="preserve">State party’s further </w:t>
      </w:r>
      <w:r w:rsidR="00D7111B" w:rsidRPr="009423E6">
        <w:t>observations</w:t>
      </w:r>
    </w:p>
    <w:p w:rsidR="007F17BB" w:rsidRPr="007F17BB" w:rsidRDefault="00D7111B" w:rsidP="00760D0A">
      <w:pPr>
        <w:pStyle w:val="SingleTxtG"/>
        <w:spacing w:line="220" w:lineRule="atLeast"/>
        <w:rPr>
          <w:lang w:val="en-GB"/>
        </w:rPr>
      </w:pPr>
      <w:r>
        <w:rPr>
          <w:lang w:val="en-US"/>
        </w:rPr>
        <w:t>6.1</w:t>
      </w:r>
      <w:r>
        <w:rPr>
          <w:lang w:val="en-US"/>
        </w:rPr>
        <w:tab/>
      </w:r>
      <w:r w:rsidR="000E29F5">
        <w:rPr>
          <w:lang w:val="en-US"/>
        </w:rPr>
        <w:t>In its observations dated</w:t>
      </w:r>
      <w:r w:rsidR="000332A2">
        <w:rPr>
          <w:lang w:val="en-US"/>
        </w:rPr>
        <w:t xml:space="preserve"> 28 October 201</w:t>
      </w:r>
      <w:r w:rsidR="004043B0">
        <w:rPr>
          <w:lang w:val="en-US"/>
        </w:rPr>
        <w:t>5</w:t>
      </w:r>
      <w:r w:rsidR="000332A2">
        <w:rPr>
          <w:lang w:val="en-US"/>
        </w:rPr>
        <w:t>, the State party submit</w:t>
      </w:r>
      <w:r w:rsidR="000E29F5">
        <w:rPr>
          <w:lang w:val="en-US"/>
        </w:rPr>
        <w:t>s</w:t>
      </w:r>
      <w:r w:rsidR="000332A2">
        <w:rPr>
          <w:lang w:val="en-US"/>
        </w:rPr>
        <w:t xml:space="preserve"> </w:t>
      </w:r>
      <w:r w:rsidR="007F17BB" w:rsidRPr="007F17BB">
        <w:rPr>
          <w:lang w:val="en-US"/>
        </w:rPr>
        <w:t xml:space="preserve">that the </w:t>
      </w:r>
      <w:r w:rsidR="000332A2" w:rsidRPr="007F17BB">
        <w:rPr>
          <w:lang w:val="en-US"/>
        </w:rPr>
        <w:t xml:space="preserve">author’s </w:t>
      </w:r>
      <w:r w:rsidR="007F17BB" w:rsidRPr="007F17BB">
        <w:rPr>
          <w:lang w:val="en-US"/>
        </w:rPr>
        <w:t>submission of 24 September 2015 do</w:t>
      </w:r>
      <w:r w:rsidR="00680805">
        <w:rPr>
          <w:lang w:val="en-US"/>
        </w:rPr>
        <w:t>es</w:t>
      </w:r>
      <w:r w:rsidR="007F17BB" w:rsidRPr="007F17BB">
        <w:rPr>
          <w:lang w:val="en-US"/>
        </w:rPr>
        <w:t xml:space="preserve"> not give rise to any further comments by the </w:t>
      </w:r>
      <w:r w:rsidR="000332A2">
        <w:rPr>
          <w:lang w:val="en-US"/>
        </w:rPr>
        <w:t xml:space="preserve">State party. It </w:t>
      </w:r>
      <w:r w:rsidR="007F17BB" w:rsidRPr="007F17BB">
        <w:rPr>
          <w:lang w:val="en-US"/>
        </w:rPr>
        <w:t>reiterate</w:t>
      </w:r>
      <w:r w:rsidR="000E29F5">
        <w:rPr>
          <w:lang w:val="en-US"/>
        </w:rPr>
        <w:t>s</w:t>
      </w:r>
      <w:r w:rsidR="007F17BB" w:rsidRPr="007F17BB">
        <w:rPr>
          <w:lang w:val="en-US"/>
        </w:rPr>
        <w:t xml:space="preserve"> that t</w:t>
      </w:r>
      <w:r w:rsidR="007F17BB" w:rsidRPr="007F17BB">
        <w:rPr>
          <w:lang w:val="en-GB"/>
        </w:rPr>
        <w:t xml:space="preserve">he author’s claim of an alleged violation of </w:t>
      </w:r>
      <w:r w:rsidR="000332A2">
        <w:rPr>
          <w:lang w:val="en-GB"/>
        </w:rPr>
        <w:t>a</w:t>
      </w:r>
      <w:r w:rsidR="007F17BB" w:rsidRPr="007F17BB">
        <w:rPr>
          <w:lang w:val="en-GB"/>
        </w:rPr>
        <w:t>rticle 8 of the E</w:t>
      </w:r>
      <w:r w:rsidR="000332A2">
        <w:rPr>
          <w:lang w:val="en-GB"/>
        </w:rPr>
        <w:t xml:space="preserve">uropean </w:t>
      </w:r>
      <w:r w:rsidR="007F17BB" w:rsidRPr="007F17BB">
        <w:rPr>
          <w:lang w:val="en-GB"/>
        </w:rPr>
        <w:t>C</w:t>
      </w:r>
      <w:r w:rsidR="000332A2">
        <w:rPr>
          <w:lang w:val="en-GB"/>
        </w:rPr>
        <w:t>onvention</w:t>
      </w:r>
      <w:r w:rsidR="000E29F5" w:rsidRPr="000E29F5">
        <w:rPr>
          <w:lang w:val="en-GB"/>
        </w:rPr>
        <w:t xml:space="preserve"> </w:t>
      </w:r>
      <w:r w:rsidR="000E29F5">
        <w:rPr>
          <w:lang w:val="en-GB"/>
        </w:rPr>
        <w:t>on Human Rights</w:t>
      </w:r>
      <w:r w:rsidR="000332A2">
        <w:rPr>
          <w:lang w:val="en-GB"/>
        </w:rPr>
        <w:t xml:space="preserve"> </w:t>
      </w:r>
      <w:r w:rsidR="007F17BB" w:rsidRPr="007F17BB">
        <w:rPr>
          <w:lang w:val="en-GB"/>
        </w:rPr>
        <w:t>does not concern the C</w:t>
      </w:r>
      <w:r w:rsidR="000332A2">
        <w:rPr>
          <w:lang w:val="en-GB"/>
        </w:rPr>
        <w:t>ovenant</w:t>
      </w:r>
      <w:r w:rsidR="007F17BB" w:rsidRPr="007F17BB">
        <w:rPr>
          <w:lang w:val="en-GB"/>
        </w:rPr>
        <w:t xml:space="preserve"> and therefore falls outside the scope of competence of the Committee as set out in </w:t>
      </w:r>
      <w:r w:rsidR="000332A2">
        <w:rPr>
          <w:lang w:val="en-GB"/>
        </w:rPr>
        <w:t>a</w:t>
      </w:r>
      <w:r w:rsidR="007F17BB" w:rsidRPr="007F17BB">
        <w:rPr>
          <w:lang w:val="en-GB"/>
        </w:rPr>
        <w:t>rticle 3 of the Optional Protocol</w:t>
      </w:r>
      <w:r w:rsidR="000332A2">
        <w:rPr>
          <w:lang w:val="en-GB"/>
        </w:rPr>
        <w:t>. It also reiterate</w:t>
      </w:r>
      <w:r w:rsidR="000E29F5">
        <w:rPr>
          <w:lang w:val="en-GB"/>
        </w:rPr>
        <w:t>s</w:t>
      </w:r>
      <w:r w:rsidR="000332A2">
        <w:rPr>
          <w:lang w:val="en-GB"/>
        </w:rPr>
        <w:t xml:space="preserve"> that</w:t>
      </w:r>
      <w:r w:rsidR="007F17BB" w:rsidRPr="007F17BB">
        <w:rPr>
          <w:lang w:val="en-GB"/>
        </w:rPr>
        <w:t xml:space="preserve"> section 26 of the Aliens Act does </w:t>
      </w:r>
      <w:r w:rsidR="007F17BB" w:rsidRPr="00760D0A">
        <w:rPr>
          <w:lang w:val="en-GB"/>
        </w:rPr>
        <w:t>not</w:t>
      </w:r>
      <w:r w:rsidR="007F17BB" w:rsidRPr="007F17BB">
        <w:rPr>
          <w:lang w:val="en-GB"/>
        </w:rPr>
        <w:t xml:space="preserve"> apply to asylum cases falling within section 7 of th</w:t>
      </w:r>
      <w:r w:rsidR="000E29F5">
        <w:rPr>
          <w:lang w:val="en-GB"/>
        </w:rPr>
        <w:t>at</w:t>
      </w:r>
      <w:r w:rsidR="007F17BB" w:rsidRPr="007F17BB">
        <w:rPr>
          <w:lang w:val="en-GB"/>
        </w:rPr>
        <w:t xml:space="preserve"> Act. Accordingly, the provision does not apply to the author’s case.</w:t>
      </w:r>
    </w:p>
    <w:p w:rsidR="007F17BB" w:rsidRPr="007F17BB" w:rsidRDefault="000332A2" w:rsidP="00760D0A">
      <w:pPr>
        <w:pStyle w:val="SingleTxtG"/>
        <w:spacing w:line="220" w:lineRule="atLeast"/>
        <w:rPr>
          <w:lang w:val="en-GB"/>
        </w:rPr>
      </w:pPr>
      <w:r>
        <w:rPr>
          <w:lang w:val="en-US"/>
        </w:rPr>
        <w:t>6.2</w:t>
      </w:r>
      <w:r>
        <w:rPr>
          <w:lang w:val="en-US"/>
        </w:rPr>
        <w:tab/>
        <w:t xml:space="preserve">The State party </w:t>
      </w:r>
      <w:r w:rsidR="007F17BB" w:rsidRPr="007F17BB">
        <w:rPr>
          <w:lang w:val="en-US"/>
        </w:rPr>
        <w:t>maintain</w:t>
      </w:r>
      <w:r w:rsidR="000E29F5">
        <w:rPr>
          <w:lang w:val="en-US"/>
        </w:rPr>
        <w:t>s</w:t>
      </w:r>
      <w:r w:rsidR="007F17BB" w:rsidRPr="007F17BB">
        <w:rPr>
          <w:lang w:val="en-US"/>
        </w:rPr>
        <w:t xml:space="preserve"> that </w:t>
      </w:r>
      <w:r>
        <w:rPr>
          <w:lang w:val="en-GB"/>
        </w:rPr>
        <w:t xml:space="preserve">the communication </w:t>
      </w:r>
      <w:r w:rsidR="000E29F5">
        <w:rPr>
          <w:lang w:val="en-GB"/>
        </w:rPr>
        <w:t>i</w:t>
      </w:r>
      <w:r w:rsidR="007F17BB" w:rsidRPr="007F17BB">
        <w:rPr>
          <w:lang w:val="en-GB"/>
        </w:rPr>
        <w:t xml:space="preserve">s manifestly ill-founded and should be declared inadmissible. Should the Committee find the communication admissible, </w:t>
      </w:r>
      <w:r>
        <w:rPr>
          <w:lang w:val="en-GB"/>
        </w:rPr>
        <w:t>the State party</w:t>
      </w:r>
      <w:r w:rsidR="007F17BB" w:rsidRPr="007F17BB">
        <w:rPr>
          <w:lang w:val="en-GB"/>
        </w:rPr>
        <w:t xml:space="preserve"> maintain</w:t>
      </w:r>
      <w:r w:rsidR="000E29F5">
        <w:rPr>
          <w:lang w:val="en-GB"/>
        </w:rPr>
        <w:t>s</w:t>
      </w:r>
      <w:r w:rsidR="007F17BB" w:rsidRPr="007F17BB">
        <w:rPr>
          <w:lang w:val="en-GB"/>
        </w:rPr>
        <w:t xml:space="preserve"> that </w:t>
      </w:r>
      <w:r w:rsidR="007F17BB" w:rsidRPr="007F17BB">
        <w:rPr>
          <w:lang w:val="en-US"/>
        </w:rPr>
        <w:t>return</w:t>
      </w:r>
      <w:r w:rsidR="000E29F5">
        <w:rPr>
          <w:lang w:val="en-US"/>
        </w:rPr>
        <w:t>ing</w:t>
      </w:r>
      <w:r w:rsidR="007F17BB" w:rsidRPr="007F17BB">
        <w:rPr>
          <w:lang w:val="en-US"/>
        </w:rPr>
        <w:t xml:space="preserve"> the author to </w:t>
      </w:r>
      <w:r>
        <w:rPr>
          <w:lang w:val="en-US"/>
        </w:rPr>
        <w:t>Somalia</w:t>
      </w:r>
      <w:r w:rsidR="007F17BB" w:rsidRPr="007F17BB">
        <w:rPr>
          <w:lang w:val="en-US"/>
        </w:rPr>
        <w:t xml:space="preserve"> w</w:t>
      </w:r>
      <w:r>
        <w:rPr>
          <w:lang w:val="en-US"/>
        </w:rPr>
        <w:t>ould</w:t>
      </w:r>
      <w:r w:rsidR="007F17BB" w:rsidRPr="007F17BB">
        <w:rPr>
          <w:lang w:val="en-US"/>
        </w:rPr>
        <w:t xml:space="preserve"> not constitute a violation of the provisions of the </w:t>
      </w:r>
      <w:proofErr w:type="gramStart"/>
      <w:r>
        <w:rPr>
          <w:lang w:val="en-US"/>
        </w:rPr>
        <w:t>Covenant</w:t>
      </w:r>
      <w:r w:rsidR="007F17BB" w:rsidRPr="007F17BB">
        <w:rPr>
          <w:lang w:val="en-US"/>
        </w:rPr>
        <w:t>.</w:t>
      </w:r>
      <w:proofErr w:type="gramEnd"/>
    </w:p>
    <w:p w:rsidR="00F35149" w:rsidRPr="00760D0A" w:rsidRDefault="00675A40" w:rsidP="00760D0A">
      <w:pPr>
        <w:pStyle w:val="H23G"/>
      </w:pPr>
      <w:r>
        <w:rPr>
          <w:lang w:val="en-US"/>
        </w:rPr>
        <w:tab/>
      </w:r>
      <w:r>
        <w:rPr>
          <w:lang w:val="en-US"/>
        </w:rPr>
        <w:tab/>
      </w:r>
      <w:r w:rsidR="00F35149" w:rsidRPr="006C6C87">
        <w:t xml:space="preserve">Issues and </w:t>
      </w:r>
      <w:r w:rsidR="00F35149" w:rsidRPr="009423E6">
        <w:t>proceedings</w:t>
      </w:r>
      <w:r w:rsidR="00F35149" w:rsidRPr="006C6C87">
        <w:t xml:space="preserve"> before the Committee</w:t>
      </w:r>
    </w:p>
    <w:p w:rsidR="00F35149" w:rsidRPr="00760D0A" w:rsidRDefault="00F35149" w:rsidP="00760D0A">
      <w:pPr>
        <w:pStyle w:val="H4G"/>
      </w:pPr>
      <w:r w:rsidRPr="006C6C87">
        <w:tab/>
      </w:r>
      <w:r w:rsidRPr="006C6C87">
        <w:tab/>
      </w:r>
      <w:r w:rsidRPr="00C93256">
        <w:t xml:space="preserve">Consideration of </w:t>
      </w:r>
      <w:r w:rsidRPr="009423E6">
        <w:t>admissibility</w:t>
      </w:r>
    </w:p>
    <w:p w:rsidR="00F35149" w:rsidRPr="006C6C87" w:rsidRDefault="000332A2" w:rsidP="00760D0A">
      <w:pPr>
        <w:pStyle w:val="SingleTxtG"/>
        <w:spacing w:line="220" w:lineRule="atLeast"/>
      </w:pPr>
      <w:r w:rsidRPr="000332A2">
        <w:rPr>
          <w:lang w:val="en-GB"/>
        </w:rPr>
        <w:t>7</w:t>
      </w:r>
      <w:r w:rsidR="00F35149" w:rsidRPr="006C6C87">
        <w:t>.1</w:t>
      </w:r>
      <w:r w:rsidR="00F35149" w:rsidRPr="006C6C87">
        <w:tab/>
        <w:t xml:space="preserve">Before considering </w:t>
      </w:r>
      <w:r w:rsidR="00F35149" w:rsidRPr="009423E6">
        <w:t>any</w:t>
      </w:r>
      <w:r w:rsidR="00F35149" w:rsidRPr="006C6C87">
        <w:t xml:space="preserve"> claims contained in a communication, the Committee must, in accordance with rule 93 of its rules of procedure, decide whether or not it is admissible under the Optional Protocol.</w:t>
      </w:r>
    </w:p>
    <w:p w:rsidR="00F35149" w:rsidRDefault="000332A2" w:rsidP="00760D0A">
      <w:pPr>
        <w:pStyle w:val="SingleTxtG"/>
        <w:spacing w:line="220" w:lineRule="atLeast"/>
        <w:rPr>
          <w:bCs/>
        </w:rPr>
      </w:pPr>
      <w:r w:rsidRPr="000332A2">
        <w:rPr>
          <w:bCs/>
          <w:lang w:val="en-GB"/>
        </w:rPr>
        <w:t>7</w:t>
      </w:r>
      <w:r w:rsidR="00F35149" w:rsidRPr="006C6C87">
        <w:rPr>
          <w:bCs/>
        </w:rPr>
        <w:t>.2</w:t>
      </w:r>
      <w:r w:rsidR="00F35149" w:rsidRPr="006C6C87">
        <w:rPr>
          <w:bCs/>
        </w:rPr>
        <w:tab/>
        <w:t xml:space="preserve">The Committee has ascertained, as required under article 5 </w:t>
      </w:r>
      <w:r w:rsidR="000E29F5" w:rsidRPr="00760D0A">
        <w:rPr>
          <w:bCs/>
          <w:lang w:val="en-US"/>
        </w:rPr>
        <w:t>(</w:t>
      </w:r>
      <w:r w:rsidR="00F35149" w:rsidRPr="006C6C87">
        <w:rPr>
          <w:bCs/>
        </w:rPr>
        <w:t>2</w:t>
      </w:r>
      <w:r w:rsidR="000E29F5" w:rsidRPr="00760D0A">
        <w:rPr>
          <w:bCs/>
          <w:lang w:val="en-US"/>
        </w:rPr>
        <w:t>)</w:t>
      </w:r>
      <w:r w:rsidR="00F35149" w:rsidRPr="006C6C87">
        <w:rPr>
          <w:bCs/>
        </w:rPr>
        <w:t xml:space="preserve"> (a) of the Optional Protocol, that the same matter is not being examined under another procedure of international investigation or settlement.</w:t>
      </w:r>
    </w:p>
    <w:p w:rsidR="00F81C2B" w:rsidRDefault="00F81C2B" w:rsidP="00760D0A">
      <w:pPr>
        <w:pStyle w:val="SingleTxtG"/>
        <w:spacing w:line="220" w:lineRule="atLeast"/>
      </w:pPr>
      <w:r w:rsidRPr="00F81C2B">
        <w:rPr>
          <w:lang w:val="en-GB"/>
        </w:rPr>
        <w:t>7</w:t>
      </w:r>
      <w:r w:rsidRPr="00BE6DDD">
        <w:t>.3</w:t>
      </w:r>
      <w:r w:rsidRPr="00BE6DDD">
        <w:tab/>
        <w:t xml:space="preserve">The Committee notes the author’s statement </w:t>
      </w:r>
      <w:r w:rsidR="00100F23" w:rsidRPr="00100F23">
        <w:rPr>
          <w:lang w:val="en-GB"/>
        </w:rPr>
        <w:t xml:space="preserve">that </w:t>
      </w:r>
      <w:r w:rsidR="00C56CE9" w:rsidRPr="00C56CE9">
        <w:rPr>
          <w:lang w:val="en-GB"/>
        </w:rPr>
        <w:t>his application</w:t>
      </w:r>
      <w:r w:rsidR="00100F23">
        <w:rPr>
          <w:lang w:val="en-GB"/>
        </w:rPr>
        <w:t xml:space="preserve"> for asylum and </w:t>
      </w:r>
      <w:r w:rsidR="00EE374A">
        <w:rPr>
          <w:lang w:val="en-GB"/>
        </w:rPr>
        <w:t xml:space="preserve">the </w:t>
      </w:r>
      <w:r w:rsidR="00100F23">
        <w:rPr>
          <w:lang w:val="en-GB"/>
        </w:rPr>
        <w:t>application</w:t>
      </w:r>
      <w:r w:rsidR="00C56CE9" w:rsidRPr="00C56CE9">
        <w:rPr>
          <w:lang w:val="en-GB"/>
        </w:rPr>
        <w:t xml:space="preserve"> </w:t>
      </w:r>
      <w:r w:rsidR="00C56CE9" w:rsidRPr="00A72D74">
        <w:rPr>
          <w:lang w:val="en-GB"/>
        </w:rPr>
        <w:t>requesting that his residence permit be deemed not to have lapsed</w:t>
      </w:r>
      <w:r w:rsidR="00C56CE9">
        <w:rPr>
          <w:lang w:val="en-GB"/>
        </w:rPr>
        <w:t xml:space="preserve"> </w:t>
      </w:r>
      <w:r w:rsidR="00B070DC">
        <w:rPr>
          <w:lang w:val="en-GB"/>
        </w:rPr>
        <w:t>ha</w:t>
      </w:r>
      <w:r w:rsidR="00EE374A">
        <w:rPr>
          <w:lang w:val="en-GB"/>
        </w:rPr>
        <w:t>ve</w:t>
      </w:r>
      <w:r w:rsidR="00B070DC">
        <w:rPr>
          <w:lang w:val="en-GB"/>
        </w:rPr>
        <w:t xml:space="preserve"> been rejected by the</w:t>
      </w:r>
      <w:r w:rsidR="00C56CE9" w:rsidRPr="00A72D74">
        <w:rPr>
          <w:lang w:val="en-GB"/>
        </w:rPr>
        <w:t xml:space="preserve"> Danish Immigration Service </w:t>
      </w:r>
      <w:r w:rsidR="004F607E">
        <w:rPr>
          <w:lang w:val="en-GB"/>
        </w:rPr>
        <w:t>and the Refugee Appeals Board,</w:t>
      </w:r>
      <w:r w:rsidR="00B070DC">
        <w:rPr>
          <w:lang w:val="en-GB"/>
        </w:rPr>
        <w:t xml:space="preserve"> </w:t>
      </w:r>
      <w:r w:rsidRPr="00BE6DDD">
        <w:t xml:space="preserve">that </w:t>
      </w:r>
      <w:r w:rsidR="00EE374A" w:rsidRPr="00760D0A">
        <w:rPr>
          <w:lang w:val="en-US"/>
        </w:rPr>
        <w:t xml:space="preserve">the </w:t>
      </w:r>
      <w:r w:rsidRPr="00BE6DDD">
        <w:t xml:space="preserve">decisions </w:t>
      </w:r>
      <w:r w:rsidR="00EE374A" w:rsidRPr="00760D0A">
        <w:rPr>
          <w:lang w:val="en-US"/>
        </w:rPr>
        <w:t>of</w:t>
      </w:r>
      <w:r w:rsidR="00EE374A" w:rsidRPr="00BE6DDD">
        <w:t xml:space="preserve"> </w:t>
      </w:r>
      <w:r w:rsidRPr="00BE6DDD">
        <w:t>the Board are not subject to appeal and that domestic remedies have</w:t>
      </w:r>
      <w:r w:rsidR="00EE374A" w:rsidRPr="00135975">
        <w:rPr>
          <w:lang w:val="en-US"/>
        </w:rPr>
        <w:t>,</w:t>
      </w:r>
      <w:r w:rsidR="00EE374A" w:rsidRPr="00BE6DDD">
        <w:t xml:space="preserve"> therefore</w:t>
      </w:r>
      <w:r w:rsidR="00EE374A" w:rsidRPr="00135975">
        <w:rPr>
          <w:lang w:val="en-US"/>
        </w:rPr>
        <w:t>,</w:t>
      </w:r>
      <w:r w:rsidRPr="00BE6DDD">
        <w:t xml:space="preserve"> been exhausted. This has not been challenged by the State party. </w:t>
      </w:r>
      <w:r w:rsidR="00B070DC">
        <w:rPr>
          <w:lang w:val="en-GB"/>
        </w:rPr>
        <w:t>The Committee also</w:t>
      </w:r>
      <w:r w:rsidR="00B070DC" w:rsidRPr="00B070DC">
        <w:rPr>
          <w:lang w:val="en-GB"/>
        </w:rPr>
        <w:t xml:space="preserve"> notes the State party’s submission that </w:t>
      </w:r>
      <w:r w:rsidR="00B070DC">
        <w:rPr>
          <w:lang w:val="en-GB"/>
        </w:rPr>
        <w:t>o</w:t>
      </w:r>
      <w:r w:rsidR="00B070DC" w:rsidRPr="00A72D74">
        <w:rPr>
          <w:lang w:val="en-GB"/>
        </w:rPr>
        <w:t>n 16 January 2015 the Ministry of Justice refused the author’s application for residence on humanitarian grounds.</w:t>
      </w:r>
      <w:r w:rsidRPr="00BE6DDD">
        <w:t xml:space="preserve">Therefore, the Committee considers that domestic remedies have been exhausted as required by article 5 </w:t>
      </w:r>
      <w:r w:rsidR="00100F23" w:rsidRPr="00100F23">
        <w:rPr>
          <w:lang w:val="en-GB"/>
        </w:rPr>
        <w:t>(</w:t>
      </w:r>
      <w:r w:rsidRPr="00BE6DDD">
        <w:t>2</w:t>
      </w:r>
      <w:r w:rsidR="00100F23" w:rsidRPr="00100F23">
        <w:rPr>
          <w:lang w:val="en-GB"/>
        </w:rPr>
        <w:t>)</w:t>
      </w:r>
      <w:r w:rsidRPr="00BE6DDD">
        <w:t xml:space="preserve"> (b) of the Optional Protocol.</w:t>
      </w:r>
    </w:p>
    <w:p w:rsidR="00F81C2B" w:rsidRDefault="00F81C2B" w:rsidP="00760D0A">
      <w:pPr>
        <w:pStyle w:val="SingleTxtG"/>
        <w:spacing w:line="220" w:lineRule="atLeast"/>
        <w:rPr>
          <w:shd w:val="clear" w:color="auto" w:fill="FFFFFF"/>
          <w:lang w:val="en-US"/>
        </w:rPr>
      </w:pPr>
      <w:r w:rsidRPr="00F81C2B">
        <w:rPr>
          <w:lang w:val="en-GB"/>
        </w:rPr>
        <w:t>7</w:t>
      </w:r>
      <w:r w:rsidRPr="00A36331">
        <w:t>.</w:t>
      </w:r>
      <w:r>
        <w:t>4</w:t>
      </w:r>
      <w:r w:rsidRPr="00A36331">
        <w:tab/>
      </w:r>
      <w:r>
        <w:t xml:space="preserve">The Committee notes the author’s allegation that his return to the </w:t>
      </w:r>
      <w:r>
        <w:rPr>
          <w:lang w:val="en-GB"/>
        </w:rPr>
        <w:t>Somalia</w:t>
      </w:r>
      <w:r>
        <w:t xml:space="preserve"> would put him at risk of being subjected to torture</w:t>
      </w:r>
      <w:r>
        <w:rPr>
          <w:shd w:val="clear" w:color="auto" w:fill="FFFFFF"/>
          <w:lang w:val="en-US"/>
        </w:rPr>
        <w:t xml:space="preserve">. The author bases this allegation on the fact that </w:t>
      </w:r>
      <w:r w:rsidRPr="00BB47F1">
        <w:rPr>
          <w:lang w:val="en-US"/>
        </w:rPr>
        <w:t xml:space="preserve">in 2010 </w:t>
      </w:r>
      <w:r>
        <w:rPr>
          <w:lang w:val="en-US"/>
        </w:rPr>
        <w:t xml:space="preserve">members of the militant group </w:t>
      </w:r>
      <w:r w:rsidR="005833BB">
        <w:rPr>
          <w:lang w:val="en-US"/>
        </w:rPr>
        <w:t>A</w:t>
      </w:r>
      <w:r w:rsidRPr="00BB47F1">
        <w:rPr>
          <w:lang w:val="en-US"/>
        </w:rPr>
        <w:t xml:space="preserve">l-Shabaab contacted him </w:t>
      </w:r>
      <w:r w:rsidR="00192967">
        <w:rPr>
          <w:lang w:val="en-US"/>
        </w:rPr>
        <w:t xml:space="preserve">by telephone </w:t>
      </w:r>
      <w:r w:rsidR="00EE374A">
        <w:rPr>
          <w:lang w:val="en-US"/>
        </w:rPr>
        <w:t xml:space="preserve">and </w:t>
      </w:r>
      <w:r w:rsidRPr="00BB47F1">
        <w:rPr>
          <w:lang w:val="en-US"/>
        </w:rPr>
        <w:t>want</w:t>
      </w:r>
      <w:r w:rsidR="00EE374A">
        <w:rPr>
          <w:lang w:val="en-US"/>
        </w:rPr>
        <w:t>ed</w:t>
      </w:r>
      <w:r w:rsidRPr="00BB47F1">
        <w:rPr>
          <w:lang w:val="en-US"/>
        </w:rPr>
        <w:t xml:space="preserve"> him to join the</w:t>
      </w:r>
      <w:r>
        <w:rPr>
          <w:lang w:val="en-US"/>
        </w:rPr>
        <w:t>m</w:t>
      </w:r>
      <w:r w:rsidR="00EE374A">
        <w:rPr>
          <w:lang w:val="en-US"/>
        </w:rPr>
        <w:t>,</w:t>
      </w:r>
      <w:r>
        <w:rPr>
          <w:lang w:val="en-US"/>
        </w:rPr>
        <w:t xml:space="preserve"> </w:t>
      </w:r>
      <w:r w:rsidR="00EE374A">
        <w:rPr>
          <w:lang w:val="en-US"/>
        </w:rPr>
        <w:t xml:space="preserve">that </w:t>
      </w:r>
      <w:r>
        <w:rPr>
          <w:lang w:val="en-US"/>
        </w:rPr>
        <w:t xml:space="preserve">he left the country because he did not want to do that and that </w:t>
      </w:r>
      <w:r w:rsidRPr="00BB47F1">
        <w:rPr>
          <w:lang w:val="en-US"/>
        </w:rPr>
        <w:t xml:space="preserve">refusing </w:t>
      </w:r>
      <w:r w:rsidR="00EE374A">
        <w:rPr>
          <w:lang w:val="en-US"/>
        </w:rPr>
        <w:t xml:space="preserve">to be </w:t>
      </w:r>
      <w:r w:rsidRPr="00BB47F1">
        <w:rPr>
          <w:lang w:val="en-US"/>
        </w:rPr>
        <w:t>recruit</w:t>
      </w:r>
      <w:r w:rsidR="00EE374A">
        <w:rPr>
          <w:lang w:val="en-US"/>
        </w:rPr>
        <w:t>ed by</w:t>
      </w:r>
      <w:r w:rsidRPr="00BB47F1">
        <w:rPr>
          <w:lang w:val="en-US"/>
        </w:rPr>
        <w:t xml:space="preserve"> </w:t>
      </w:r>
      <w:r w:rsidR="005833BB">
        <w:rPr>
          <w:lang w:val="en-US"/>
        </w:rPr>
        <w:t>A</w:t>
      </w:r>
      <w:r w:rsidRPr="00BB47F1">
        <w:rPr>
          <w:lang w:val="en-US"/>
        </w:rPr>
        <w:t>l-Shabaab mean</w:t>
      </w:r>
      <w:r>
        <w:rPr>
          <w:lang w:val="en-US"/>
        </w:rPr>
        <w:t>t</w:t>
      </w:r>
      <w:r w:rsidRPr="00BB47F1">
        <w:rPr>
          <w:lang w:val="en-US"/>
        </w:rPr>
        <w:t xml:space="preserve"> </w:t>
      </w:r>
      <w:r w:rsidR="00EE374A">
        <w:rPr>
          <w:lang w:val="en-US"/>
        </w:rPr>
        <w:t xml:space="preserve">being </w:t>
      </w:r>
      <w:r w:rsidRPr="00BB47F1">
        <w:rPr>
          <w:lang w:val="en-US"/>
        </w:rPr>
        <w:t>a</w:t>
      </w:r>
      <w:r w:rsidR="00EE374A">
        <w:rPr>
          <w:lang w:val="en-US"/>
        </w:rPr>
        <w:t>t</w:t>
      </w:r>
      <w:r w:rsidRPr="00BB47F1">
        <w:rPr>
          <w:lang w:val="en-US"/>
        </w:rPr>
        <w:t xml:space="preserve"> risk </w:t>
      </w:r>
      <w:r w:rsidR="00EE374A">
        <w:rPr>
          <w:lang w:val="en-US"/>
        </w:rPr>
        <w:t>of</w:t>
      </w:r>
      <w:r>
        <w:rPr>
          <w:lang w:val="en-US"/>
        </w:rPr>
        <w:t xml:space="preserve"> be</w:t>
      </w:r>
      <w:r w:rsidR="00EE374A">
        <w:rPr>
          <w:lang w:val="en-US"/>
        </w:rPr>
        <w:t>ing</w:t>
      </w:r>
      <w:r>
        <w:rPr>
          <w:lang w:val="en-US"/>
        </w:rPr>
        <w:t xml:space="preserve"> killed</w:t>
      </w:r>
      <w:r>
        <w:rPr>
          <w:shd w:val="clear" w:color="auto" w:fill="FFFFFF"/>
          <w:lang w:val="en-US"/>
        </w:rPr>
        <w:t xml:space="preserve">. </w:t>
      </w:r>
    </w:p>
    <w:p w:rsidR="001B2349" w:rsidRPr="003D768C" w:rsidRDefault="003D768C" w:rsidP="00760D0A">
      <w:pPr>
        <w:pStyle w:val="SingleTxtG"/>
        <w:spacing w:line="220" w:lineRule="atLeast"/>
        <w:rPr>
          <w:lang w:val="en-GB"/>
        </w:rPr>
      </w:pPr>
      <w:r w:rsidRPr="003D768C">
        <w:rPr>
          <w:lang w:val="en-GB"/>
        </w:rPr>
        <w:t>7</w:t>
      </w:r>
      <w:r w:rsidR="00F81C2B">
        <w:t>.5</w:t>
      </w:r>
      <w:r w:rsidR="00F81C2B">
        <w:tab/>
        <w:t xml:space="preserve">The Committee notes that the Refugee Appeals Board thoroughly examined the author’s claim and considered his personal circumstances, as well as the general situation of </w:t>
      </w:r>
      <w:r w:rsidR="00F81C2B" w:rsidRPr="00F81C2B">
        <w:rPr>
          <w:lang w:val="en-GB"/>
        </w:rPr>
        <w:t xml:space="preserve">young males who </w:t>
      </w:r>
      <w:r w:rsidR="00AA0E9A">
        <w:rPr>
          <w:lang w:val="en-GB"/>
        </w:rPr>
        <w:t>a</w:t>
      </w:r>
      <w:r w:rsidR="00F81C2B" w:rsidRPr="00F81C2B">
        <w:rPr>
          <w:lang w:val="en-GB"/>
        </w:rPr>
        <w:t xml:space="preserve">re at threat of being recruited by </w:t>
      </w:r>
      <w:r w:rsidR="005833BB">
        <w:rPr>
          <w:lang w:val="en-US"/>
        </w:rPr>
        <w:t>A</w:t>
      </w:r>
      <w:r w:rsidR="00F81C2B" w:rsidRPr="00BB47F1">
        <w:rPr>
          <w:lang w:val="en-US"/>
        </w:rPr>
        <w:t>l-Shabaab</w:t>
      </w:r>
      <w:r w:rsidR="005B4874">
        <w:rPr>
          <w:lang w:val="en-US"/>
        </w:rPr>
        <w:t>,</w:t>
      </w:r>
      <w:r w:rsidR="001B2349">
        <w:rPr>
          <w:lang w:val="en-US"/>
        </w:rPr>
        <w:t xml:space="preserve"> </w:t>
      </w:r>
      <w:r w:rsidR="00F81C2B">
        <w:t xml:space="preserve">and concluded that the </w:t>
      </w:r>
      <w:r w:rsidR="00F81C2B" w:rsidRPr="00B534CA">
        <w:t>author’s personal background d</w:t>
      </w:r>
      <w:r w:rsidR="001B2349" w:rsidRPr="001B2349">
        <w:rPr>
          <w:lang w:val="en-GB"/>
        </w:rPr>
        <w:t>oes</w:t>
      </w:r>
      <w:r w:rsidR="00F81C2B" w:rsidRPr="00B534CA">
        <w:t xml:space="preserve"> not</w:t>
      </w:r>
      <w:r w:rsidR="001B2349" w:rsidRPr="001B2349">
        <w:rPr>
          <w:lang w:val="en-GB"/>
        </w:rPr>
        <w:t xml:space="preserve"> place him at risk of being tortured.</w:t>
      </w:r>
      <w:r w:rsidR="00F81C2B" w:rsidRPr="00B534CA">
        <w:t xml:space="preserve"> </w:t>
      </w:r>
      <w:r w:rsidR="001440DD" w:rsidRPr="001440DD">
        <w:rPr>
          <w:bCs/>
          <w:shd w:val="clear" w:color="auto" w:fill="FFFFFF"/>
          <w:lang w:val="en-GB"/>
        </w:rPr>
        <w:t xml:space="preserve">The Committee is aware </w:t>
      </w:r>
      <w:r w:rsidR="005B4874">
        <w:rPr>
          <w:bCs/>
          <w:shd w:val="clear" w:color="auto" w:fill="FFFFFF"/>
          <w:lang w:val="en-GB"/>
        </w:rPr>
        <w:t>that</w:t>
      </w:r>
      <w:r w:rsidR="001440DD" w:rsidRPr="001440DD">
        <w:rPr>
          <w:bCs/>
          <w:shd w:val="clear" w:color="auto" w:fill="FFFFFF"/>
          <w:lang w:val="en-GB"/>
        </w:rPr>
        <w:t xml:space="preserve"> concerns </w:t>
      </w:r>
      <w:r w:rsidR="005B4874">
        <w:rPr>
          <w:bCs/>
          <w:shd w:val="clear" w:color="auto" w:fill="FFFFFF"/>
          <w:lang w:val="en-GB"/>
        </w:rPr>
        <w:t>have been</w:t>
      </w:r>
      <w:r w:rsidR="001440DD" w:rsidRPr="001440DD">
        <w:rPr>
          <w:bCs/>
          <w:shd w:val="clear" w:color="auto" w:fill="FFFFFF"/>
          <w:lang w:val="en-GB"/>
        </w:rPr>
        <w:t xml:space="preserve"> expressed with respect to Al-Shabaab’s continu</w:t>
      </w:r>
      <w:r w:rsidR="005B4874">
        <w:rPr>
          <w:bCs/>
          <w:shd w:val="clear" w:color="auto" w:fill="FFFFFF"/>
          <w:lang w:val="en-GB"/>
        </w:rPr>
        <w:t>ed</w:t>
      </w:r>
      <w:r w:rsidR="001440DD" w:rsidRPr="001440DD">
        <w:rPr>
          <w:bCs/>
          <w:shd w:val="clear" w:color="auto" w:fill="FFFFFF"/>
          <w:lang w:val="en-GB"/>
        </w:rPr>
        <w:t xml:space="preserve"> presence in Southern and Central Somalia</w:t>
      </w:r>
      <w:r w:rsidR="001440DD">
        <w:rPr>
          <w:bCs/>
          <w:shd w:val="clear" w:color="auto" w:fill="FFFFFF"/>
          <w:lang w:val="en-GB"/>
        </w:rPr>
        <w:t>.</w:t>
      </w:r>
      <w:r w:rsidR="001440DD" w:rsidRPr="00D542CF">
        <w:rPr>
          <w:rStyle w:val="FootnoteReference"/>
        </w:rPr>
        <w:footnoteReference w:id="15"/>
      </w:r>
      <w:r w:rsidR="001440DD" w:rsidRPr="001440DD">
        <w:rPr>
          <w:bCs/>
          <w:shd w:val="clear" w:color="auto" w:fill="FFFFFF"/>
          <w:lang w:val="en-GB"/>
        </w:rPr>
        <w:t xml:space="preserve"> However, </w:t>
      </w:r>
      <w:r w:rsidR="001440DD" w:rsidRPr="001440DD">
        <w:rPr>
          <w:shd w:val="clear" w:color="auto" w:fill="FFFFFF"/>
          <w:lang w:val="en-US"/>
        </w:rPr>
        <w:t>the Committee notes that</w:t>
      </w:r>
      <w:r w:rsidR="005B4874">
        <w:rPr>
          <w:shd w:val="clear" w:color="auto" w:fill="FFFFFF"/>
          <w:lang w:val="en-US"/>
        </w:rPr>
        <w:t>,</w:t>
      </w:r>
      <w:r w:rsidR="001440DD" w:rsidRPr="001440DD">
        <w:rPr>
          <w:shd w:val="clear" w:color="auto" w:fill="FFFFFF"/>
          <w:lang w:val="en-US"/>
        </w:rPr>
        <w:t xml:space="preserve"> in examining the author’s asylum request, the </w:t>
      </w:r>
      <w:r w:rsidR="005B4874">
        <w:rPr>
          <w:shd w:val="clear" w:color="auto" w:fill="FFFFFF"/>
          <w:lang w:val="en-US"/>
        </w:rPr>
        <w:t>Board</w:t>
      </w:r>
      <w:r w:rsidR="005B4874" w:rsidRPr="001440DD">
        <w:rPr>
          <w:shd w:val="clear" w:color="auto" w:fill="FFFFFF"/>
          <w:lang w:val="en-US"/>
        </w:rPr>
        <w:t xml:space="preserve"> </w:t>
      </w:r>
      <w:r w:rsidR="001440DD" w:rsidRPr="001440DD">
        <w:rPr>
          <w:shd w:val="clear" w:color="auto" w:fill="FFFFFF"/>
          <w:lang w:val="en-US"/>
        </w:rPr>
        <w:t xml:space="preserve">reviewed the author’s allegations </w:t>
      </w:r>
      <w:r w:rsidR="005B4874">
        <w:rPr>
          <w:shd w:val="clear" w:color="auto" w:fill="FFFFFF"/>
          <w:lang w:val="en-US"/>
        </w:rPr>
        <w:t xml:space="preserve">and </w:t>
      </w:r>
      <w:r w:rsidR="001440DD" w:rsidRPr="001440DD">
        <w:rPr>
          <w:shd w:val="clear" w:color="auto" w:fill="FFFFFF"/>
          <w:lang w:val="en-US"/>
        </w:rPr>
        <w:t>ma</w:t>
      </w:r>
      <w:r w:rsidR="005B4874">
        <w:rPr>
          <w:shd w:val="clear" w:color="auto" w:fill="FFFFFF"/>
          <w:lang w:val="en-US"/>
        </w:rPr>
        <w:t>de</w:t>
      </w:r>
      <w:r w:rsidR="001440DD" w:rsidRPr="001440DD">
        <w:rPr>
          <w:shd w:val="clear" w:color="auto" w:fill="FFFFFF"/>
          <w:lang w:val="en-GB"/>
        </w:rPr>
        <w:t xml:space="preserve"> a specific and individual risk assessment</w:t>
      </w:r>
      <w:r w:rsidR="001440DD">
        <w:rPr>
          <w:shd w:val="clear" w:color="auto" w:fill="FFFFFF"/>
          <w:lang w:val="en-GB"/>
        </w:rPr>
        <w:t>.</w:t>
      </w:r>
    </w:p>
    <w:p w:rsidR="00DE3A2C" w:rsidRPr="002541BD" w:rsidRDefault="003D768C" w:rsidP="00760D0A">
      <w:pPr>
        <w:pStyle w:val="SingleTxtG"/>
        <w:spacing w:line="220" w:lineRule="atLeast"/>
        <w:rPr>
          <w:lang w:val="en-GB"/>
        </w:rPr>
      </w:pPr>
      <w:r w:rsidRPr="003D768C">
        <w:rPr>
          <w:lang w:val="en-GB"/>
        </w:rPr>
        <w:t>7</w:t>
      </w:r>
      <w:r w:rsidR="00F81C2B">
        <w:t>.6</w:t>
      </w:r>
      <w:r w:rsidR="00F81C2B">
        <w:tab/>
        <w:t>The Committee recalls that it is generally for the organs of States parties to examine the facts and evidence of a case, unless it can be established that such an assessment was arbitrary or amounted to a manifest error or denial of justice.</w:t>
      </w:r>
      <w:r w:rsidR="00F81C2B" w:rsidRPr="00D542CF">
        <w:rPr>
          <w:rStyle w:val="FootnoteReference"/>
        </w:rPr>
        <w:footnoteReference w:id="16"/>
      </w:r>
      <w:r w:rsidR="00F81C2B">
        <w:t xml:space="preserve"> The author has not explained why the decision by the Refugee Appeals Board would be contrary to this standard, nor has he provided substantial grounds to support his claim that his removal to </w:t>
      </w:r>
      <w:r w:rsidR="001B2349" w:rsidRPr="001B2349">
        <w:rPr>
          <w:lang w:val="en-GB"/>
        </w:rPr>
        <w:t xml:space="preserve">Somalia </w:t>
      </w:r>
      <w:r w:rsidR="00F81C2B">
        <w:t xml:space="preserve">would expose him to a real risk of irreparable harm in violation of article 7 of the Covenant. The </w:t>
      </w:r>
      <w:r w:rsidR="00F81C2B" w:rsidRPr="00D21C47">
        <w:t xml:space="preserve">Committee accordingly concludes that the author has failed to sufficiently substantiate his claim of </w:t>
      </w:r>
      <w:r w:rsidR="00AA0E9A" w:rsidRPr="004D2942">
        <w:rPr>
          <w:lang w:val="en-GB"/>
        </w:rPr>
        <w:t xml:space="preserve">a </w:t>
      </w:r>
      <w:r w:rsidR="00F81C2B" w:rsidRPr="00D21C47">
        <w:t xml:space="preserve">violation of article 7 for purposes of admissibility and finds </w:t>
      </w:r>
      <w:r w:rsidR="001B2349" w:rsidRPr="001B2349">
        <w:rPr>
          <w:lang w:val="en-GB"/>
        </w:rPr>
        <w:t>the claim</w:t>
      </w:r>
      <w:r w:rsidR="00F81C2B" w:rsidRPr="00D21C47">
        <w:t xml:space="preserve"> inadmissible</w:t>
      </w:r>
      <w:r w:rsidR="00F81C2B">
        <w:t xml:space="preserve"> pursuant to article 2 of the Optional Protocol. </w:t>
      </w:r>
    </w:p>
    <w:p w:rsidR="002623B4" w:rsidRDefault="003D768C" w:rsidP="00760D0A">
      <w:pPr>
        <w:pStyle w:val="SingleTxtG"/>
        <w:spacing w:line="220" w:lineRule="atLeast"/>
        <w:rPr>
          <w:lang w:val="en-GB"/>
        </w:rPr>
      </w:pPr>
      <w:r>
        <w:rPr>
          <w:lang w:val="en-GB"/>
        </w:rPr>
        <w:t>7</w:t>
      </w:r>
      <w:r w:rsidR="001B2349" w:rsidRPr="001B2349">
        <w:rPr>
          <w:lang w:val="en-GB"/>
        </w:rPr>
        <w:t>.7</w:t>
      </w:r>
      <w:r w:rsidR="001B2349" w:rsidRPr="001B2349">
        <w:rPr>
          <w:lang w:val="en-GB"/>
        </w:rPr>
        <w:tab/>
        <w:t xml:space="preserve">The Committee notes the author’s </w:t>
      </w:r>
      <w:r w:rsidR="001B2349">
        <w:rPr>
          <w:lang w:val="en-GB"/>
        </w:rPr>
        <w:t>cl</w:t>
      </w:r>
      <w:r w:rsidR="001B2349" w:rsidRPr="001B2349">
        <w:rPr>
          <w:lang w:val="en-GB"/>
        </w:rPr>
        <w:t>a</w:t>
      </w:r>
      <w:r w:rsidR="001B2349">
        <w:rPr>
          <w:lang w:val="en-GB"/>
        </w:rPr>
        <w:t>i</w:t>
      </w:r>
      <w:r w:rsidR="001B2349" w:rsidRPr="001B2349">
        <w:rPr>
          <w:lang w:val="en-GB"/>
        </w:rPr>
        <w:t xml:space="preserve">ms that </w:t>
      </w:r>
      <w:r>
        <w:rPr>
          <w:lang w:val="en-GB"/>
        </w:rPr>
        <w:t xml:space="preserve">he has strong ties with the State party, that he lived in the country </w:t>
      </w:r>
      <w:r w:rsidR="005B4874">
        <w:rPr>
          <w:lang w:val="en-GB"/>
        </w:rPr>
        <w:t xml:space="preserve">with his family </w:t>
      </w:r>
      <w:r>
        <w:rPr>
          <w:lang w:val="en-GB"/>
        </w:rPr>
        <w:t>between the age</w:t>
      </w:r>
      <w:r w:rsidR="005B4874">
        <w:rPr>
          <w:lang w:val="en-GB"/>
        </w:rPr>
        <w:t>s</w:t>
      </w:r>
      <w:r>
        <w:rPr>
          <w:lang w:val="en-GB"/>
        </w:rPr>
        <w:t xml:space="preserve"> of 6 and 15, that his parents and siblings live in </w:t>
      </w:r>
      <w:r w:rsidR="004F607E">
        <w:rPr>
          <w:lang w:val="en-GB"/>
        </w:rPr>
        <w:t>the State party</w:t>
      </w:r>
      <w:r w:rsidR="005B4874">
        <w:rPr>
          <w:lang w:val="en-GB"/>
        </w:rPr>
        <w:t xml:space="preserve"> and</w:t>
      </w:r>
      <w:r>
        <w:rPr>
          <w:lang w:val="en-GB"/>
        </w:rPr>
        <w:t xml:space="preserve"> that he came to the country to </w:t>
      </w:r>
      <w:proofErr w:type="spellStart"/>
      <w:r>
        <w:rPr>
          <w:lang w:val="en-GB"/>
        </w:rPr>
        <w:t>rejoin</w:t>
      </w:r>
      <w:proofErr w:type="spellEnd"/>
      <w:r>
        <w:rPr>
          <w:lang w:val="en-GB"/>
        </w:rPr>
        <w:t xml:space="preserve"> them. </w:t>
      </w:r>
      <w:r w:rsidR="002623B4">
        <w:rPr>
          <w:lang w:val="en-GB"/>
        </w:rPr>
        <w:t>The Committee also notes that the author refers to a violation of his rights under a</w:t>
      </w:r>
      <w:r w:rsidR="002623B4" w:rsidRPr="007F17BB">
        <w:rPr>
          <w:lang w:val="en-GB"/>
        </w:rPr>
        <w:t>rticle 8 of the E</w:t>
      </w:r>
      <w:r w:rsidR="002623B4">
        <w:rPr>
          <w:lang w:val="en-GB"/>
        </w:rPr>
        <w:t xml:space="preserve">uropean </w:t>
      </w:r>
      <w:r w:rsidR="002623B4" w:rsidRPr="007F17BB">
        <w:rPr>
          <w:lang w:val="en-GB"/>
        </w:rPr>
        <w:t>C</w:t>
      </w:r>
      <w:r w:rsidR="002623B4">
        <w:rPr>
          <w:lang w:val="en-GB"/>
        </w:rPr>
        <w:t xml:space="preserve">onvention </w:t>
      </w:r>
      <w:r w:rsidR="000E29F5">
        <w:rPr>
          <w:lang w:val="en-GB"/>
        </w:rPr>
        <w:t xml:space="preserve">on Human Rights </w:t>
      </w:r>
      <w:r w:rsidR="002623B4">
        <w:rPr>
          <w:lang w:val="en-GB"/>
        </w:rPr>
        <w:t xml:space="preserve">but observes that the facts as presented by the author appear to raise issues under article 17 of the Covenant and that the wording of article 8 of the Convention </w:t>
      </w:r>
      <w:r w:rsidR="005B4874">
        <w:rPr>
          <w:lang w:val="en-GB"/>
        </w:rPr>
        <w:t>i</w:t>
      </w:r>
      <w:r w:rsidR="002623B4">
        <w:rPr>
          <w:lang w:val="en-GB"/>
        </w:rPr>
        <w:t xml:space="preserve">s similar </w:t>
      </w:r>
      <w:r w:rsidR="005B4874">
        <w:rPr>
          <w:lang w:val="en-GB"/>
        </w:rPr>
        <w:t xml:space="preserve">to the wording of </w:t>
      </w:r>
      <w:r w:rsidR="002623B4">
        <w:rPr>
          <w:lang w:val="en-GB"/>
        </w:rPr>
        <w:t>article 17 of the Covenant.</w:t>
      </w:r>
    </w:p>
    <w:p w:rsidR="00DE3A2C" w:rsidRPr="004043B0" w:rsidRDefault="002623B4" w:rsidP="00760D0A">
      <w:pPr>
        <w:pStyle w:val="SingleTxtG"/>
        <w:spacing w:line="220" w:lineRule="atLeast"/>
      </w:pPr>
      <w:r>
        <w:rPr>
          <w:lang w:val="en-GB"/>
        </w:rPr>
        <w:t>7.8</w:t>
      </w:r>
      <w:r>
        <w:rPr>
          <w:lang w:val="en-GB"/>
        </w:rPr>
        <w:tab/>
      </w:r>
      <w:r w:rsidR="00CD61D3" w:rsidRPr="00E0693B">
        <w:t>The Committee recalls</w:t>
      </w:r>
      <w:r w:rsidR="00580CF3" w:rsidRPr="00760D0A">
        <w:rPr>
          <w:lang w:val="en-US"/>
        </w:rPr>
        <w:t xml:space="preserve"> p</w:t>
      </w:r>
      <w:r w:rsidR="00580CF3">
        <w:rPr>
          <w:lang w:val="en-US"/>
        </w:rPr>
        <w:t>aragraph 5 of</w:t>
      </w:r>
      <w:r w:rsidR="00CD61D3" w:rsidRPr="00E0693B">
        <w:t xml:space="preserve"> its general comment No.16</w:t>
      </w:r>
      <w:r w:rsidR="00150F01" w:rsidRPr="00760D0A">
        <w:rPr>
          <w:lang w:val="en-US"/>
        </w:rPr>
        <w:t xml:space="preserve"> (</w:t>
      </w:r>
      <w:r w:rsidR="00150F01">
        <w:rPr>
          <w:lang w:val="en-US"/>
        </w:rPr>
        <w:t xml:space="preserve">1988) on the right to respect of privacy, family, home and correspondence, and protection of </w:t>
      </w:r>
      <w:proofErr w:type="spellStart"/>
      <w:r w:rsidR="00150F01">
        <w:rPr>
          <w:lang w:val="en-US"/>
        </w:rPr>
        <w:t>honour</w:t>
      </w:r>
      <w:proofErr w:type="spellEnd"/>
      <w:r w:rsidR="00150F01">
        <w:rPr>
          <w:lang w:val="en-US"/>
        </w:rPr>
        <w:t xml:space="preserve"> and reputation</w:t>
      </w:r>
      <w:r w:rsidR="00CD61D3" w:rsidRPr="00E0693B">
        <w:t xml:space="preserve">, </w:t>
      </w:r>
      <w:r w:rsidR="00150F01" w:rsidRPr="00760D0A">
        <w:rPr>
          <w:lang w:val="en-US"/>
        </w:rPr>
        <w:t>in</w:t>
      </w:r>
      <w:r w:rsidR="00150F01">
        <w:rPr>
          <w:lang w:val="en-US"/>
        </w:rPr>
        <w:t xml:space="preserve"> which</w:t>
      </w:r>
      <w:r w:rsidR="00150F01" w:rsidRPr="00E0693B">
        <w:t xml:space="preserve"> </w:t>
      </w:r>
      <w:r w:rsidR="00150F01" w:rsidRPr="00760D0A">
        <w:rPr>
          <w:lang w:val="en-US"/>
        </w:rPr>
        <w:t>it</w:t>
      </w:r>
      <w:r w:rsidR="00150F01">
        <w:rPr>
          <w:lang w:val="en-US"/>
        </w:rPr>
        <w:t xml:space="preserve"> recalls that the objectives of the Covenant require that </w:t>
      </w:r>
      <w:r w:rsidR="00CD61D3" w:rsidRPr="00E0693B">
        <w:t xml:space="preserve">the </w:t>
      </w:r>
      <w:r w:rsidR="00150F01" w:rsidRPr="00760D0A">
        <w:rPr>
          <w:lang w:val="en-US"/>
        </w:rPr>
        <w:t>te</w:t>
      </w:r>
      <w:r w:rsidR="00150F01">
        <w:rPr>
          <w:lang w:val="en-US"/>
        </w:rPr>
        <w:t>rm</w:t>
      </w:r>
      <w:r w:rsidR="00CD61D3" w:rsidRPr="00E0693B">
        <w:t xml:space="preserve"> </w:t>
      </w:r>
      <w:r w:rsidR="00150F01" w:rsidRPr="00633BAD">
        <w:rPr>
          <w:lang w:val="en-GB"/>
        </w:rPr>
        <w:t>“</w:t>
      </w:r>
      <w:r w:rsidR="00CD61D3" w:rsidRPr="00E0693B">
        <w:t>family</w:t>
      </w:r>
      <w:r w:rsidR="00150F01" w:rsidRPr="00135975">
        <w:rPr>
          <w:lang w:val="en-US"/>
        </w:rPr>
        <w:t>”</w:t>
      </w:r>
      <w:r w:rsidR="00CD61D3" w:rsidRPr="00E0693B">
        <w:t xml:space="preserve"> be </w:t>
      </w:r>
      <w:r w:rsidR="00150F01" w:rsidRPr="00760D0A">
        <w:rPr>
          <w:lang w:val="en-US"/>
        </w:rPr>
        <w:t>gi</w:t>
      </w:r>
      <w:r w:rsidR="00150F01">
        <w:rPr>
          <w:lang w:val="en-US"/>
        </w:rPr>
        <w:t xml:space="preserve">ven broad </w:t>
      </w:r>
      <w:r w:rsidR="00CD61D3" w:rsidRPr="00E0693B">
        <w:t>interpret</w:t>
      </w:r>
      <w:r w:rsidR="00150F01" w:rsidRPr="00760D0A">
        <w:rPr>
          <w:lang w:val="en-US"/>
        </w:rPr>
        <w:t>a</w:t>
      </w:r>
      <w:r w:rsidR="00150F01">
        <w:rPr>
          <w:lang w:val="en-US"/>
        </w:rPr>
        <w:t>tion</w:t>
      </w:r>
      <w:r w:rsidR="00CD61D3" w:rsidRPr="00E0693B">
        <w:t>.</w:t>
      </w:r>
      <w:r w:rsidR="00CD61D3" w:rsidRPr="00D542CF">
        <w:rPr>
          <w:rStyle w:val="FootnoteReference"/>
        </w:rPr>
        <w:footnoteReference w:id="17"/>
      </w:r>
      <w:r w:rsidR="00CD61D3" w:rsidRPr="00E0693B">
        <w:t xml:space="preserve"> </w:t>
      </w:r>
      <w:r w:rsidR="0078042F" w:rsidRPr="002623B4">
        <w:rPr>
          <w:lang w:val="en-GB"/>
        </w:rPr>
        <w:t>The Committee</w:t>
      </w:r>
      <w:r w:rsidR="00580CF3">
        <w:rPr>
          <w:lang w:val="en-GB"/>
        </w:rPr>
        <w:t xml:space="preserve"> notes</w:t>
      </w:r>
      <w:r w:rsidR="00CD61D3">
        <w:rPr>
          <w:lang w:val="en-GB"/>
        </w:rPr>
        <w:t>, however,</w:t>
      </w:r>
      <w:r w:rsidR="0078042F">
        <w:rPr>
          <w:lang w:val="en-GB"/>
        </w:rPr>
        <w:t xml:space="preserve"> that the author has </w:t>
      </w:r>
      <w:r w:rsidR="00DE3A2C">
        <w:rPr>
          <w:lang w:val="en-GB"/>
        </w:rPr>
        <w:t xml:space="preserve">failed to provide sufficient </w:t>
      </w:r>
      <w:r w:rsidR="004043B0">
        <w:rPr>
          <w:lang w:val="en-GB"/>
        </w:rPr>
        <w:t xml:space="preserve">information indicating </w:t>
      </w:r>
      <w:r w:rsidR="0078042F">
        <w:rPr>
          <w:lang w:val="en-GB"/>
        </w:rPr>
        <w:t xml:space="preserve">his </w:t>
      </w:r>
      <w:r w:rsidR="004043B0">
        <w:rPr>
          <w:lang w:val="en-GB"/>
        </w:rPr>
        <w:t xml:space="preserve">strong </w:t>
      </w:r>
      <w:r w:rsidR="0078042F">
        <w:rPr>
          <w:lang w:val="en-GB"/>
        </w:rPr>
        <w:t xml:space="preserve">ties with his parents and siblings </w:t>
      </w:r>
      <w:r w:rsidR="00DE3A2C">
        <w:rPr>
          <w:lang w:val="en-GB"/>
        </w:rPr>
        <w:t xml:space="preserve">between 2003 and 2013, as well as </w:t>
      </w:r>
      <w:r w:rsidR="0078042F">
        <w:rPr>
          <w:lang w:val="en-GB"/>
        </w:rPr>
        <w:t xml:space="preserve">after arriving </w:t>
      </w:r>
      <w:r w:rsidR="00580CF3">
        <w:rPr>
          <w:lang w:val="en-GB"/>
        </w:rPr>
        <w:t xml:space="preserve">in </w:t>
      </w:r>
      <w:r w:rsidR="0078042F">
        <w:rPr>
          <w:lang w:val="en-GB"/>
        </w:rPr>
        <w:t>the State party in 2013</w:t>
      </w:r>
      <w:r w:rsidR="00CD61D3">
        <w:rPr>
          <w:lang w:val="en-GB"/>
        </w:rPr>
        <w:t xml:space="preserve">, other than making general statements that </w:t>
      </w:r>
      <w:r w:rsidR="00DE3A2C">
        <w:rPr>
          <w:lang w:val="en-GB"/>
        </w:rPr>
        <w:t xml:space="preserve">he </w:t>
      </w:r>
      <w:r w:rsidR="00CD61D3">
        <w:rPr>
          <w:lang w:val="en-GB"/>
        </w:rPr>
        <w:t>came to the State party in order to be reunited with them.</w:t>
      </w:r>
      <w:r w:rsidR="0078042F">
        <w:rPr>
          <w:lang w:val="en-GB"/>
        </w:rPr>
        <w:t xml:space="preserve"> </w:t>
      </w:r>
      <w:r w:rsidR="008E5002" w:rsidRPr="0086784B">
        <w:rPr>
          <w:shd w:val="clear" w:color="auto" w:fill="FFFFFF"/>
          <w:lang w:val="en-US"/>
        </w:rPr>
        <w:t xml:space="preserve">In view of the circumstances of the present case, the </w:t>
      </w:r>
      <w:r w:rsidR="008E5002" w:rsidRPr="0086784B">
        <w:t>Committee</w:t>
      </w:r>
      <w:r w:rsidR="008E5002" w:rsidRPr="0086784B">
        <w:rPr>
          <w:shd w:val="clear" w:color="auto" w:fill="FFFFFF"/>
          <w:lang w:val="en-US"/>
        </w:rPr>
        <w:t xml:space="preserve"> considers that the author’s allegations remain general and that he has failed to explain before the Committee why his removal to his country of origin would be a disproportionate measure, resulting in arbitrary interference with his </w:t>
      </w:r>
      <w:r>
        <w:rPr>
          <w:shd w:val="clear" w:color="auto" w:fill="FFFFFF"/>
          <w:lang w:val="en-US"/>
        </w:rPr>
        <w:t>family r</w:t>
      </w:r>
      <w:r w:rsidR="008E5002" w:rsidRPr="0086784B">
        <w:rPr>
          <w:shd w:val="clear" w:color="auto" w:fill="FFFFFF"/>
          <w:lang w:val="en-US"/>
        </w:rPr>
        <w:t>ights under article</w:t>
      </w:r>
      <w:r>
        <w:rPr>
          <w:shd w:val="clear" w:color="auto" w:fill="FFFFFF"/>
          <w:lang w:val="en-US"/>
        </w:rPr>
        <w:t xml:space="preserve"> </w:t>
      </w:r>
      <w:r w:rsidR="008E5002" w:rsidRPr="0086784B">
        <w:rPr>
          <w:shd w:val="clear" w:color="auto" w:fill="FFFFFF"/>
          <w:lang w:val="en-US"/>
        </w:rPr>
        <w:t xml:space="preserve">17. Accordingly, </w:t>
      </w:r>
      <w:r w:rsidR="008E5002" w:rsidRPr="0086784B">
        <w:t xml:space="preserve">the Committee considers that the author has failed to sufficiently substantiate his claims of violation of </w:t>
      </w:r>
      <w:r w:rsidR="008E5002" w:rsidRPr="002623B4">
        <w:rPr>
          <w:lang w:val="en-GB"/>
        </w:rPr>
        <w:t xml:space="preserve">his family rights </w:t>
      </w:r>
      <w:r w:rsidR="008E5002" w:rsidRPr="0086784B">
        <w:t>for the purposes of admissibility and finds them inadmissible pursuant to article</w:t>
      </w:r>
      <w:r w:rsidRPr="002623B4">
        <w:rPr>
          <w:lang w:val="en-GB"/>
        </w:rPr>
        <w:t xml:space="preserve"> </w:t>
      </w:r>
      <w:r w:rsidR="008E5002" w:rsidRPr="0086784B">
        <w:t>2 of the Optional Protocol.</w:t>
      </w:r>
      <w:r w:rsidR="00850A4F" w:rsidRPr="00D542CF">
        <w:rPr>
          <w:rStyle w:val="FootnoteReference"/>
        </w:rPr>
        <w:footnoteReference w:id="18"/>
      </w:r>
      <w:r w:rsidR="008E5002" w:rsidRPr="0086784B">
        <w:t xml:space="preserve"> </w:t>
      </w:r>
    </w:p>
    <w:p w:rsidR="00CD61D3" w:rsidRDefault="009423E6" w:rsidP="00760D0A">
      <w:pPr>
        <w:pStyle w:val="SingleTxtG"/>
        <w:spacing w:line="220" w:lineRule="atLeast"/>
      </w:pPr>
      <w:r>
        <w:t>8.</w:t>
      </w:r>
      <w:r w:rsidRPr="007001B0">
        <w:rPr>
          <w:lang w:val="en-US"/>
        </w:rPr>
        <w:tab/>
      </w:r>
      <w:r w:rsidR="00CD61D3">
        <w:t>The Committee therefore decides:</w:t>
      </w:r>
    </w:p>
    <w:p w:rsidR="00CD61D3" w:rsidRDefault="00CD61D3" w:rsidP="00760D0A">
      <w:pPr>
        <w:pStyle w:val="SingleTxtG"/>
        <w:spacing w:line="220" w:lineRule="atLeast"/>
      </w:pPr>
      <w:r>
        <w:tab/>
        <w:t>(a)</w:t>
      </w:r>
      <w:r>
        <w:tab/>
        <w:t xml:space="preserve">That the </w:t>
      </w:r>
      <w:r w:rsidRPr="009423E6">
        <w:t>communication</w:t>
      </w:r>
      <w:r>
        <w:t xml:space="preserve"> is i</w:t>
      </w:r>
      <w:r w:rsidR="002623B4">
        <w:t>nadmissible pursuant to article</w:t>
      </w:r>
      <w:r>
        <w:t xml:space="preserve"> 2 of the Optional Protocol;</w:t>
      </w:r>
    </w:p>
    <w:p w:rsidR="0078042F" w:rsidRPr="007001B0" w:rsidRDefault="00CD61D3" w:rsidP="00760D0A">
      <w:pPr>
        <w:pStyle w:val="SingleTxtG"/>
        <w:spacing w:line="220" w:lineRule="atLeast"/>
        <w:rPr>
          <w:lang w:val="en-US"/>
        </w:rPr>
      </w:pPr>
      <w:r>
        <w:tab/>
        <w:t>(b)</w:t>
      </w:r>
      <w:r>
        <w:tab/>
        <w:t xml:space="preserve">That the </w:t>
      </w:r>
      <w:r w:rsidRPr="009423E6">
        <w:t>decision</w:t>
      </w:r>
      <w:r>
        <w:t xml:space="preserve"> shall be transmitted to the author and to the State party.</w:t>
      </w:r>
    </w:p>
    <w:p w:rsidR="00D51EF8" w:rsidRPr="007001B0" w:rsidRDefault="00D51EF8" w:rsidP="00D51EF8">
      <w:pPr>
        <w:pStyle w:val="SingleTxtG"/>
        <w:spacing w:before="240" w:after="0"/>
        <w:jc w:val="center"/>
        <w:rPr>
          <w:u w:val="single"/>
          <w:lang w:val="en-US"/>
        </w:rPr>
      </w:pPr>
      <w:r w:rsidRPr="007001B0">
        <w:rPr>
          <w:u w:val="single"/>
          <w:lang w:val="en-US"/>
        </w:rPr>
        <w:tab/>
      </w:r>
      <w:r w:rsidRPr="007001B0">
        <w:rPr>
          <w:u w:val="single"/>
          <w:lang w:val="en-US"/>
        </w:rPr>
        <w:tab/>
      </w:r>
      <w:r w:rsidRPr="007001B0">
        <w:rPr>
          <w:u w:val="single"/>
          <w:lang w:val="en-US"/>
        </w:rPr>
        <w:tab/>
      </w:r>
    </w:p>
    <w:sectPr w:rsidR="00D51EF8" w:rsidRPr="007001B0" w:rsidSect="00760D0A">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FB" w:rsidRDefault="00D210FB"/>
  </w:endnote>
  <w:endnote w:type="continuationSeparator" w:id="0">
    <w:p w:rsidR="00D210FB" w:rsidRDefault="00D210FB"/>
  </w:endnote>
  <w:endnote w:type="continuationNotice" w:id="1">
    <w:p w:rsidR="00D210FB" w:rsidRDefault="00D21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4" w:rsidRPr="00781C83" w:rsidRDefault="00B03924"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8F1190">
      <w:rPr>
        <w:b/>
        <w:noProof/>
        <w:sz w:val="18"/>
      </w:rPr>
      <w:t>8</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4" w:rsidRPr="00760D0A" w:rsidRDefault="00B03924" w:rsidP="00781C83">
    <w:pPr>
      <w:pStyle w:val="Footer"/>
      <w:tabs>
        <w:tab w:val="right" w:pos="9638"/>
      </w:tabs>
      <w:rPr>
        <w:b/>
        <w:bCs/>
        <w:sz w:val="18"/>
      </w:rPr>
    </w:pPr>
    <w:r>
      <w:rPr>
        <w:b/>
        <w:sz w:val="18"/>
      </w:rPr>
      <w:tab/>
    </w:r>
    <w:r w:rsidRPr="00760D0A">
      <w:rPr>
        <w:b/>
        <w:bCs/>
        <w:sz w:val="18"/>
      </w:rPr>
      <w:fldChar w:fldCharType="begin"/>
    </w:r>
    <w:r w:rsidRPr="00760D0A">
      <w:rPr>
        <w:b/>
        <w:bCs/>
        <w:sz w:val="18"/>
      </w:rPr>
      <w:instrText xml:space="preserve"> PAGE  \* MERGEFORMAT </w:instrText>
    </w:r>
    <w:r w:rsidRPr="00760D0A">
      <w:rPr>
        <w:b/>
        <w:bCs/>
        <w:sz w:val="18"/>
      </w:rPr>
      <w:fldChar w:fldCharType="separate"/>
    </w:r>
    <w:r w:rsidR="008F1190">
      <w:rPr>
        <w:b/>
        <w:bCs/>
        <w:noProof/>
        <w:sz w:val="18"/>
      </w:rPr>
      <w:t>7</w:t>
    </w:r>
    <w:r w:rsidRPr="00760D0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4" w:rsidRDefault="008F1190" w:rsidP="008F1190">
    <w:pPr>
      <w:pStyle w:val="Footer"/>
      <w:rPr>
        <w:rFonts w:ascii="C39T30Lfz" w:hAnsi="C39T30Lfz"/>
        <w:sz w:val="20"/>
      </w:rPr>
    </w:pPr>
    <w:r w:rsidRPr="008F1190">
      <w:rPr>
        <w:rFonts w:ascii="C39T30Lfz" w:hAnsi="C39T30Lfz"/>
        <w:noProof/>
        <w:sz w:val="56"/>
        <w:u w:val="single"/>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8F1190" w:rsidRPr="008F1190" w:rsidRDefault="008F1190" w:rsidP="008F1190">
    <w:pPr>
      <w:pStyle w:val="Footer"/>
      <w:ind w:right="1134"/>
      <w:rPr>
        <w:sz w:val="20"/>
      </w:rPr>
    </w:pPr>
    <w:r w:rsidRPr="008F1190">
      <w:rPr>
        <w:sz w:val="20"/>
      </w:rPr>
      <w:t>GE.16-15569(E)</w:t>
    </w:r>
  </w:p>
  <w:p w:rsidR="008F1190" w:rsidRPr="008F1190" w:rsidRDefault="008F1190" w:rsidP="008F119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0080" cy="640080"/>
          <wp:effectExtent l="0" t="0" r="7620" b="7620"/>
          <wp:wrapNone/>
          <wp:docPr id="2" name="Picture 1" descr="http://undocs.org/m2/QRCode.ashx?DS=CCPR/C/117/D/2559/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559/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FB" w:rsidRPr="000B175B" w:rsidRDefault="00D210FB" w:rsidP="000B175B">
      <w:pPr>
        <w:tabs>
          <w:tab w:val="right" w:pos="2155"/>
        </w:tabs>
        <w:spacing w:after="80"/>
        <w:ind w:left="680"/>
        <w:rPr>
          <w:u w:val="single"/>
        </w:rPr>
      </w:pPr>
      <w:r>
        <w:rPr>
          <w:u w:val="single"/>
        </w:rPr>
        <w:tab/>
      </w:r>
    </w:p>
  </w:footnote>
  <w:footnote w:type="continuationSeparator" w:id="0">
    <w:p w:rsidR="00D210FB" w:rsidRPr="00FC68B7" w:rsidRDefault="00D210FB" w:rsidP="00FC68B7">
      <w:pPr>
        <w:tabs>
          <w:tab w:val="left" w:pos="2155"/>
        </w:tabs>
        <w:spacing w:after="80"/>
        <w:ind w:left="680"/>
        <w:rPr>
          <w:u w:val="single"/>
        </w:rPr>
      </w:pPr>
      <w:r>
        <w:rPr>
          <w:u w:val="single"/>
        </w:rPr>
        <w:tab/>
      </w:r>
    </w:p>
  </w:footnote>
  <w:footnote w:type="continuationNotice" w:id="1">
    <w:p w:rsidR="00D210FB" w:rsidRDefault="00D210FB"/>
  </w:footnote>
  <w:footnote w:id="2">
    <w:p w:rsidR="00B03924" w:rsidRPr="0059501B" w:rsidRDefault="00B03924" w:rsidP="004B2A63">
      <w:pPr>
        <w:pStyle w:val="FootnoteText"/>
      </w:pPr>
      <w:r>
        <w:rPr>
          <w:rStyle w:val="FootnoteReference"/>
        </w:rPr>
        <w:tab/>
      </w:r>
      <w:r w:rsidRPr="00760D0A">
        <w:rPr>
          <w:rStyle w:val="FootnoteReference"/>
          <w:sz w:val="20"/>
          <w:vertAlign w:val="baseline"/>
        </w:rPr>
        <w:t>*</w:t>
      </w:r>
      <w:r>
        <w:rPr>
          <w:rStyle w:val="FootnoteReference"/>
          <w:sz w:val="20"/>
          <w:vertAlign w:val="baseline"/>
        </w:rPr>
        <w:tab/>
      </w:r>
      <w:proofErr w:type="gramStart"/>
      <w:r>
        <w:t xml:space="preserve">Adopted by the Committee </w:t>
      </w:r>
      <w:r w:rsidRPr="009E4187">
        <w:t xml:space="preserve">at its </w:t>
      </w:r>
      <w:r w:rsidRPr="0059501B">
        <w:t>11</w:t>
      </w:r>
      <w:r w:rsidRPr="00C32180">
        <w:t>7</w:t>
      </w:r>
      <w:r w:rsidRPr="00760D0A">
        <w:t>th</w:t>
      </w:r>
      <w:r>
        <w:t xml:space="preserve"> </w:t>
      </w:r>
      <w:r w:rsidRPr="009E4187">
        <w:t>session (</w:t>
      </w:r>
      <w:r>
        <w:t>20 June-</w:t>
      </w:r>
      <w:r w:rsidRPr="001147E8">
        <w:t>15 July 2016</w:t>
      </w:r>
      <w:r w:rsidRPr="009E4187">
        <w:t>).</w:t>
      </w:r>
      <w:proofErr w:type="gramEnd"/>
    </w:p>
  </w:footnote>
  <w:footnote w:id="3">
    <w:p w:rsidR="00B03924" w:rsidRPr="00760D0A" w:rsidRDefault="00B03924" w:rsidP="00522234">
      <w:pPr>
        <w:pStyle w:val="FootnoteText"/>
        <w:rPr>
          <w:lang w:val="en-US"/>
        </w:rPr>
      </w:pPr>
      <w:r w:rsidRPr="00760D0A">
        <w:rPr>
          <w:rStyle w:val="FootnoteReference"/>
          <w:sz w:val="20"/>
          <w:vertAlign w:val="baseline"/>
        </w:rPr>
        <w:tab/>
      </w:r>
      <w:r w:rsidRPr="00760D0A">
        <w:rPr>
          <w:rStyle w:val="FootnoteReference"/>
          <w:bCs/>
          <w:sz w:val="20"/>
          <w:vertAlign w:val="baseline"/>
        </w:rPr>
        <w:t>**</w:t>
      </w:r>
      <w:r>
        <w:tab/>
      </w:r>
      <w:bookmarkStart w:id="0" w:name="OLE_LINK1"/>
      <w:bookmarkStart w:id="1" w:name="OLE_LINK2"/>
      <w:r w:rsidRPr="007F7A13">
        <w:t xml:space="preserve">The following members of the Committee participated in the examination of the present communication: </w:t>
      </w:r>
      <w:bookmarkEnd w:id="0"/>
      <w:bookmarkEnd w:id="1"/>
      <w:proofErr w:type="spellStart"/>
      <w:r>
        <w:t>Yadh</w:t>
      </w:r>
      <w:proofErr w:type="spellEnd"/>
      <w:r>
        <w:t xml:space="preserve"> Ben </w:t>
      </w:r>
      <w:proofErr w:type="spellStart"/>
      <w:r>
        <w:t>Achour</w:t>
      </w:r>
      <w:proofErr w:type="spellEnd"/>
      <w:r>
        <w:t xml:space="preserve">, </w:t>
      </w:r>
      <w:proofErr w:type="spellStart"/>
      <w:r>
        <w:t>Lazhari</w:t>
      </w:r>
      <w:proofErr w:type="spellEnd"/>
      <w:r>
        <w:t xml:space="preserve"> </w:t>
      </w:r>
      <w:proofErr w:type="spellStart"/>
      <w:r>
        <w:t>Bouzid</w:t>
      </w:r>
      <w:proofErr w:type="spellEnd"/>
      <w:r>
        <w:t xml:space="preserve">, Sarah Cleveland, Ahmed Amin </w:t>
      </w:r>
      <w:proofErr w:type="spellStart"/>
      <w:r>
        <w:t>Fathalla</w:t>
      </w:r>
      <w:proofErr w:type="spellEnd"/>
      <w:r>
        <w:t>, Olivier</w:t>
      </w:r>
      <w:r w:rsidR="00BC2AA7">
        <w:t> </w:t>
      </w:r>
      <w:r>
        <w:t xml:space="preserve">de </w:t>
      </w:r>
      <w:proofErr w:type="spellStart"/>
      <w:r>
        <w:t>Frouville</w:t>
      </w:r>
      <w:proofErr w:type="spellEnd"/>
      <w:r>
        <w:t xml:space="preserve">, Yuji </w:t>
      </w:r>
      <w:proofErr w:type="spellStart"/>
      <w:r>
        <w:t>Iwasawa</w:t>
      </w:r>
      <w:proofErr w:type="spellEnd"/>
      <w:r>
        <w:t xml:space="preserve">, Ivana </w:t>
      </w:r>
      <w:proofErr w:type="spellStart"/>
      <w:r>
        <w:t>Jelić</w:t>
      </w:r>
      <w:proofErr w:type="spellEnd"/>
      <w:r>
        <w:t xml:space="preserve">, </w:t>
      </w:r>
      <w:proofErr w:type="spellStart"/>
      <w:r>
        <w:t>Photini</w:t>
      </w:r>
      <w:proofErr w:type="spellEnd"/>
      <w:r>
        <w:t xml:space="preserve"> </w:t>
      </w:r>
      <w:proofErr w:type="spellStart"/>
      <w:r>
        <w:t>Pazartzis</w:t>
      </w:r>
      <w:proofErr w:type="spellEnd"/>
      <w:r>
        <w:t xml:space="preserve">, Mauro </w:t>
      </w:r>
      <w:proofErr w:type="spellStart"/>
      <w:r>
        <w:t>Politi</w:t>
      </w:r>
      <w:proofErr w:type="spellEnd"/>
      <w:r>
        <w:t xml:space="preserve">, </w:t>
      </w:r>
      <w:r>
        <w:rPr>
          <w:bCs/>
        </w:rPr>
        <w:t>Sir</w:t>
      </w:r>
      <w:r>
        <w:t xml:space="preserve"> Nigel </w:t>
      </w:r>
      <w:proofErr w:type="spellStart"/>
      <w:r>
        <w:t>Rodley</w:t>
      </w:r>
      <w:proofErr w:type="spellEnd"/>
      <w:r>
        <w:t>, Víctor Manuel Rodríguez-</w:t>
      </w:r>
      <w:proofErr w:type="spellStart"/>
      <w:r>
        <w:t>Rescia</w:t>
      </w:r>
      <w:proofErr w:type="spellEnd"/>
      <w:r>
        <w:t xml:space="preserve">, </w:t>
      </w:r>
      <w:proofErr w:type="spellStart"/>
      <w:r>
        <w:t>Fabián</w:t>
      </w:r>
      <w:proofErr w:type="spellEnd"/>
      <w:r>
        <w:t xml:space="preserve"> Omar </w:t>
      </w:r>
      <w:proofErr w:type="spellStart"/>
      <w:r>
        <w:t>Salvioli</w:t>
      </w:r>
      <w:proofErr w:type="spellEnd"/>
      <w:r>
        <w:t xml:space="preserve">, Yuval </w:t>
      </w:r>
      <w:proofErr w:type="spellStart"/>
      <w:r>
        <w:t>Shany</w:t>
      </w:r>
      <w:proofErr w:type="spellEnd"/>
      <w:r>
        <w:t xml:space="preserve"> and Margo </w:t>
      </w:r>
      <w:proofErr w:type="spellStart"/>
      <w:r>
        <w:t>Waterval</w:t>
      </w:r>
      <w:proofErr w:type="spellEnd"/>
      <w:r w:rsidRPr="004256A1">
        <w:rPr>
          <w:bCs/>
        </w:rPr>
        <w:t>.</w:t>
      </w:r>
    </w:p>
  </w:footnote>
  <w:footnote w:id="4">
    <w:p w:rsidR="00B03924" w:rsidRPr="00A7661F" w:rsidRDefault="00B03924" w:rsidP="00522234">
      <w:pPr>
        <w:pStyle w:val="FootnoteText"/>
      </w:pPr>
      <w:r w:rsidRPr="007001B0">
        <w:rPr>
          <w:lang w:val="en-US"/>
        </w:rPr>
        <w:tab/>
      </w:r>
      <w:r w:rsidRPr="00D542CF">
        <w:rPr>
          <w:rStyle w:val="FootnoteReference"/>
        </w:rPr>
        <w:footnoteRef/>
      </w:r>
      <w:r w:rsidRPr="007001B0">
        <w:rPr>
          <w:lang w:val="en-US"/>
        </w:rPr>
        <w:tab/>
      </w:r>
      <w:proofErr w:type="gramStart"/>
      <w:r>
        <w:t>A</w:t>
      </w:r>
      <w:r w:rsidRPr="00A7661F">
        <w:t xml:space="preserve">vailable </w:t>
      </w:r>
      <w:r>
        <w:t>from</w:t>
      </w:r>
      <w:r w:rsidRPr="00A7661F">
        <w:t xml:space="preserve"> www.refworld.org/docid/53a04d044.html</w:t>
      </w:r>
      <w:r>
        <w:t>.</w:t>
      </w:r>
      <w:proofErr w:type="gramEnd"/>
    </w:p>
  </w:footnote>
  <w:footnote w:id="5">
    <w:p w:rsidR="00B03924" w:rsidRPr="002623B4" w:rsidRDefault="00B03924">
      <w:pPr>
        <w:pStyle w:val="FootnoteText"/>
      </w:pPr>
      <w:r w:rsidRPr="007001B0">
        <w:rPr>
          <w:lang w:val="en-US"/>
        </w:rPr>
        <w:tab/>
      </w:r>
      <w:r w:rsidRPr="00D542CF">
        <w:rPr>
          <w:rStyle w:val="FootnoteReference"/>
        </w:rPr>
        <w:footnoteRef/>
      </w:r>
      <w:r w:rsidRPr="007001B0">
        <w:rPr>
          <w:lang w:val="en-US"/>
        </w:rPr>
        <w:tab/>
      </w:r>
      <w:r w:rsidRPr="002623B4">
        <w:t xml:space="preserve">The author </w:t>
      </w:r>
      <w:r w:rsidRPr="00760D0A">
        <w:rPr>
          <w:lang w:val="en-US"/>
        </w:rPr>
        <w:t>re</w:t>
      </w:r>
      <w:r>
        <w:rPr>
          <w:lang w:val="en-US"/>
        </w:rPr>
        <w:t>fers to the</w:t>
      </w:r>
      <w:r w:rsidRPr="002623B4">
        <w:t xml:space="preserve"> article</w:t>
      </w:r>
      <w:r w:rsidR="00961CF2" w:rsidRPr="00760D0A">
        <w:rPr>
          <w:lang w:val="en-US"/>
        </w:rPr>
        <w:t xml:space="preserve"> entitled</w:t>
      </w:r>
      <w:r w:rsidRPr="002623B4">
        <w:t xml:space="preserve"> </w:t>
      </w:r>
      <w:r>
        <w:rPr>
          <w:lang w:val="en-US"/>
        </w:rPr>
        <w:t>“</w:t>
      </w:r>
      <w:r w:rsidRPr="002623B4">
        <w:rPr>
          <w:i/>
        </w:rPr>
        <w:t xml:space="preserve">5 Somali troops, 7 al-Shabaab fighters killed in </w:t>
      </w:r>
      <w:proofErr w:type="spellStart"/>
      <w:r w:rsidRPr="002623B4">
        <w:rPr>
          <w:i/>
        </w:rPr>
        <w:t>Baidoa</w:t>
      </w:r>
      <w:proofErr w:type="spellEnd"/>
      <w:r w:rsidRPr="002623B4">
        <w:rPr>
          <w:i/>
        </w:rPr>
        <w:t xml:space="preserve"> attack</w:t>
      </w:r>
      <w:r w:rsidRPr="00A8098F">
        <w:rPr>
          <w:lang w:val="en-US"/>
        </w:rPr>
        <w:t>”</w:t>
      </w:r>
      <w:r>
        <w:rPr>
          <w:lang w:val="en-US"/>
        </w:rPr>
        <w:t xml:space="preserve"> </w:t>
      </w:r>
      <w:r w:rsidR="00961CF2">
        <w:rPr>
          <w:lang w:val="en-US"/>
        </w:rPr>
        <w:t>(</w:t>
      </w:r>
      <w:r w:rsidR="007425A6">
        <w:rPr>
          <w:lang w:val="en-US"/>
        </w:rPr>
        <w:t>2 January 2015</w:t>
      </w:r>
      <w:r w:rsidR="00961CF2">
        <w:rPr>
          <w:lang w:val="en-US"/>
        </w:rPr>
        <w:t>)</w:t>
      </w:r>
      <w:r w:rsidR="007425A6">
        <w:rPr>
          <w:lang w:val="en-US"/>
        </w:rPr>
        <w:t xml:space="preserve">. </w:t>
      </w:r>
      <w:proofErr w:type="gramStart"/>
      <w:r w:rsidR="007425A6">
        <w:rPr>
          <w:lang w:val="en-US"/>
        </w:rPr>
        <w:t>A</w:t>
      </w:r>
      <w:r>
        <w:rPr>
          <w:lang w:val="en-US"/>
        </w:rPr>
        <w:t xml:space="preserve">vailable from </w:t>
      </w:r>
      <w:r w:rsidRPr="00232B55">
        <w:rPr>
          <w:lang w:val="en-US"/>
        </w:rPr>
        <w:t>http://allafrica.com/stories/201501030132.html</w:t>
      </w:r>
      <w:r>
        <w:t>.</w:t>
      </w:r>
      <w:proofErr w:type="gramEnd"/>
    </w:p>
  </w:footnote>
  <w:footnote w:id="6">
    <w:p w:rsidR="00B03924" w:rsidRPr="002623B4" w:rsidRDefault="00B03924">
      <w:pPr>
        <w:pStyle w:val="FootnoteText"/>
      </w:pPr>
      <w:r w:rsidRPr="007001B0">
        <w:rPr>
          <w:lang w:val="en-US"/>
        </w:rPr>
        <w:tab/>
      </w:r>
      <w:r w:rsidRPr="00D542CF">
        <w:rPr>
          <w:rStyle w:val="FootnoteReference"/>
        </w:rPr>
        <w:footnoteRef/>
      </w:r>
      <w:r w:rsidRPr="007001B0">
        <w:rPr>
          <w:lang w:val="en-US"/>
        </w:rPr>
        <w:tab/>
      </w:r>
      <w:r w:rsidRPr="002623B4">
        <w:t xml:space="preserve">The author refers to the </w:t>
      </w:r>
      <w:r>
        <w:t xml:space="preserve">briefing of 23 October 2014 of Amnesty International entitled </w:t>
      </w:r>
      <w:r w:rsidRPr="002623B4">
        <w:rPr>
          <w:i/>
        </w:rPr>
        <w:t>Somalia: Forced returns to south and central Somalia, including to al-Shabaab areas: A blatant violation of</w:t>
      </w:r>
      <w:r w:rsidR="002A24DC">
        <w:rPr>
          <w:i/>
        </w:rPr>
        <w:t> </w:t>
      </w:r>
      <w:r w:rsidRPr="002623B4">
        <w:rPr>
          <w:i/>
        </w:rPr>
        <w:t>international law</w:t>
      </w:r>
      <w:r w:rsidR="00961CF2" w:rsidRPr="00760D0A">
        <w:rPr>
          <w:i/>
          <w:lang w:val="en-US"/>
        </w:rPr>
        <w:t>.</w:t>
      </w:r>
      <w:r w:rsidRPr="002623B4">
        <w:rPr>
          <w:i/>
        </w:rPr>
        <w:t xml:space="preserve"> </w:t>
      </w:r>
      <w:proofErr w:type="gramStart"/>
      <w:r w:rsidR="00961CF2" w:rsidRPr="00760D0A">
        <w:rPr>
          <w:lang w:val="en-US"/>
        </w:rPr>
        <w:t>A</w:t>
      </w:r>
      <w:proofErr w:type="spellStart"/>
      <w:r w:rsidRPr="002623B4">
        <w:t>vailable</w:t>
      </w:r>
      <w:proofErr w:type="spellEnd"/>
      <w:r w:rsidRPr="002623B4">
        <w:t xml:space="preserve"> </w:t>
      </w:r>
      <w:r w:rsidR="00961CF2" w:rsidRPr="00760D0A">
        <w:rPr>
          <w:lang w:val="en-US"/>
        </w:rPr>
        <w:t>from</w:t>
      </w:r>
      <w:r w:rsidRPr="002623B4">
        <w:t xml:space="preserve"> </w:t>
      </w:r>
      <w:r w:rsidRPr="00077F52">
        <w:t>https://www.amnesty.org/en/documents/afr52/005/2014/en</w:t>
      </w:r>
      <w:r>
        <w:t>.</w:t>
      </w:r>
      <w:proofErr w:type="gramEnd"/>
    </w:p>
  </w:footnote>
  <w:footnote w:id="7">
    <w:p w:rsidR="00B03924" w:rsidRPr="004D2942" w:rsidRDefault="00B03924" w:rsidP="00B03924">
      <w:pPr>
        <w:pStyle w:val="FootnoteText"/>
      </w:pPr>
      <w:r w:rsidRPr="00760D0A">
        <w:rPr>
          <w:lang w:val="en-US"/>
        </w:rPr>
        <w:tab/>
      </w:r>
      <w:r w:rsidRPr="00D542CF">
        <w:rPr>
          <w:rStyle w:val="FootnoteReference"/>
        </w:rPr>
        <w:footnoteRef/>
      </w:r>
      <w:r w:rsidRPr="00760D0A">
        <w:rPr>
          <w:lang w:val="en-US"/>
        </w:rPr>
        <w:tab/>
      </w:r>
      <w:proofErr w:type="gramStart"/>
      <w:r w:rsidRPr="004D2942">
        <w:t>For</w:t>
      </w:r>
      <w:r w:rsidRPr="00760D0A">
        <w:rPr>
          <w:lang w:val="en-US"/>
        </w:rPr>
        <w:t xml:space="preserve"> a</w:t>
      </w:r>
      <w:r w:rsidRPr="004D2942">
        <w:t xml:space="preserve"> full description</w:t>
      </w:r>
      <w:r>
        <w:t>,</w:t>
      </w:r>
      <w:r w:rsidRPr="004D2942">
        <w:t xml:space="preserve"> see communication </w:t>
      </w:r>
      <w:r>
        <w:t xml:space="preserve">No. </w:t>
      </w:r>
      <w:r w:rsidRPr="007E4C75">
        <w:t>2493/2014</w:t>
      </w:r>
      <w:r>
        <w:t xml:space="preserve">, </w:t>
      </w:r>
      <w:r w:rsidRPr="004D2942">
        <w:rPr>
          <w:i/>
        </w:rPr>
        <w:t>A.H.A. v. Denmark</w:t>
      </w:r>
      <w:r>
        <w:t>, Views adopted on 8</w:t>
      </w:r>
      <w:r w:rsidR="002A24DC">
        <w:t> </w:t>
      </w:r>
      <w:r>
        <w:t>July 2016, paras.</w:t>
      </w:r>
      <w:proofErr w:type="gramEnd"/>
      <w:r>
        <w:t xml:space="preserve"> 4.2-4.7. </w:t>
      </w:r>
    </w:p>
  </w:footnote>
  <w:footnote w:id="8">
    <w:p w:rsidR="00B03924" w:rsidRPr="00A72D74" w:rsidRDefault="00B03924" w:rsidP="000D6FCE">
      <w:pPr>
        <w:pStyle w:val="FootnoteText"/>
      </w:pPr>
      <w:r w:rsidRPr="007001B0">
        <w:rPr>
          <w:lang w:val="en-US"/>
        </w:rPr>
        <w:tab/>
      </w:r>
      <w:r w:rsidRPr="00D542CF">
        <w:rPr>
          <w:rStyle w:val="FootnoteReference"/>
        </w:rPr>
        <w:footnoteRef/>
      </w:r>
      <w:r w:rsidRPr="007001B0">
        <w:rPr>
          <w:lang w:val="en-US"/>
        </w:rPr>
        <w:tab/>
      </w:r>
      <w:proofErr w:type="gramStart"/>
      <w:r w:rsidRPr="00447D59">
        <w:t>See</w:t>
      </w:r>
      <w:r w:rsidRPr="000D6FCE">
        <w:t>,</w:t>
      </w:r>
      <w:proofErr w:type="gramEnd"/>
      <w:r w:rsidRPr="000D6FCE">
        <w:t xml:space="preserve"> </w:t>
      </w:r>
      <w:r w:rsidRPr="00760D0A">
        <w:t>inter alia</w:t>
      </w:r>
      <w:r w:rsidRPr="000D6FCE">
        <w:t>,</w:t>
      </w:r>
      <w:r w:rsidRPr="00447D59">
        <w:t xml:space="preserve"> the </w:t>
      </w:r>
      <w:r w:rsidR="000D6FCE" w:rsidRPr="00760D0A">
        <w:rPr>
          <w:lang w:val="en-US"/>
        </w:rPr>
        <w:t>V</w:t>
      </w:r>
      <w:proofErr w:type="spellStart"/>
      <w:r w:rsidRPr="00447D59">
        <w:t>iews</w:t>
      </w:r>
      <w:proofErr w:type="spellEnd"/>
      <w:r w:rsidRPr="00447D59">
        <w:t xml:space="preserve"> adopted by the Committee on 26 March 2014 in </w:t>
      </w:r>
      <w:r w:rsidRPr="00447D59">
        <w:rPr>
          <w:i/>
          <w:iCs/>
        </w:rPr>
        <w:t>J.J.M. v. Denmark</w:t>
      </w:r>
      <w:r w:rsidRPr="00447D59">
        <w:t>, para.</w:t>
      </w:r>
      <w:r w:rsidR="002A24DC">
        <w:t> </w:t>
      </w:r>
      <w:r w:rsidRPr="00447D59">
        <w:t xml:space="preserve">9.2. </w:t>
      </w:r>
    </w:p>
  </w:footnote>
  <w:footnote w:id="9">
    <w:p w:rsidR="00B03924" w:rsidRPr="00D20E19" w:rsidRDefault="00B03924" w:rsidP="00633BAD">
      <w:pPr>
        <w:pStyle w:val="FootnoteText"/>
      </w:pPr>
      <w:r w:rsidRPr="007001B0">
        <w:rPr>
          <w:lang w:val="en-US"/>
        </w:rPr>
        <w:tab/>
      </w:r>
      <w:r w:rsidRPr="00D542CF">
        <w:rPr>
          <w:rStyle w:val="FootnoteReference"/>
        </w:rPr>
        <w:footnoteRef/>
      </w:r>
      <w:r w:rsidRPr="00633BAD">
        <w:rPr>
          <w:lang w:val="en-US"/>
        </w:rPr>
        <w:tab/>
      </w:r>
      <w:proofErr w:type="gramStart"/>
      <w:r w:rsidR="00633BAD" w:rsidRPr="00760D0A">
        <w:rPr>
          <w:lang w:val="en-US"/>
        </w:rPr>
        <w:t>A</w:t>
      </w:r>
      <w:proofErr w:type="spellStart"/>
      <w:r>
        <w:t>vailable</w:t>
      </w:r>
      <w:proofErr w:type="spellEnd"/>
      <w:r>
        <w:t xml:space="preserve"> </w:t>
      </w:r>
      <w:r w:rsidR="00633BAD" w:rsidRPr="00760D0A">
        <w:rPr>
          <w:lang w:val="en-US"/>
        </w:rPr>
        <w:t>from</w:t>
      </w:r>
      <w:r>
        <w:t xml:space="preserve"> </w:t>
      </w:r>
      <w:r w:rsidR="00633BAD" w:rsidRPr="00633BAD">
        <w:t>www.refworld.org/docid/544a20c74.html</w:t>
      </w:r>
      <w:r w:rsidR="00633BAD">
        <w:t>.</w:t>
      </w:r>
      <w:proofErr w:type="gramEnd"/>
      <w:r w:rsidR="00633BAD" w:rsidRPr="00633BAD" w:rsidDel="00633BAD">
        <w:t xml:space="preserve"> </w:t>
      </w:r>
    </w:p>
  </w:footnote>
  <w:footnote w:id="10">
    <w:p w:rsidR="0012149B" w:rsidRPr="00760D0A" w:rsidRDefault="0012149B" w:rsidP="0012149B">
      <w:pPr>
        <w:pStyle w:val="FootnoteText"/>
        <w:rPr>
          <w:lang w:val="en-US"/>
        </w:rPr>
      </w:pPr>
      <w:r>
        <w:tab/>
      </w:r>
      <w:r w:rsidRPr="00D542CF">
        <w:rPr>
          <w:rStyle w:val="FootnoteReference"/>
        </w:rPr>
        <w:footnoteRef/>
      </w:r>
      <w:r>
        <w:tab/>
      </w:r>
      <w:proofErr w:type="gramStart"/>
      <w:r w:rsidRPr="00760D0A">
        <w:rPr>
          <w:lang w:val="en-US"/>
        </w:rPr>
        <w:t xml:space="preserve">Available from </w:t>
      </w:r>
      <w:r w:rsidRPr="0012149B">
        <w:t>www.refworld.org/docid/539193314.html</w:t>
      </w:r>
      <w:r>
        <w:t>.</w:t>
      </w:r>
      <w:proofErr w:type="gramEnd"/>
    </w:p>
  </w:footnote>
  <w:footnote w:id="11">
    <w:p w:rsidR="00B03924" w:rsidRPr="00760D0A" w:rsidRDefault="00B03924">
      <w:pPr>
        <w:pStyle w:val="FootnoteText"/>
        <w:rPr>
          <w:lang w:val="en-US"/>
        </w:rPr>
      </w:pPr>
      <w:r w:rsidRPr="00633BAD">
        <w:rPr>
          <w:lang w:val="en-US"/>
        </w:rPr>
        <w:tab/>
      </w:r>
      <w:r w:rsidRPr="00D542CF">
        <w:rPr>
          <w:rStyle w:val="FootnoteReference"/>
        </w:rPr>
        <w:footnoteRef/>
      </w:r>
      <w:r w:rsidRPr="007001B0">
        <w:rPr>
          <w:lang w:val="en-US"/>
        </w:rPr>
        <w:tab/>
      </w:r>
      <w:r w:rsidRPr="00BA43D4">
        <w:t xml:space="preserve">See, in particular, page 1 of </w:t>
      </w:r>
      <w:r w:rsidR="0012149B" w:rsidRPr="00760D0A">
        <w:rPr>
          <w:lang w:val="en-US"/>
        </w:rPr>
        <w:t xml:space="preserve">the </w:t>
      </w:r>
      <w:r w:rsidR="0012149B">
        <w:rPr>
          <w:lang w:val="en-US"/>
        </w:rPr>
        <w:t xml:space="preserve">document entitled </w:t>
      </w:r>
      <w:r w:rsidR="0012149B" w:rsidRPr="00A72D74">
        <w:t>“</w:t>
      </w:r>
      <w:r w:rsidRPr="00BA43D4">
        <w:t xml:space="preserve">Addendum to 2010 UNHCR </w:t>
      </w:r>
      <w:r w:rsidR="0012149B" w:rsidRPr="00760D0A">
        <w:rPr>
          <w:lang w:val="en-US"/>
        </w:rPr>
        <w:t>e</w:t>
      </w:r>
      <w:proofErr w:type="spellStart"/>
      <w:r w:rsidRPr="00BA43D4">
        <w:t>ligibility</w:t>
      </w:r>
      <w:proofErr w:type="spellEnd"/>
      <w:r w:rsidRPr="00BA43D4">
        <w:t xml:space="preserve"> </w:t>
      </w:r>
      <w:r w:rsidR="0012149B" w:rsidRPr="00760D0A">
        <w:rPr>
          <w:lang w:val="en-US"/>
        </w:rPr>
        <w:t>g</w:t>
      </w:r>
      <w:proofErr w:type="spellStart"/>
      <w:r w:rsidRPr="00BA43D4">
        <w:t>uidelines</w:t>
      </w:r>
      <w:proofErr w:type="spellEnd"/>
      <w:r w:rsidRPr="00BA43D4">
        <w:t xml:space="preserve"> for </w:t>
      </w:r>
      <w:r w:rsidR="0012149B" w:rsidRPr="00760D0A">
        <w:rPr>
          <w:lang w:val="en-US"/>
        </w:rPr>
        <w:t>a</w:t>
      </w:r>
      <w:proofErr w:type="spellStart"/>
      <w:r w:rsidRPr="00BA43D4">
        <w:t>ssessing</w:t>
      </w:r>
      <w:proofErr w:type="spellEnd"/>
      <w:r w:rsidRPr="00BA43D4">
        <w:t xml:space="preserve"> the </w:t>
      </w:r>
      <w:proofErr w:type="spellStart"/>
      <w:r w:rsidR="0012149B" w:rsidRPr="00760D0A">
        <w:rPr>
          <w:lang w:val="en-US"/>
        </w:rPr>
        <w:t>i</w:t>
      </w:r>
      <w:r w:rsidRPr="00BA43D4">
        <w:t>nternational</w:t>
      </w:r>
      <w:proofErr w:type="spellEnd"/>
      <w:r w:rsidRPr="00BA43D4">
        <w:t xml:space="preserve"> </w:t>
      </w:r>
      <w:r w:rsidR="0012149B" w:rsidRPr="00760D0A">
        <w:rPr>
          <w:lang w:val="en-US"/>
        </w:rPr>
        <w:t>p</w:t>
      </w:r>
      <w:proofErr w:type="spellStart"/>
      <w:r w:rsidRPr="00BA43D4">
        <w:t>rotection</w:t>
      </w:r>
      <w:proofErr w:type="spellEnd"/>
      <w:r w:rsidRPr="00BA43D4">
        <w:t xml:space="preserve"> </w:t>
      </w:r>
      <w:r w:rsidR="0012149B" w:rsidRPr="00760D0A">
        <w:rPr>
          <w:lang w:val="en-US"/>
        </w:rPr>
        <w:t>n</w:t>
      </w:r>
      <w:proofErr w:type="spellStart"/>
      <w:r w:rsidRPr="00BA43D4">
        <w:t>eeds</w:t>
      </w:r>
      <w:proofErr w:type="spellEnd"/>
      <w:r w:rsidRPr="00BA43D4">
        <w:t xml:space="preserve"> of </w:t>
      </w:r>
      <w:r w:rsidR="0012149B" w:rsidRPr="00760D0A">
        <w:rPr>
          <w:lang w:val="en-US"/>
        </w:rPr>
        <w:t>a</w:t>
      </w:r>
      <w:proofErr w:type="spellStart"/>
      <w:r w:rsidRPr="00BA43D4">
        <w:t>sylum</w:t>
      </w:r>
      <w:proofErr w:type="spellEnd"/>
      <w:r w:rsidR="000E7CB0" w:rsidRPr="00760D0A">
        <w:rPr>
          <w:lang w:val="en-US"/>
        </w:rPr>
        <w:t xml:space="preserve"> </w:t>
      </w:r>
      <w:r w:rsidR="0012149B" w:rsidRPr="00760D0A">
        <w:rPr>
          <w:lang w:val="en-US"/>
        </w:rPr>
        <w:t>s</w:t>
      </w:r>
      <w:proofErr w:type="spellStart"/>
      <w:r w:rsidRPr="00BA43D4">
        <w:t>eekers</w:t>
      </w:r>
      <w:proofErr w:type="spellEnd"/>
      <w:r w:rsidRPr="00BA43D4">
        <w:t xml:space="preserve"> from Somalia</w:t>
      </w:r>
      <w:r w:rsidR="0012149B" w:rsidRPr="00A72D74">
        <w:t>”</w:t>
      </w:r>
      <w:r w:rsidRPr="00BA43D4">
        <w:t xml:space="preserve">, </w:t>
      </w:r>
      <w:r w:rsidR="0012149B" w:rsidRPr="00760D0A">
        <w:rPr>
          <w:lang w:val="en-US"/>
        </w:rPr>
        <w:t>which</w:t>
      </w:r>
      <w:r w:rsidR="0012149B">
        <w:rPr>
          <w:lang w:val="en-US"/>
        </w:rPr>
        <w:t xml:space="preserve"> </w:t>
      </w:r>
      <w:proofErr w:type="spellStart"/>
      <w:r w:rsidRPr="00BA43D4">
        <w:t>relat</w:t>
      </w:r>
      <w:r w:rsidR="0012149B" w:rsidRPr="00760D0A">
        <w:rPr>
          <w:lang w:val="en-US"/>
        </w:rPr>
        <w:t>e</w:t>
      </w:r>
      <w:r w:rsidR="0012149B">
        <w:rPr>
          <w:lang w:val="en-US"/>
        </w:rPr>
        <w:t>s</w:t>
      </w:r>
      <w:proofErr w:type="spellEnd"/>
      <w:r w:rsidRPr="00BA43D4">
        <w:t xml:space="preserve"> specifically to the city of </w:t>
      </w:r>
      <w:proofErr w:type="spellStart"/>
      <w:r w:rsidRPr="00BA43D4">
        <w:t>Galkayo</w:t>
      </w:r>
      <w:proofErr w:type="spellEnd"/>
      <w:r w:rsidRPr="00BA43D4">
        <w:t>.</w:t>
      </w:r>
      <w:r w:rsidR="0012149B" w:rsidRPr="00760D0A">
        <w:rPr>
          <w:lang w:val="en-US"/>
        </w:rPr>
        <w:t xml:space="preserve"> </w:t>
      </w:r>
      <w:proofErr w:type="gramStart"/>
      <w:r w:rsidR="0012149B">
        <w:rPr>
          <w:lang w:val="en-US"/>
        </w:rPr>
        <w:t xml:space="preserve">Available from </w:t>
      </w:r>
      <w:r w:rsidR="0012149B" w:rsidRPr="0012149B">
        <w:t>www.refworld.org/docid/4f675c5e2.html</w:t>
      </w:r>
      <w:r w:rsidR="0012149B">
        <w:t>.</w:t>
      </w:r>
      <w:proofErr w:type="gramEnd"/>
    </w:p>
  </w:footnote>
  <w:footnote w:id="12">
    <w:p w:rsidR="007425A6" w:rsidRPr="00760D0A" w:rsidRDefault="007425A6">
      <w:pPr>
        <w:pStyle w:val="FootnoteText"/>
        <w:rPr>
          <w:lang w:val="en-US"/>
        </w:rPr>
      </w:pPr>
      <w:r>
        <w:tab/>
      </w:r>
      <w:r w:rsidRPr="00D542CF">
        <w:rPr>
          <w:rStyle w:val="FootnoteReference"/>
        </w:rPr>
        <w:footnoteRef/>
      </w:r>
      <w:r>
        <w:tab/>
      </w:r>
      <w:proofErr w:type="gramStart"/>
      <w:r w:rsidR="00625DEF">
        <w:rPr>
          <w:lang w:val="en-US"/>
        </w:rPr>
        <w:t xml:space="preserve">Available from </w:t>
      </w:r>
      <w:r w:rsidR="00625DEF" w:rsidRPr="00232B55">
        <w:rPr>
          <w:lang w:val="en-US"/>
        </w:rPr>
        <w:t>http://allafrica.com/stories/201501030132.html</w:t>
      </w:r>
      <w:r w:rsidR="00625DEF">
        <w:t>.</w:t>
      </w:r>
      <w:proofErr w:type="gramEnd"/>
    </w:p>
  </w:footnote>
  <w:footnote w:id="13">
    <w:p w:rsidR="00B03924" w:rsidRPr="005216A9" w:rsidRDefault="00B03924">
      <w:pPr>
        <w:pStyle w:val="FootnoteText"/>
      </w:pPr>
      <w:r w:rsidRPr="007001B0">
        <w:rPr>
          <w:lang w:val="en-US"/>
        </w:rPr>
        <w:tab/>
      </w:r>
      <w:r w:rsidRPr="00D542CF">
        <w:rPr>
          <w:rStyle w:val="FootnoteReference"/>
        </w:rPr>
        <w:footnoteRef/>
      </w:r>
      <w:r w:rsidRPr="007001B0">
        <w:rPr>
          <w:lang w:val="en-US"/>
        </w:rPr>
        <w:tab/>
      </w:r>
      <w:r w:rsidRPr="005216A9">
        <w:t>See communication No</w:t>
      </w:r>
      <w:r w:rsidR="006817BF" w:rsidRPr="00760D0A">
        <w:rPr>
          <w:lang w:val="en-US"/>
        </w:rPr>
        <w:t>.</w:t>
      </w:r>
      <w:r w:rsidRPr="005216A9">
        <w:t xml:space="preserve"> 2272/2013, Views </w:t>
      </w:r>
      <w:r w:rsidR="006817BF" w:rsidRPr="00760D0A">
        <w:rPr>
          <w:lang w:val="en-US"/>
        </w:rPr>
        <w:t>adopted on</w:t>
      </w:r>
      <w:r w:rsidRPr="005216A9">
        <w:t xml:space="preserve"> </w:t>
      </w:r>
      <w:r w:rsidRPr="005216A9">
        <w:rPr>
          <w:lang w:val="en-US"/>
        </w:rPr>
        <w:t xml:space="preserve">1 April 2015, </w:t>
      </w:r>
      <w:r w:rsidRPr="005216A9">
        <w:t>para</w:t>
      </w:r>
      <w:r w:rsidR="00F37054" w:rsidRPr="00760D0A">
        <w:rPr>
          <w:lang w:val="en-US"/>
        </w:rPr>
        <w:t>.</w:t>
      </w:r>
      <w:r w:rsidRPr="005216A9">
        <w:t xml:space="preserve"> 7.3.</w:t>
      </w:r>
    </w:p>
  </w:footnote>
  <w:footnote w:id="14">
    <w:p w:rsidR="00B03924" w:rsidRPr="00096267" w:rsidRDefault="00B03924" w:rsidP="006817BF">
      <w:pPr>
        <w:pStyle w:val="FootnoteText"/>
      </w:pPr>
      <w:r w:rsidRPr="007001B0">
        <w:rPr>
          <w:lang w:val="en-US"/>
        </w:rPr>
        <w:tab/>
      </w:r>
      <w:r w:rsidRPr="00D542CF">
        <w:rPr>
          <w:rStyle w:val="FootnoteReference"/>
        </w:rPr>
        <w:footnoteRef/>
      </w:r>
      <w:r w:rsidRPr="007001B0">
        <w:rPr>
          <w:lang w:val="en-US"/>
        </w:rPr>
        <w:tab/>
      </w:r>
      <w:r w:rsidRPr="005216A9">
        <w:t>See c</w:t>
      </w:r>
      <w:r w:rsidRPr="005216A9">
        <w:rPr>
          <w:iCs/>
        </w:rPr>
        <w:t>ommunication</w:t>
      </w:r>
      <w:r w:rsidRPr="00096267">
        <w:rPr>
          <w:iCs/>
        </w:rPr>
        <w:t xml:space="preserve"> No</w:t>
      </w:r>
      <w:r w:rsidR="006817BF" w:rsidRPr="00760D0A">
        <w:rPr>
          <w:iCs/>
          <w:lang w:val="en-US"/>
        </w:rPr>
        <w:t>.</w:t>
      </w:r>
      <w:r>
        <w:rPr>
          <w:iCs/>
        </w:rPr>
        <w:t xml:space="preserve"> </w:t>
      </w:r>
      <w:r>
        <w:t>2186/2012, V</w:t>
      </w:r>
      <w:r w:rsidRPr="00096267">
        <w:t xml:space="preserve">iews </w:t>
      </w:r>
      <w:r w:rsidR="006817BF" w:rsidRPr="00135975">
        <w:rPr>
          <w:lang w:val="en-US"/>
        </w:rPr>
        <w:t>adopted on</w:t>
      </w:r>
      <w:r w:rsidR="006817BF" w:rsidRPr="005216A9">
        <w:t xml:space="preserve"> </w:t>
      </w:r>
      <w:r w:rsidRPr="00096267">
        <w:t>22 October 2014, para</w:t>
      </w:r>
      <w:r w:rsidR="00F37054" w:rsidRPr="00760D0A">
        <w:rPr>
          <w:lang w:val="en-US"/>
        </w:rPr>
        <w:t>.</w:t>
      </w:r>
      <w:r w:rsidRPr="00096267">
        <w:t xml:space="preserve"> 7.5</w:t>
      </w:r>
      <w:r>
        <w:t>.</w:t>
      </w:r>
    </w:p>
  </w:footnote>
  <w:footnote w:id="15">
    <w:p w:rsidR="00B03924" w:rsidRPr="00760D0A" w:rsidRDefault="00B03924">
      <w:pPr>
        <w:pStyle w:val="FootnoteText"/>
        <w:rPr>
          <w:lang w:val="en-US"/>
        </w:rPr>
      </w:pPr>
      <w:r w:rsidRPr="00760D0A">
        <w:rPr>
          <w:lang w:val="en-US"/>
        </w:rPr>
        <w:tab/>
      </w:r>
      <w:r w:rsidRPr="00D542CF">
        <w:rPr>
          <w:rStyle w:val="FootnoteReference"/>
        </w:rPr>
        <w:footnoteRef/>
      </w:r>
      <w:r w:rsidRPr="00760D0A">
        <w:rPr>
          <w:lang w:val="en-US"/>
        </w:rPr>
        <w:tab/>
      </w:r>
      <w:r>
        <w:t>See</w:t>
      </w:r>
      <w:r w:rsidR="00F37054" w:rsidRPr="00760D0A">
        <w:rPr>
          <w:lang w:val="en-US"/>
        </w:rPr>
        <w:t>,</w:t>
      </w:r>
      <w:r>
        <w:t xml:space="preserve"> for example</w:t>
      </w:r>
      <w:r w:rsidR="00F37054" w:rsidRPr="00760D0A">
        <w:rPr>
          <w:lang w:val="en-US"/>
        </w:rPr>
        <w:t>,</w:t>
      </w:r>
      <w:r w:rsidR="00F37054" w:rsidRPr="00F37054">
        <w:rPr>
          <w:lang w:val="en-US"/>
        </w:rPr>
        <w:t xml:space="preserve"> </w:t>
      </w:r>
      <w:r w:rsidR="00F37054">
        <w:t>“</w:t>
      </w:r>
      <w:r>
        <w:t xml:space="preserve">UNHCR </w:t>
      </w:r>
      <w:r w:rsidR="00F37054" w:rsidRPr="00760D0A">
        <w:rPr>
          <w:lang w:val="en-US"/>
        </w:rPr>
        <w:t>p</w:t>
      </w:r>
      <w:proofErr w:type="spellStart"/>
      <w:r>
        <w:t>osition</w:t>
      </w:r>
      <w:proofErr w:type="spellEnd"/>
      <w:r>
        <w:t xml:space="preserve"> on </w:t>
      </w:r>
      <w:r w:rsidR="00F37054" w:rsidRPr="00760D0A">
        <w:rPr>
          <w:lang w:val="en-US"/>
        </w:rPr>
        <w:t xml:space="preserve">returns to </w:t>
      </w:r>
      <w:r>
        <w:t>Southern and Central Somalia (</w:t>
      </w:r>
      <w:r w:rsidR="00F37054" w:rsidRPr="00760D0A">
        <w:rPr>
          <w:lang w:val="en-US"/>
        </w:rPr>
        <w:t>u</w:t>
      </w:r>
      <w:proofErr w:type="spellStart"/>
      <w:r>
        <w:t>pdate</w:t>
      </w:r>
      <w:proofErr w:type="spellEnd"/>
      <w:r>
        <w:t xml:space="preserve"> 1)</w:t>
      </w:r>
      <w:r w:rsidR="0048204F">
        <w:t>”</w:t>
      </w:r>
      <w:r>
        <w:t>, May</w:t>
      </w:r>
      <w:r w:rsidR="0058791E">
        <w:t> </w:t>
      </w:r>
      <w:r>
        <w:t>2016, para.</w:t>
      </w:r>
      <w:r w:rsidR="00F37054" w:rsidRPr="00760D0A">
        <w:rPr>
          <w:lang w:val="en-US"/>
        </w:rPr>
        <w:t xml:space="preserve"> </w:t>
      </w:r>
      <w:r>
        <w:t>6</w:t>
      </w:r>
      <w:r w:rsidR="00F37054" w:rsidRPr="00760D0A">
        <w:rPr>
          <w:lang w:val="en-US"/>
        </w:rPr>
        <w:t>. Available from www.refworld.org/pdfid/573de9fe4.pdf.</w:t>
      </w:r>
    </w:p>
  </w:footnote>
  <w:footnote w:id="16">
    <w:p w:rsidR="00B03924" w:rsidRPr="00DA1015" w:rsidRDefault="00B03924">
      <w:pPr>
        <w:pStyle w:val="FootnoteText"/>
      </w:pPr>
      <w:r w:rsidRPr="00DF5FE0">
        <w:tab/>
      </w:r>
      <w:r w:rsidRPr="00D542CF">
        <w:rPr>
          <w:rStyle w:val="FootnoteReference"/>
        </w:rPr>
        <w:footnoteRef/>
      </w:r>
      <w:r w:rsidRPr="00DF5FE0">
        <w:tab/>
      </w:r>
      <w:r w:rsidRPr="002E7BC8">
        <w:t xml:space="preserve">See </w:t>
      </w:r>
      <w:r>
        <w:t>c</w:t>
      </w:r>
      <w:r w:rsidRPr="002E7BC8">
        <w:t xml:space="preserve">ommunications </w:t>
      </w:r>
      <w:r w:rsidRPr="004021B8">
        <w:t xml:space="preserve">No. 1616/2007, </w:t>
      </w:r>
      <w:proofErr w:type="spellStart"/>
      <w:r w:rsidRPr="004021B8">
        <w:rPr>
          <w:i/>
        </w:rPr>
        <w:t>Manzano</w:t>
      </w:r>
      <w:proofErr w:type="spellEnd"/>
      <w:r w:rsidRPr="004021B8">
        <w:rPr>
          <w:i/>
        </w:rPr>
        <w:t xml:space="preserve"> </w:t>
      </w:r>
      <w:r w:rsidR="00961CF2">
        <w:rPr>
          <w:i/>
        </w:rPr>
        <w:t>and others</w:t>
      </w:r>
      <w:r w:rsidRPr="004021B8">
        <w:rPr>
          <w:i/>
        </w:rPr>
        <w:t xml:space="preserve"> v. Colombia</w:t>
      </w:r>
      <w:r w:rsidRPr="004021B8">
        <w:t>, decision adopted on 19</w:t>
      </w:r>
      <w:r w:rsidR="0058791E">
        <w:t> </w:t>
      </w:r>
      <w:r w:rsidRPr="004021B8">
        <w:t xml:space="preserve">March 2010, para. </w:t>
      </w:r>
      <w:proofErr w:type="gramStart"/>
      <w:r w:rsidRPr="004021B8">
        <w:t>6.4</w:t>
      </w:r>
      <w:r w:rsidR="00961CF2">
        <w:t>;</w:t>
      </w:r>
      <w:r w:rsidRPr="004021B8">
        <w:t xml:space="preserve"> </w:t>
      </w:r>
      <w:r w:rsidR="00961CF2">
        <w:t xml:space="preserve">No. </w:t>
      </w:r>
      <w:r w:rsidRPr="004021B8">
        <w:t xml:space="preserve">1622/2007, </w:t>
      </w:r>
      <w:r w:rsidRPr="004021B8">
        <w:rPr>
          <w:i/>
        </w:rPr>
        <w:t>L.D.L.P v. Spain</w:t>
      </w:r>
      <w:r w:rsidRPr="004021B8">
        <w:t>, decision adopted on 26 July 2011, para.</w:t>
      </w:r>
      <w:proofErr w:type="gramEnd"/>
      <w:r w:rsidR="0058791E">
        <w:t> </w:t>
      </w:r>
      <w:proofErr w:type="gramStart"/>
      <w:r w:rsidRPr="004021B8">
        <w:t xml:space="preserve">6.3; and </w:t>
      </w:r>
      <w:r w:rsidR="00961CF2">
        <w:t xml:space="preserve">No. </w:t>
      </w:r>
      <w:r w:rsidRPr="004021B8">
        <w:t xml:space="preserve">2070/2011, </w:t>
      </w:r>
      <w:proofErr w:type="spellStart"/>
      <w:r w:rsidRPr="004021B8">
        <w:rPr>
          <w:i/>
        </w:rPr>
        <w:t>Cañada</w:t>
      </w:r>
      <w:proofErr w:type="spellEnd"/>
      <w:r w:rsidRPr="004021B8">
        <w:rPr>
          <w:i/>
        </w:rPr>
        <w:t xml:space="preserve"> Mora v. Spain</w:t>
      </w:r>
      <w:r w:rsidRPr="004021B8">
        <w:t xml:space="preserve">, </w:t>
      </w:r>
      <w:r w:rsidRPr="00760D0A">
        <w:rPr>
          <w:spacing w:val="-2"/>
        </w:rPr>
        <w:t>decision adopted on 28 October 2014, para.</w:t>
      </w:r>
      <w:proofErr w:type="gramEnd"/>
      <w:r w:rsidRPr="00760D0A">
        <w:rPr>
          <w:spacing w:val="-2"/>
        </w:rPr>
        <w:t xml:space="preserve"> 4.3.</w:t>
      </w:r>
    </w:p>
  </w:footnote>
  <w:footnote w:id="17">
    <w:p w:rsidR="00B03924" w:rsidRPr="00E0693B" w:rsidRDefault="00B03924">
      <w:pPr>
        <w:pStyle w:val="FootnoteText"/>
      </w:pPr>
      <w:r w:rsidRPr="00E0693B">
        <w:tab/>
      </w:r>
      <w:r w:rsidRPr="00D542CF">
        <w:rPr>
          <w:rStyle w:val="FootnoteReference"/>
        </w:rPr>
        <w:footnoteRef/>
      </w:r>
      <w:r w:rsidRPr="00E0693B">
        <w:tab/>
      </w:r>
      <w:proofErr w:type="gramStart"/>
      <w:r w:rsidRPr="00E0693B">
        <w:t xml:space="preserve">See also communication No. 1959/2010, </w:t>
      </w:r>
      <w:proofErr w:type="spellStart"/>
      <w:r w:rsidRPr="00E0693B">
        <w:rPr>
          <w:i/>
          <w:iCs/>
        </w:rPr>
        <w:t>Warsame</w:t>
      </w:r>
      <w:proofErr w:type="spellEnd"/>
      <w:r w:rsidRPr="00E0693B">
        <w:rPr>
          <w:i/>
          <w:iCs/>
        </w:rPr>
        <w:t xml:space="preserve"> </w:t>
      </w:r>
      <w:r w:rsidRPr="00760D0A">
        <w:rPr>
          <w:i/>
        </w:rPr>
        <w:t>v.</w:t>
      </w:r>
      <w:r w:rsidRPr="00E0693B">
        <w:rPr>
          <w:i/>
          <w:iCs/>
        </w:rPr>
        <w:t xml:space="preserve"> Canada</w:t>
      </w:r>
      <w:r w:rsidRPr="00E0693B">
        <w:t>, Views adopted on 21 July 2011, para.</w:t>
      </w:r>
      <w:proofErr w:type="gramEnd"/>
      <w:r w:rsidRPr="00E0693B">
        <w:t> 8.7.</w:t>
      </w:r>
    </w:p>
  </w:footnote>
  <w:footnote w:id="18">
    <w:p w:rsidR="00B03924" w:rsidRPr="002623B4" w:rsidRDefault="00B03924">
      <w:pPr>
        <w:pStyle w:val="FootnoteText"/>
      </w:pPr>
      <w:r w:rsidRPr="00F311E6">
        <w:tab/>
      </w:r>
      <w:r w:rsidRPr="00D542CF">
        <w:rPr>
          <w:rStyle w:val="FootnoteReference"/>
        </w:rPr>
        <w:footnoteRef/>
      </w:r>
      <w:r w:rsidRPr="001A1C42">
        <w:rPr>
          <w:lang w:val="en-US"/>
        </w:rPr>
        <w:tab/>
      </w:r>
      <w:proofErr w:type="gramStart"/>
      <w:r w:rsidRPr="002623B4">
        <w:t xml:space="preserve">See </w:t>
      </w:r>
      <w:r w:rsidRPr="00C6190D">
        <w:t>communication</w:t>
      </w:r>
      <w:r w:rsidRPr="002623B4">
        <w:t xml:space="preserve"> No</w:t>
      </w:r>
      <w:r w:rsidR="00F8017E">
        <w:t xml:space="preserve">. </w:t>
      </w:r>
      <w:r w:rsidRPr="002623B4">
        <w:t xml:space="preserve">2050/2011, </w:t>
      </w:r>
      <w:r w:rsidRPr="002623B4">
        <w:rPr>
          <w:i/>
        </w:rPr>
        <w:t>E.L.K. v. the Netherland</w:t>
      </w:r>
      <w:r>
        <w:t xml:space="preserve">s, </w:t>
      </w:r>
      <w:r w:rsidR="00F8017E">
        <w:t>d</w:t>
      </w:r>
      <w:r>
        <w:t xml:space="preserve">ecision on admissibility of </w:t>
      </w:r>
      <w:r w:rsidRPr="0086784B">
        <w:t>30 March</w:t>
      </w:r>
      <w:r w:rsidRPr="0086784B">
        <w:rPr>
          <w:lang w:val="en-US"/>
        </w:rPr>
        <w:t xml:space="preserve"> 2015</w:t>
      </w:r>
      <w:r>
        <w:t>, para</w:t>
      </w:r>
      <w:r w:rsidR="00F8017E">
        <w:t>.</w:t>
      </w:r>
      <w:proofErr w:type="gramEnd"/>
      <w:r>
        <w:t xml:space="preserve">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4" w:rsidRPr="00781C83" w:rsidRDefault="00B03924" w:rsidP="00781C83">
    <w:pPr>
      <w:pStyle w:val="Header"/>
    </w:pPr>
    <w:r>
      <w:t>CCPR/C/117/D/</w:t>
    </w:r>
    <w:r w:rsidRPr="00FB603B">
      <w:t>2</w:t>
    </w:r>
    <w:r>
      <w:t>559</w:t>
    </w:r>
    <w:r w:rsidRPr="00FB603B">
      <w:t>/201</w:t>
    </w: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24" w:rsidRPr="00781C83" w:rsidRDefault="00B03924" w:rsidP="00781C83">
    <w:pPr>
      <w:pStyle w:val="Header"/>
      <w:jc w:val="right"/>
    </w:pPr>
    <w:r>
      <w:t>CCPR/C/117/D/</w:t>
    </w:r>
    <w:r w:rsidRPr="00FB603B">
      <w:t>2</w:t>
    </w:r>
    <w:r>
      <w:t>559</w:t>
    </w:r>
    <w:r w:rsidRPr="00FB603B">
      <w:t>/201</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44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09D628B"/>
    <w:multiLevelType w:val="hybridMultilevel"/>
    <w:tmpl w:val="19509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397C"/>
    <w:rsid w:val="000044E2"/>
    <w:rsid w:val="00004760"/>
    <w:rsid w:val="00006AE6"/>
    <w:rsid w:val="0001627B"/>
    <w:rsid w:val="00016A5F"/>
    <w:rsid w:val="000170C3"/>
    <w:rsid w:val="000176AC"/>
    <w:rsid w:val="00023024"/>
    <w:rsid w:val="00024522"/>
    <w:rsid w:val="00025D41"/>
    <w:rsid w:val="0002635B"/>
    <w:rsid w:val="000268D0"/>
    <w:rsid w:val="000272B3"/>
    <w:rsid w:val="000332A2"/>
    <w:rsid w:val="0003387B"/>
    <w:rsid w:val="00033CD0"/>
    <w:rsid w:val="00036B13"/>
    <w:rsid w:val="00036F3F"/>
    <w:rsid w:val="000377A5"/>
    <w:rsid w:val="000379DC"/>
    <w:rsid w:val="00040138"/>
    <w:rsid w:val="0004092D"/>
    <w:rsid w:val="00041994"/>
    <w:rsid w:val="00043AFA"/>
    <w:rsid w:val="00046766"/>
    <w:rsid w:val="00046F2C"/>
    <w:rsid w:val="00050F6B"/>
    <w:rsid w:val="00054DCF"/>
    <w:rsid w:val="0005540B"/>
    <w:rsid w:val="00055FFE"/>
    <w:rsid w:val="0005782B"/>
    <w:rsid w:val="00057E97"/>
    <w:rsid w:val="00060C3A"/>
    <w:rsid w:val="00061B18"/>
    <w:rsid w:val="000630DF"/>
    <w:rsid w:val="00066476"/>
    <w:rsid w:val="000672D9"/>
    <w:rsid w:val="000673A3"/>
    <w:rsid w:val="00067CCE"/>
    <w:rsid w:val="000707D1"/>
    <w:rsid w:val="00072C8C"/>
    <w:rsid w:val="000733B5"/>
    <w:rsid w:val="00076088"/>
    <w:rsid w:val="0007685A"/>
    <w:rsid w:val="0007695F"/>
    <w:rsid w:val="00077BF9"/>
    <w:rsid w:val="00077F52"/>
    <w:rsid w:val="000803DA"/>
    <w:rsid w:val="00080B6B"/>
    <w:rsid w:val="00081815"/>
    <w:rsid w:val="00081BF7"/>
    <w:rsid w:val="0008245C"/>
    <w:rsid w:val="000838BA"/>
    <w:rsid w:val="00085A16"/>
    <w:rsid w:val="00090022"/>
    <w:rsid w:val="00090758"/>
    <w:rsid w:val="00091F15"/>
    <w:rsid w:val="000931C0"/>
    <w:rsid w:val="00093D88"/>
    <w:rsid w:val="0009642A"/>
    <w:rsid w:val="000970C1"/>
    <w:rsid w:val="000A2EE4"/>
    <w:rsid w:val="000A310C"/>
    <w:rsid w:val="000A5559"/>
    <w:rsid w:val="000A69CF"/>
    <w:rsid w:val="000B02C3"/>
    <w:rsid w:val="000B175B"/>
    <w:rsid w:val="000B1788"/>
    <w:rsid w:val="000B3A0F"/>
    <w:rsid w:val="000B4EF7"/>
    <w:rsid w:val="000B7CF0"/>
    <w:rsid w:val="000C2AB9"/>
    <w:rsid w:val="000C2C03"/>
    <w:rsid w:val="000C2D2E"/>
    <w:rsid w:val="000C2E06"/>
    <w:rsid w:val="000C3983"/>
    <w:rsid w:val="000C46B7"/>
    <w:rsid w:val="000C4DA0"/>
    <w:rsid w:val="000C6921"/>
    <w:rsid w:val="000C695D"/>
    <w:rsid w:val="000D0ABB"/>
    <w:rsid w:val="000D0C6A"/>
    <w:rsid w:val="000D2F8A"/>
    <w:rsid w:val="000D3D17"/>
    <w:rsid w:val="000D69E1"/>
    <w:rsid w:val="000D6E0C"/>
    <w:rsid w:val="000D6FCE"/>
    <w:rsid w:val="000E0415"/>
    <w:rsid w:val="000E07B1"/>
    <w:rsid w:val="000E0E8E"/>
    <w:rsid w:val="000E20F8"/>
    <w:rsid w:val="000E29B9"/>
    <w:rsid w:val="000E29F5"/>
    <w:rsid w:val="000E3240"/>
    <w:rsid w:val="000E4550"/>
    <w:rsid w:val="000E7537"/>
    <w:rsid w:val="000E7CB0"/>
    <w:rsid w:val="000F2810"/>
    <w:rsid w:val="000F3409"/>
    <w:rsid w:val="000F39F9"/>
    <w:rsid w:val="000F6A6B"/>
    <w:rsid w:val="000F7E69"/>
    <w:rsid w:val="00100F23"/>
    <w:rsid w:val="00101585"/>
    <w:rsid w:val="00102617"/>
    <w:rsid w:val="001037D9"/>
    <w:rsid w:val="001103AA"/>
    <w:rsid w:val="00110F83"/>
    <w:rsid w:val="00112792"/>
    <w:rsid w:val="00112984"/>
    <w:rsid w:val="001133DB"/>
    <w:rsid w:val="0011580E"/>
    <w:rsid w:val="00117506"/>
    <w:rsid w:val="0011787A"/>
    <w:rsid w:val="0012149B"/>
    <w:rsid w:val="00121C50"/>
    <w:rsid w:val="001223A2"/>
    <w:rsid w:val="00123712"/>
    <w:rsid w:val="001306DD"/>
    <w:rsid w:val="00130D48"/>
    <w:rsid w:val="0013113A"/>
    <w:rsid w:val="00131B64"/>
    <w:rsid w:val="0013235B"/>
    <w:rsid w:val="001340B3"/>
    <w:rsid w:val="001342E6"/>
    <w:rsid w:val="00134B81"/>
    <w:rsid w:val="00136DE8"/>
    <w:rsid w:val="00137249"/>
    <w:rsid w:val="001375A9"/>
    <w:rsid w:val="00142286"/>
    <w:rsid w:val="00143E1C"/>
    <w:rsid w:val="001440DD"/>
    <w:rsid w:val="00150F01"/>
    <w:rsid w:val="00151928"/>
    <w:rsid w:val="00154275"/>
    <w:rsid w:val="00154DA5"/>
    <w:rsid w:val="0015520B"/>
    <w:rsid w:val="00157820"/>
    <w:rsid w:val="00161364"/>
    <w:rsid w:val="00161EEA"/>
    <w:rsid w:val="00162DB2"/>
    <w:rsid w:val="00163E0C"/>
    <w:rsid w:val="00164C92"/>
    <w:rsid w:val="00165F3A"/>
    <w:rsid w:val="00166183"/>
    <w:rsid w:val="00170DDB"/>
    <w:rsid w:val="00171909"/>
    <w:rsid w:val="001721A9"/>
    <w:rsid w:val="0017277A"/>
    <w:rsid w:val="00172802"/>
    <w:rsid w:val="0017322C"/>
    <w:rsid w:val="0017342F"/>
    <w:rsid w:val="00174528"/>
    <w:rsid w:val="001756D6"/>
    <w:rsid w:val="001758E2"/>
    <w:rsid w:val="00176D6B"/>
    <w:rsid w:val="00181F7C"/>
    <w:rsid w:val="00183968"/>
    <w:rsid w:val="001844A0"/>
    <w:rsid w:val="0018481A"/>
    <w:rsid w:val="001853BD"/>
    <w:rsid w:val="00186A34"/>
    <w:rsid w:val="001905FB"/>
    <w:rsid w:val="001912DB"/>
    <w:rsid w:val="00191845"/>
    <w:rsid w:val="00192967"/>
    <w:rsid w:val="00192C20"/>
    <w:rsid w:val="001965C0"/>
    <w:rsid w:val="00196CDF"/>
    <w:rsid w:val="001A09DE"/>
    <w:rsid w:val="001A1C42"/>
    <w:rsid w:val="001A2C08"/>
    <w:rsid w:val="001A32CB"/>
    <w:rsid w:val="001A4429"/>
    <w:rsid w:val="001A6461"/>
    <w:rsid w:val="001A660B"/>
    <w:rsid w:val="001A6686"/>
    <w:rsid w:val="001A67B5"/>
    <w:rsid w:val="001A723C"/>
    <w:rsid w:val="001A7E43"/>
    <w:rsid w:val="001B2349"/>
    <w:rsid w:val="001B4041"/>
    <w:rsid w:val="001B4485"/>
    <w:rsid w:val="001B4B04"/>
    <w:rsid w:val="001B7D22"/>
    <w:rsid w:val="001C1926"/>
    <w:rsid w:val="001C3120"/>
    <w:rsid w:val="001C4471"/>
    <w:rsid w:val="001C4C03"/>
    <w:rsid w:val="001C5BED"/>
    <w:rsid w:val="001C657F"/>
    <w:rsid w:val="001C6663"/>
    <w:rsid w:val="001C7895"/>
    <w:rsid w:val="001C7D37"/>
    <w:rsid w:val="001D0C8C"/>
    <w:rsid w:val="001D26DF"/>
    <w:rsid w:val="001D3743"/>
    <w:rsid w:val="001D3A03"/>
    <w:rsid w:val="001D4ED0"/>
    <w:rsid w:val="001D6636"/>
    <w:rsid w:val="001D6813"/>
    <w:rsid w:val="001E06EB"/>
    <w:rsid w:val="001E10EC"/>
    <w:rsid w:val="001E2B4C"/>
    <w:rsid w:val="001E4617"/>
    <w:rsid w:val="001E48A9"/>
    <w:rsid w:val="001E6148"/>
    <w:rsid w:val="001E7073"/>
    <w:rsid w:val="001E718D"/>
    <w:rsid w:val="001E7AF9"/>
    <w:rsid w:val="001F0720"/>
    <w:rsid w:val="001F08A3"/>
    <w:rsid w:val="001F0F1A"/>
    <w:rsid w:val="001F1088"/>
    <w:rsid w:val="001F11EA"/>
    <w:rsid w:val="002003A6"/>
    <w:rsid w:val="0020256B"/>
    <w:rsid w:val="00202DA8"/>
    <w:rsid w:val="002033C2"/>
    <w:rsid w:val="002069CC"/>
    <w:rsid w:val="00207E02"/>
    <w:rsid w:val="00211E0B"/>
    <w:rsid w:val="00212673"/>
    <w:rsid w:val="00213E21"/>
    <w:rsid w:val="00215A51"/>
    <w:rsid w:val="00216516"/>
    <w:rsid w:val="002172B8"/>
    <w:rsid w:val="00217D74"/>
    <w:rsid w:val="00220677"/>
    <w:rsid w:val="0022175C"/>
    <w:rsid w:val="00222689"/>
    <w:rsid w:val="00223ED3"/>
    <w:rsid w:val="00224AED"/>
    <w:rsid w:val="0022501D"/>
    <w:rsid w:val="002256A1"/>
    <w:rsid w:val="002278E3"/>
    <w:rsid w:val="00227EDC"/>
    <w:rsid w:val="002314F8"/>
    <w:rsid w:val="0023210C"/>
    <w:rsid w:val="00232334"/>
    <w:rsid w:val="00232B55"/>
    <w:rsid w:val="00233707"/>
    <w:rsid w:val="0023438F"/>
    <w:rsid w:val="002345C1"/>
    <w:rsid w:val="002361D0"/>
    <w:rsid w:val="00240564"/>
    <w:rsid w:val="00240F4B"/>
    <w:rsid w:val="00242AE6"/>
    <w:rsid w:val="002433D8"/>
    <w:rsid w:val="00246792"/>
    <w:rsid w:val="0025162E"/>
    <w:rsid w:val="00253129"/>
    <w:rsid w:val="002533BB"/>
    <w:rsid w:val="002541BD"/>
    <w:rsid w:val="0025421C"/>
    <w:rsid w:val="0025487E"/>
    <w:rsid w:val="00255058"/>
    <w:rsid w:val="00261FFE"/>
    <w:rsid w:val="002623B4"/>
    <w:rsid w:val="002633B3"/>
    <w:rsid w:val="00263CA1"/>
    <w:rsid w:val="002650C2"/>
    <w:rsid w:val="002655E0"/>
    <w:rsid w:val="002656E9"/>
    <w:rsid w:val="00265CF8"/>
    <w:rsid w:val="00266EB7"/>
    <w:rsid w:val="00267F5F"/>
    <w:rsid w:val="00271477"/>
    <w:rsid w:val="00271484"/>
    <w:rsid w:val="00273B14"/>
    <w:rsid w:val="00274BD3"/>
    <w:rsid w:val="00281144"/>
    <w:rsid w:val="00282899"/>
    <w:rsid w:val="00283A20"/>
    <w:rsid w:val="0028489A"/>
    <w:rsid w:val="002860DB"/>
    <w:rsid w:val="002863A9"/>
    <w:rsid w:val="00286B4D"/>
    <w:rsid w:val="00286DFA"/>
    <w:rsid w:val="00291295"/>
    <w:rsid w:val="00292F7D"/>
    <w:rsid w:val="0029365C"/>
    <w:rsid w:val="00293B90"/>
    <w:rsid w:val="00293C02"/>
    <w:rsid w:val="0029453D"/>
    <w:rsid w:val="0029659E"/>
    <w:rsid w:val="00296C0E"/>
    <w:rsid w:val="002A0E62"/>
    <w:rsid w:val="002A0EEE"/>
    <w:rsid w:val="002A1243"/>
    <w:rsid w:val="002A1918"/>
    <w:rsid w:val="002A24DC"/>
    <w:rsid w:val="002A2BA3"/>
    <w:rsid w:val="002A3CBA"/>
    <w:rsid w:val="002A4B67"/>
    <w:rsid w:val="002A5C82"/>
    <w:rsid w:val="002A728F"/>
    <w:rsid w:val="002B3B76"/>
    <w:rsid w:val="002B3F1E"/>
    <w:rsid w:val="002B450B"/>
    <w:rsid w:val="002B63BC"/>
    <w:rsid w:val="002B6513"/>
    <w:rsid w:val="002B65FE"/>
    <w:rsid w:val="002C06BA"/>
    <w:rsid w:val="002C1F2F"/>
    <w:rsid w:val="002C2508"/>
    <w:rsid w:val="002C5BCD"/>
    <w:rsid w:val="002D10F2"/>
    <w:rsid w:val="002D18B7"/>
    <w:rsid w:val="002D3AF5"/>
    <w:rsid w:val="002D4CB1"/>
    <w:rsid w:val="002D76B1"/>
    <w:rsid w:val="002E1084"/>
    <w:rsid w:val="002E1860"/>
    <w:rsid w:val="002E52B1"/>
    <w:rsid w:val="002E538F"/>
    <w:rsid w:val="002E5C99"/>
    <w:rsid w:val="002E69AE"/>
    <w:rsid w:val="002E6B3C"/>
    <w:rsid w:val="002E76F4"/>
    <w:rsid w:val="002F00D8"/>
    <w:rsid w:val="002F039C"/>
    <w:rsid w:val="002F0BDF"/>
    <w:rsid w:val="002F175C"/>
    <w:rsid w:val="002F1942"/>
    <w:rsid w:val="002F4557"/>
    <w:rsid w:val="002F5159"/>
    <w:rsid w:val="002F582A"/>
    <w:rsid w:val="002F6911"/>
    <w:rsid w:val="0030138D"/>
    <w:rsid w:val="00304F66"/>
    <w:rsid w:val="003055B7"/>
    <w:rsid w:val="00306124"/>
    <w:rsid w:val="00306B2B"/>
    <w:rsid w:val="00307164"/>
    <w:rsid w:val="003134AC"/>
    <w:rsid w:val="00313DFE"/>
    <w:rsid w:val="0031721B"/>
    <w:rsid w:val="00317544"/>
    <w:rsid w:val="00320E07"/>
    <w:rsid w:val="00321438"/>
    <w:rsid w:val="00321F98"/>
    <w:rsid w:val="0032230D"/>
    <w:rsid w:val="003229D8"/>
    <w:rsid w:val="00322F8A"/>
    <w:rsid w:val="00323632"/>
    <w:rsid w:val="00327502"/>
    <w:rsid w:val="00330BE1"/>
    <w:rsid w:val="003310A0"/>
    <w:rsid w:val="00331F5B"/>
    <w:rsid w:val="00332AB3"/>
    <w:rsid w:val="003331BD"/>
    <w:rsid w:val="00340A69"/>
    <w:rsid w:val="00341E55"/>
    <w:rsid w:val="00341E7F"/>
    <w:rsid w:val="00342DBC"/>
    <w:rsid w:val="003432EC"/>
    <w:rsid w:val="00345647"/>
    <w:rsid w:val="00351398"/>
    <w:rsid w:val="00352709"/>
    <w:rsid w:val="00354AA8"/>
    <w:rsid w:val="00355DCB"/>
    <w:rsid w:val="00361E8A"/>
    <w:rsid w:val="00363A98"/>
    <w:rsid w:val="00364426"/>
    <w:rsid w:val="0036645D"/>
    <w:rsid w:val="003667AD"/>
    <w:rsid w:val="00366CF9"/>
    <w:rsid w:val="00367567"/>
    <w:rsid w:val="003705C9"/>
    <w:rsid w:val="00371095"/>
    <w:rsid w:val="00371178"/>
    <w:rsid w:val="0037301C"/>
    <w:rsid w:val="003730DD"/>
    <w:rsid w:val="00373F8F"/>
    <w:rsid w:val="0037429D"/>
    <w:rsid w:val="00374C6F"/>
    <w:rsid w:val="00375119"/>
    <w:rsid w:val="00375CDD"/>
    <w:rsid w:val="00376720"/>
    <w:rsid w:val="00377828"/>
    <w:rsid w:val="00380E01"/>
    <w:rsid w:val="003823CB"/>
    <w:rsid w:val="0038336C"/>
    <w:rsid w:val="00384F90"/>
    <w:rsid w:val="00386624"/>
    <w:rsid w:val="00387ECB"/>
    <w:rsid w:val="003903FC"/>
    <w:rsid w:val="00391EE5"/>
    <w:rsid w:val="00392947"/>
    <w:rsid w:val="0039347E"/>
    <w:rsid w:val="00394773"/>
    <w:rsid w:val="003954DB"/>
    <w:rsid w:val="00396D04"/>
    <w:rsid w:val="003A1602"/>
    <w:rsid w:val="003A325A"/>
    <w:rsid w:val="003A35EF"/>
    <w:rsid w:val="003A6810"/>
    <w:rsid w:val="003A6EFA"/>
    <w:rsid w:val="003A70FC"/>
    <w:rsid w:val="003A7696"/>
    <w:rsid w:val="003A7A35"/>
    <w:rsid w:val="003A7AF2"/>
    <w:rsid w:val="003A7E53"/>
    <w:rsid w:val="003B2E07"/>
    <w:rsid w:val="003B67CF"/>
    <w:rsid w:val="003C02AB"/>
    <w:rsid w:val="003C14F4"/>
    <w:rsid w:val="003C2CC4"/>
    <w:rsid w:val="003C3107"/>
    <w:rsid w:val="003C566E"/>
    <w:rsid w:val="003C730E"/>
    <w:rsid w:val="003D1C5A"/>
    <w:rsid w:val="003D2795"/>
    <w:rsid w:val="003D3AE9"/>
    <w:rsid w:val="003D3E59"/>
    <w:rsid w:val="003D4B23"/>
    <w:rsid w:val="003D52B0"/>
    <w:rsid w:val="003D768C"/>
    <w:rsid w:val="003D7AEE"/>
    <w:rsid w:val="003E1B51"/>
    <w:rsid w:val="003E2BA4"/>
    <w:rsid w:val="003E4173"/>
    <w:rsid w:val="003E4E9E"/>
    <w:rsid w:val="003E6A36"/>
    <w:rsid w:val="003E6F7E"/>
    <w:rsid w:val="003F58DD"/>
    <w:rsid w:val="003F67BD"/>
    <w:rsid w:val="003F7D91"/>
    <w:rsid w:val="004043B0"/>
    <w:rsid w:val="004050C4"/>
    <w:rsid w:val="00405473"/>
    <w:rsid w:val="00410692"/>
    <w:rsid w:val="00410C89"/>
    <w:rsid w:val="00414931"/>
    <w:rsid w:val="00414B35"/>
    <w:rsid w:val="00414F92"/>
    <w:rsid w:val="004217A4"/>
    <w:rsid w:val="004227C0"/>
    <w:rsid w:val="00423634"/>
    <w:rsid w:val="00423A59"/>
    <w:rsid w:val="00426B9B"/>
    <w:rsid w:val="0043003F"/>
    <w:rsid w:val="004310DF"/>
    <w:rsid w:val="00431396"/>
    <w:rsid w:val="004325CB"/>
    <w:rsid w:val="004352DD"/>
    <w:rsid w:val="00436B33"/>
    <w:rsid w:val="00436E7E"/>
    <w:rsid w:val="00437253"/>
    <w:rsid w:val="00442317"/>
    <w:rsid w:val="00442A83"/>
    <w:rsid w:val="00442C9D"/>
    <w:rsid w:val="00442EB6"/>
    <w:rsid w:val="00445A57"/>
    <w:rsid w:val="00446ABC"/>
    <w:rsid w:val="00450D0E"/>
    <w:rsid w:val="00451963"/>
    <w:rsid w:val="0045285D"/>
    <w:rsid w:val="0045495B"/>
    <w:rsid w:val="00455C43"/>
    <w:rsid w:val="0045611B"/>
    <w:rsid w:val="004607BF"/>
    <w:rsid w:val="0046115E"/>
    <w:rsid w:val="00464446"/>
    <w:rsid w:val="004653C7"/>
    <w:rsid w:val="00466B4C"/>
    <w:rsid w:val="00466FA4"/>
    <w:rsid w:val="00467A53"/>
    <w:rsid w:val="0047173A"/>
    <w:rsid w:val="00473963"/>
    <w:rsid w:val="00476073"/>
    <w:rsid w:val="004769CA"/>
    <w:rsid w:val="00481CB1"/>
    <w:rsid w:val="0048204F"/>
    <w:rsid w:val="00487488"/>
    <w:rsid w:val="00487FB8"/>
    <w:rsid w:val="0049219B"/>
    <w:rsid w:val="00492801"/>
    <w:rsid w:val="00492FCD"/>
    <w:rsid w:val="0049418F"/>
    <w:rsid w:val="004955FB"/>
    <w:rsid w:val="00495A34"/>
    <w:rsid w:val="00495FB9"/>
    <w:rsid w:val="00497620"/>
    <w:rsid w:val="00497CBC"/>
    <w:rsid w:val="004A0821"/>
    <w:rsid w:val="004A14BC"/>
    <w:rsid w:val="004A1D2A"/>
    <w:rsid w:val="004A2789"/>
    <w:rsid w:val="004A28A7"/>
    <w:rsid w:val="004A4E95"/>
    <w:rsid w:val="004B2A63"/>
    <w:rsid w:val="004B5352"/>
    <w:rsid w:val="004C4CC8"/>
    <w:rsid w:val="004C55DD"/>
    <w:rsid w:val="004D0446"/>
    <w:rsid w:val="004D0D2A"/>
    <w:rsid w:val="004D2942"/>
    <w:rsid w:val="004D5BD1"/>
    <w:rsid w:val="004D773C"/>
    <w:rsid w:val="004E01F0"/>
    <w:rsid w:val="004E15CC"/>
    <w:rsid w:val="004F1D45"/>
    <w:rsid w:val="004F392D"/>
    <w:rsid w:val="004F5078"/>
    <w:rsid w:val="004F56B6"/>
    <w:rsid w:val="004F607E"/>
    <w:rsid w:val="004F6AA8"/>
    <w:rsid w:val="004F7287"/>
    <w:rsid w:val="00501456"/>
    <w:rsid w:val="0050328D"/>
    <w:rsid w:val="00505D08"/>
    <w:rsid w:val="00507E4F"/>
    <w:rsid w:val="005105B9"/>
    <w:rsid w:val="005125F0"/>
    <w:rsid w:val="005167F1"/>
    <w:rsid w:val="00516C94"/>
    <w:rsid w:val="00520400"/>
    <w:rsid w:val="0052136D"/>
    <w:rsid w:val="005216A9"/>
    <w:rsid w:val="00522234"/>
    <w:rsid w:val="005232E6"/>
    <w:rsid w:val="00525395"/>
    <w:rsid w:val="0052775E"/>
    <w:rsid w:val="00532327"/>
    <w:rsid w:val="00533FA3"/>
    <w:rsid w:val="0053582A"/>
    <w:rsid w:val="005409DC"/>
    <w:rsid w:val="00540F02"/>
    <w:rsid w:val="0054109A"/>
    <w:rsid w:val="00541306"/>
    <w:rsid w:val="0054150C"/>
    <w:rsid w:val="005420F2"/>
    <w:rsid w:val="00546665"/>
    <w:rsid w:val="005509CD"/>
    <w:rsid w:val="00550D3B"/>
    <w:rsid w:val="00555470"/>
    <w:rsid w:val="00557538"/>
    <w:rsid w:val="00560BA5"/>
    <w:rsid w:val="00561B68"/>
    <w:rsid w:val="005628B6"/>
    <w:rsid w:val="005635F2"/>
    <w:rsid w:val="005640D1"/>
    <w:rsid w:val="00564714"/>
    <w:rsid w:val="00565BE7"/>
    <w:rsid w:val="0056624F"/>
    <w:rsid w:val="005722B3"/>
    <w:rsid w:val="00572DE0"/>
    <w:rsid w:val="0057585A"/>
    <w:rsid w:val="00575BA3"/>
    <w:rsid w:val="00577E84"/>
    <w:rsid w:val="00580CF3"/>
    <w:rsid w:val="005833BB"/>
    <w:rsid w:val="005848B3"/>
    <w:rsid w:val="00587573"/>
    <w:rsid w:val="0058791E"/>
    <w:rsid w:val="00587B02"/>
    <w:rsid w:val="00590F87"/>
    <w:rsid w:val="00592C4A"/>
    <w:rsid w:val="005939F3"/>
    <w:rsid w:val="005A0415"/>
    <w:rsid w:val="005A2ACD"/>
    <w:rsid w:val="005A3D9A"/>
    <w:rsid w:val="005A4412"/>
    <w:rsid w:val="005A6663"/>
    <w:rsid w:val="005A7124"/>
    <w:rsid w:val="005B09AE"/>
    <w:rsid w:val="005B15AD"/>
    <w:rsid w:val="005B38A5"/>
    <w:rsid w:val="005B3DB3"/>
    <w:rsid w:val="005B410E"/>
    <w:rsid w:val="005B4874"/>
    <w:rsid w:val="005B4933"/>
    <w:rsid w:val="005B4F61"/>
    <w:rsid w:val="005B5E55"/>
    <w:rsid w:val="005B6047"/>
    <w:rsid w:val="005B6F8E"/>
    <w:rsid w:val="005C112F"/>
    <w:rsid w:val="005C11C1"/>
    <w:rsid w:val="005C176E"/>
    <w:rsid w:val="005C1C11"/>
    <w:rsid w:val="005C2131"/>
    <w:rsid w:val="005C223E"/>
    <w:rsid w:val="005C3893"/>
    <w:rsid w:val="005C413D"/>
    <w:rsid w:val="005C4A9E"/>
    <w:rsid w:val="005C5103"/>
    <w:rsid w:val="005C658D"/>
    <w:rsid w:val="005D0679"/>
    <w:rsid w:val="005D5721"/>
    <w:rsid w:val="005D5AF5"/>
    <w:rsid w:val="005D7CB5"/>
    <w:rsid w:val="005E021C"/>
    <w:rsid w:val="005E237C"/>
    <w:rsid w:val="005E2F71"/>
    <w:rsid w:val="005E5805"/>
    <w:rsid w:val="005E77C5"/>
    <w:rsid w:val="005E783D"/>
    <w:rsid w:val="005F06C6"/>
    <w:rsid w:val="005F5699"/>
    <w:rsid w:val="005F7717"/>
    <w:rsid w:val="005F7B75"/>
    <w:rsid w:val="005F7F93"/>
    <w:rsid w:val="006001B0"/>
    <w:rsid w:val="006001EE"/>
    <w:rsid w:val="00605042"/>
    <w:rsid w:val="00606E44"/>
    <w:rsid w:val="00607BC1"/>
    <w:rsid w:val="006108E0"/>
    <w:rsid w:val="00611FC4"/>
    <w:rsid w:val="00613FE0"/>
    <w:rsid w:val="006148AF"/>
    <w:rsid w:val="00614F0F"/>
    <w:rsid w:val="00615ACA"/>
    <w:rsid w:val="006160CB"/>
    <w:rsid w:val="006176FB"/>
    <w:rsid w:val="00620488"/>
    <w:rsid w:val="006239C9"/>
    <w:rsid w:val="00623FD3"/>
    <w:rsid w:val="0062462D"/>
    <w:rsid w:val="00625DEF"/>
    <w:rsid w:val="0062630E"/>
    <w:rsid w:val="006274AD"/>
    <w:rsid w:val="006277A2"/>
    <w:rsid w:val="00627FB0"/>
    <w:rsid w:val="00631C31"/>
    <w:rsid w:val="00632E25"/>
    <w:rsid w:val="0063379B"/>
    <w:rsid w:val="00633BAD"/>
    <w:rsid w:val="00640B26"/>
    <w:rsid w:val="00640C76"/>
    <w:rsid w:val="00645379"/>
    <w:rsid w:val="00645949"/>
    <w:rsid w:val="006507CD"/>
    <w:rsid w:val="00650921"/>
    <w:rsid w:val="0065298C"/>
    <w:rsid w:val="00652D0A"/>
    <w:rsid w:val="00653DBF"/>
    <w:rsid w:val="00654447"/>
    <w:rsid w:val="00660559"/>
    <w:rsid w:val="00662BB6"/>
    <w:rsid w:val="006637A4"/>
    <w:rsid w:val="006639CE"/>
    <w:rsid w:val="00665EB7"/>
    <w:rsid w:val="00671510"/>
    <w:rsid w:val="00671948"/>
    <w:rsid w:val="00672110"/>
    <w:rsid w:val="00672D9E"/>
    <w:rsid w:val="00673BCB"/>
    <w:rsid w:val="006743E9"/>
    <w:rsid w:val="00674B0A"/>
    <w:rsid w:val="00674D65"/>
    <w:rsid w:val="00675A40"/>
    <w:rsid w:val="00680805"/>
    <w:rsid w:val="00681702"/>
    <w:rsid w:val="006817BF"/>
    <w:rsid w:val="00681BEF"/>
    <w:rsid w:val="00682284"/>
    <w:rsid w:val="006838C8"/>
    <w:rsid w:val="00684B7A"/>
    <w:rsid w:val="00684C21"/>
    <w:rsid w:val="00685D9C"/>
    <w:rsid w:val="00685FA6"/>
    <w:rsid w:val="0068743C"/>
    <w:rsid w:val="00690251"/>
    <w:rsid w:val="0069134D"/>
    <w:rsid w:val="00692BBE"/>
    <w:rsid w:val="00694AE6"/>
    <w:rsid w:val="006953EB"/>
    <w:rsid w:val="006954C6"/>
    <w:rsid w:val="00695991"/>
    <w:rsid w:val="0069763E"/>
    <w:rsid w:val="00697F3E"/>
    <w:rsid w:val="006A1001"/>
    <w:rsid w:val="006A1041"/>
    <w:rsid w:val="006B1618"/>
    <w:rsid w:val="006B346D"/>
    <w:rsid w:val="006B4FA2"/>
    <w:rsid w:val="006B58E5"/>
    <w:rsid w:val="006C0435"/>
    <w:rsid w:val="006C05C1"/>
    <w:rsid w:val="006C15C7"/>
    <w:rsid w:val="006C3AD1"/>
    <w:rsid w:val="006C600C"/>
    <w:rsid w:val="006C65A6"/>
    <w:rsid w:val="006D37AF"/>
    <w:rsid w:val="006D51D0"/>
    <w:rsid w:val="006D535D"/>
    <w:rsid w:val="006D53C0"/>
    <w:rsid w:val="006D5457"/>
    <w:rsid w:val="006D5961"/>
    <w:rsid w:val="006E212F"/>
    <w:rsid w:val="006E5067"/>
    <w:rsid w:val="006E564B"/>
    <w:rsid w:val="006E5A29"/>
    <w:rsid w:val="006E7191"/>
    <w:rsid w:val="006E7196"/>
    <w:rsid w:val="006E7384"/>
    <w:rsid w:val="006F30DF"/>
    <w:rsid w:val="006F37A1"/>
    <w:rsid w:val="006F464F"/>
    <w:rsid w:val="006F52C5"/>
    <w:rsid w:val="006F6515"/>
    <w:rsid w:val="007001B0"/>
    <w:rsid w:val="00703577"/>
    <w:rsid w:val="00705201"/>
    <w:rsid w:val="00705625"/>
    <w:rsid w:val="00706988"/>
    <w:rsid w:val="0071171F"/>
    <w:rsid w:val="00711F00"/>
    <w:rsid w:val="00713571"/>
    <w:rsid w:val="00713C74"/>
    <w:rsid w:val="00715DDD"/>
    <w:rsid w:val="00715FA9"/>
    <w:rsid w:val="00716EC7"/>
    <w:rsid w:val="00717ADC"/>
    <w:rsid w:val="0072082B"/>
    <w:rsid w:val="00722614"/>
    <w:rsid w:val="0072328C"/>
    <w:rsid w:val="0072632A"/>
    <w:rsid w:val="00726A48"/>
    <w:rsid w:val="00727C31"/>
    <w:rsid w:val="007312CA"/>
    <w:rsid w:val="007327D5"/>
    <w:rsid w:val="00732876"/>
    <w:rsid w:val="0073379D"/>
    <w:rsid w:val="00734ABE"/>
    <w:rsid w:val="00735CA1"/>
    <w:rsid w:val="00735F4E"/>
    <w:rsid w:val="00736EAD"/>
    <w:rsid w:val="007425A6"/>
    <w:rsid w:val="0074315D"/>
    <w:rsid w:val="007435F7"/>
    <w:rsid w:val="007449A6"/>
    <w:rsid w:val="00746750"/>
    <w:rsid w:val="00746D61"/>
    <w:rsid w:val="007508E6"/>
    <w:rsid w:val="007509EB"/>
    <w:rsid w:val="00750FC5"/>
    <w:rsid w:val="0075395D"/>
    <w:rsid w:val="00760B80"/>
    <w:rsid w:val="00760D0A"/>
    <w:rsid w:val="00761E83"/>
    <w:rsid w:val="00762878"/>
    <w:rsid w:val="00762922"/>
    <w:rsid w:val="007629C8"/>
    <w:rsid w:val="00762E39"/>
    <w:rsid w:val="00763598"/>
    <w:rsid w:val="007635DF"/>
    <w:rsid w:val="00764972"/>
    <w:rsid w:val="007661CD"/>
    <w:rsid w:val="007677B7"/>
    <w:rsid w:val="00770F3B"/>
    <w:rsid w:val="0077327C"/>
    <w:rsid w:val="007734E8"/>
    <w:rsid w:val="007734FC"/>
    <w:rsid w:val="00773EDE"/>
    <w:rsid w:val="007740F1"/>
    <w:rsid w:val="00776E5E"/>
    <w:rsid w:val="00777322"/>
    <w:rsid w:val="0078042F"/>
    <w:rsid w:val="00781C83"/>
    <w:rsid w:val="00782696"/>
    <w:rsid w:val="0078300D"/>
    <w:rsid w:val="00785DB2"/>
    <w:rsid w:val="0078601B"/>
    <w:rsid w:val="0078625F"/>
    <w:rsid w:val="0078676D"/>
    <w:rsid w:val="00787E5D"/>
    <w:rsid w:val="0079034E"/>
    <w:rsid w:val="00790E83"/>
    <w:rsid w:val="00792116"/>
    <w:rsid w:val="0079681E"/>
    <w:rsid w:val="00797586"/>
    <w:rsid w:val="007A0EB2"/>
    <w:rsid w:val="007A17AD"/>
    <w:rsid w:val="007A212F"/>
    <w:rsid w:val="007A36C9"/>
    <w:rsid w:val="007B3302"/>
    <w:rsid w:val="007B412F"/>
    <w:rsid w:val="007B41DA"/>
    <w:rsid w:val="007B6BA5"/>
    <w:rsid w:val="007C1241"/>
    <w:rsid w:val="007C1475"/>
    <w:rsid w:val="007C3390"/>
    <w:rsid w:val="007C3FFB"/>
    <w:rsid w:val="007C4F4B"/>
    <w:rsid w:val="007C55BE"/>
    <w:rsid w:val="007C6E2E"/>
    <w:rsid w:val="007C784F"/>
    <w:rsid w:val="007D00CF"/>
    <w:rsid w:val="007D10E7"/>
    <w:rsid w:val="007D2684"/>
    <w:rsid w:val="007D564F"/>
    <w:rsid w:val="007E0B2D"/>
    <w:rsid w:val="007E0ED5"/>
    <w:rsid w:val="007E3B72"/>
    <w:rsid w:val="007E41CA"/>
    <w:rsid w:val="007E431C"/>
    <w:rsid w:val="007E4594"/>
    <w:rsid w:val="007E4BBE"/>
    <w:rsid w:val="007E4C75"/>
    <w:rsid w:val="007E533F"/>
    <w:rsid w:val="007E5EA4"/>
    <w:rsid w:val="007F098E"/>
    <w:rsid w:val="007F0F66"/>
    <w:rsid w:val="007F12FC"/>
    <w:rsid w:val="007F167F"/>
    <w:rsid w:val="007F17BB"/>
    <w:rsid w:val="007F1FDD"/>
    <w:rsid w:val="007F2D0D"/>
    <w:rsid w:val="007F3A2C"/>
    <w:rsid w:val="007F4853"/>
    <w:rsid w:val="007F6611"/>
    <w:rsid w:val="007F7AB5"/>
    <w:rsid w:val="008015E3"/>
    <w:rsid w:val="00803534"/>
    <w:rsid w:val="00805CC8"/>
    <w:rsid w:val="0081043C"/>
    <w:rsid w:val="008105B8"/>
    <w:rsid w:val="00811D06"/>
    <w:rsid w:val="008123D2"/>
    <w:rsid w:val="00812971"/>
    <w:rsid w:val="00813327"/>
    <w:rsid w:val="00813EAF"/>
    <w:rsid w:val="008146B2"/>
    <w:rsid w:val="008150AD"/>
    <w:rsid w:val="00816972"/>
    <w:rsid w:val="00816E23"/>
    <w:rsid w:val="00816EE0"/>
    <w:rsid w:val="00817A02"/>
    <w:rsid w:val="00820122"/>
    <w:rsid w:val="00820FB8"/>
    <w:rsid w:val="008216A5"/>
    <w:rsid w:val="00821A8D"/>
    <w:rsid w:val="00821E25"/>
    <w:rsid w:val="008225B5"/>
    <w:rsid w:val="008239DF"/>
    <w:rsid w:val="0082420A"/>
    <w:rsid w:val="008242D7"/>
    <w:rsid w:val="00824565"/>
    <w:rsid w:val="00824C73"/>
    <w:rsid w:val="00824FE2"/>
    <w:rsid w:val="00825659"/>
    <w:rsid w:val="008257B1"/>
    <w:rsid w:val="00825B68"/>
    <w:rsid w:val="008309E6"/>
    <w:rsid w:val="00830FF4"/>
    <w:rsid w:val="0083185A"/>
    <w:rsid w:val="0083223B"/>
    <w:rsid w:val="00833370"/>
    <w:rsid w:val="00834E95"/>
    <w:rsid w:val="00835FBE"/>
    <w:rsid w:val="008379A8"/>
    <w:rsid w:val="0084033C"/>
    <w:rsid w:val="008406D2"/>
    <w:rsid w:val="0084126F"/>
    <w:rsid w:val="00841562"/>
    <w:rsid w:val="00843767"/>
    <w:rsid w:val="00846666"/>
    <w:rsid w:val="00847B18"/>
    <w:rsid w:val="00850A4F"/>
    <w:rsid w:val="00851F2A"/>
    <w:rsid w:val="00854DFD"/>
    <w:rsid w:val="00856F01"/>
    <w:rsid w:val="00861599"/>
    <w:rsid w:val="0086457A"/>
    <w:rsid w:val="00864797"/>
    <w:rsid w:val="008655A1"/>
    <w:rsid w:val="008679D9"/>
    <w:rsid w:val="00871051"/>
    <w:rsid w:val="00871506"/>
    <w:rsid w:val="00871750"/>
    <w:rsid w:val="0087175B"/>
    <w:rsid w:val="00872A6B"/>
    <w:rsid w:val="00872F86"/>
    <w:rsid w:val="008730D5"/>
    <w:rsid w:val="008747BF"/>
    <w:rsid w:val="00875F71"/>
    <w:rsid w:val="00875FE5"/>
    <w:rsid w:val="00880AF2"/>
    <w:rsid w:val="00883BBF"/>
    <w:rsid w:val="00884FCB"/>
    <w:rsid w:val="0088719B"/>
    <w:rsid w:val="008914CA"/>
    <w:rsid w:val="00891792"/>
    <w:rsid w:val="00891C2B"/>
    <w:rsid w:val="00892B97"/>
    <w:rsid w:val="008930C9"/>
    <w:rsid w:val="00894F53"/>
    <w:rsid w:val="00896597"/>
    <w:rsid w:val="008979B1"/>
    <w:rsid w:val="00897F0A"/>
    <w:rsid w:val="008A00C8"/>
    <w:rsid w:val="008A09B5"/>
    <w:rsid w:val="008A11F3"/>
    <w:rsid w:val="008A1DB2"/>
    <w:rsid w:val="008A6B25"/>
    <w:rsid w:val="008A6C4F"/>
    <w:rsid w:val="008B012F"/>
    <w:rsid w:val="008B2335"/>
    <w:rsid w:val="008B5946"/>
    <w:rsid w:val="008B629E"/>
    <w:rsid w:val="008C0C32"/>
    <w:rsid w:val="008C0D17"/>
    <w:rsid w:val="008C22CC"/>
    <w:rsid w:val="008C3223"/>
    <w:rsid w:val="008C3294"/>
    <w:rsid w:val="008C4B5A"/>
    <w:rsid w:val="008C4EDC"/>
    <w:rsid w:val="008C6E58"/>
    <w:rsid w:val="008C77CB"/>
    <w:rsid w:val="008D0C03"/>
    <w:rsid w:val="008D1459"/>
    <w:rsid w:val="008D1908"/>
    <w:rsid w:val="008D299D"/>
    <w:rsid w:val="008D2A46"/>
    <w:rsid w:val="008D692F"/>
    <w:rsid w:val="008E0678"/>
    <w:rsid w:val="008E0CFD"/>
    <w:rsid w:val="008E21C5"/>
    <w:rsid w:val="008E4C4F"/>
    <w:rsid w:val="008E5002"/>
    <w:rsid w:val="008E5A83"/>
    <w:rsid w:val="008E5FF6"/>
    <w:rsid w:val="008E6067"/>
    <w:rsid w:val="008F0336"/>
    <w:rsid w:val="008F07C3"/>
    <w:rsid w:val="008F0E3C"/>
    <w:rsid w:val="008F1190"/>
    <w:rsid w:val="008F16E4"/>
    <w:rsid w:val="008F1FA8"/>
    <w:rsid w:val="008F36B8"/>
    <w:rsid w:val="008F3ACA"/>
    <w:rsid w:val="008F6145"/>
    <w:rsid w:val="00900036"/>
    <w:rsid w:val="009002FE"/>
    <w:rsid w:val="00903876"/>
    <w:rsid w:val="009040FE"/>
    <w:rsid w:val="00904773"/>
    <w:rsid w:val="009062A7"/>
    <w:rsid w:val="0090637F"/>
    <w:rsid w:val="00906A26"/>
    <w:rsid w:val="00907EB5"/>
    <w:rsid w:val="00910F40"/>
    <w:rsid w:val="00912103"/>
    <w:rsid w:val="00912C08"/>
    <w:rsid w:val="00913616"/>
    <w:rsid w:val="0091377B"/>
    <w:rsid w:val="009223CA"/>
    <w:rsid w:val="00926998"/>
    <w:rsid w:val="00927397"/>
    <w:rsid w:val="00930548"/>
    <w:rsid w:val="0093334D"/>
    <w:rsid w:val="00933F8A"/>
    <w:rsid w:val="009377CE"/>
    <w:rsid w:val="00937F60"/>
    <w:rsid w:val="0094095A"/>
    <w:rsid w:val="00940F93"/>
    <w:rsid w:val="009423E6"/>
    <w:rsid w:val="00944934"/>
    <w:rsid w:val="00946696"/>
    <w:rsid w:val="00947422"/>
    <w:rsid w:val="00950F17"/>
    <w:rsid w:val="00951EAC"/>
    <w:rsid w:val="0095347F"/>
    <w:rsid w:val="00953725"/>
    <w:rsid w:val="009568BE"/>
    <w:rsid w:val="0096073F"/>
    <w:rsid w:val="00960911"/>
    <w:rsid w:val="00961CF2"/>
    <w:rsid w:val="00962BBA"/>
    <w:rsid w:val="009633D7"/>
    <w:rsid w:val="009643C0"/>
    <w:rsid w:val="00967F59"/>
    <w:rsid w:val="009701C4"/>
    <w:rsid w:val="00970EA1"/>
    <w:rsid w:val="00970EED"/>
    <w:rsid w:val="00972C38"/>
    <w:rsid w:val="009735A8"/>
    <w:rsid w:val="00973F26"/>
    <w:rsid w:val="00974EF5"/>
    <w:rsid w:val="00975CF2"/>
    <w:rsid w:val="009760F3"/>
    <w:rsid w:val="009800FA"/>
    <w:rsid w:val="00980EA8"/>
    <w:rsid w:val="009817F4"/>
    <w:rsid w:val="009827BB"/>
    <w:rsid w:val="00982BC5"/>
    <w:rsid w:val="009873ED"/>
    <w:rsid w:val="009909F5"/>
    <w:rsid w:val="00990C0C"/>
    <w:rsid w:val="00990FCA"/>
    <w:rsid w:val="00993D15"/>
    <w:rsid w:val="0099515D"/>
    <w:rsid w:val="009960E6"/>
    <w:rsid w:val="009A078E"/>
    <w:rsid w:val="009A0E8D"/>
    <w:rsid w:val="009A19F8"/>
    <w:rsid w:val="009B0FC5"/>
    <w:rsid w:val="009B16A7"/>
    <w:rsid w:val="009B17A6"/>
    <w:rsid w:val="009B1F40"/>
    <w:rsid w:val="009B26E7"/>
    <w:rsid w:val="009B4C24"/>
    <w:rsid w:val="009B58BD"/>
    <w:rsid w:val="009B65F3"/>
    <w:rsid w:val="009C162C"/>
    <w:rsid w:val="009C3FF1"/>
    <w:rsid w:val="009C4FB2"/>
    <w:rsid w:val="009C50D8"/>
    <w:rsid w:val="009C5467"/>
    <w:rsid w:val="009C6010"/>
    <w:rsid w:val="009C60EB"/>
    <w:rsid w:val="009C6DFE"/>
    <w:rsid w:val="009D14D6"/>
    <w:rsid w:val="009D1E8D"/>
    <w:rsid w:val="009D4025"/>
    <w:rsid w:val="009E1818"/>
    <w:rsid w:val="009E1956"/>
    <w:rsid w:val="009E2F54"/>
    <w:rsid w:val="009E7D26"/>
    <w:rsid w:val="009F03D3"/>
    <w:rsid w:val="009F2AC1"/>
    <w:rsid w:val="009F5182"/>
    <w:rsid w:val="009F7636"/>
    <w:rsid w:val="009F794C"/>
    <w:rsid w:val="00A00A3F"/>
    <w:rsid w:val="00A01489"/>
    <w:rsid w:val="00A017A9"/>
    <w:rsid w:val="00A018AB"/>
    <w:rsid w:val="00A03ED0"/>
    <w:rsid w:val="00A06DB2"/>
    <w:rsid w:val="00A11771"/>
    <w:rsid w:val="00A14B26"/>
    <w:rsid w:val="00A17E37"/>
    <w:rsid w:val="00A206FC"/>
    <w:rsid w:val="00A230A0"/>
    <w:rsid w:val="00A232DB"/>
    <w:rsid w:val="00A2492D"/>
    <w:rsid w:val="00A26063"/>
    <w:rsid w:val="00A30E5E"/>
    <w:rsid w:val="00A31B81"/>
    <w:rsid w:val="00A338F1"/>
    <w:rsid w:val="00A33C96"/>
    <w:rsid w:val="00A340A3"/>
    <w:rsid w:val="00A343D0"/>
    <w:rsid w:val="00A35E72"/>
    <w:rsid w:val="00A368EC"/>
    <w:rsid w:val="00A377A8"/>
    <w:rsid w:val="00A40053"/>
    <w:rsid w:val="00A41A5C"/>
    <w:rsid w:val="00A42B98"/>
    <w:rsid w:val="00A439ED"/>
    <w:rsid w:val="00A44487"/>
    <w:rsid w:val="00A44615"/>
    <w:rsid w:val="00A447CC"/>
    <w:rsid w:val="00A4728C"/>
    <w:rsid w:val="00A47874"/>
    <w:rsid w:val="00A52D60"/>
    <w:rsid w:val="00A52FFA"/>
    <w:rsid w:val="00A647C7"/>
    <w:rsid w:val="00A65032"/>
    <w:rsid w:val="00A66683"/>
    <w:rsid w:val="00A70EA1"/>
    <w:rsid w:val="00A72C70"/>
    <w:rsid w:val="00A72D74"/>
    <w:rsid w:val="00A72F22"/>
    <w:rsid w:val="00A7360F"/>
    <w:rsid w:val="00A748A6"/>
    <w:rsid w:val="00A75355"/>
    <w:rsid w:val="00A7661F"/>
    <w:rsid w:val="00A76648"/>
    <w:rsid w:val="00A769F4"/>
    <w:rsid w:val="00A776B4"/>
    <w:rsid w:val="00A777C5"/>
    <w:rsid w:val="00A777CF"/>
    <w:rsid w:val="00A81D4E"/>
    <w:rsid w:val="00A85EA0"/>
    <w:rsid w:val="00A9008E"/>
    <w:rsid w:val="00A91A32"/>
    <w:rsid w:val="00A94361"/>
    <w:rsid w:val="00A95FBA"/>
    <w:rsid w:val="00A96BCF"/>
    <w:rsid w:val="00A97E2A"/>
    <w:rsid w:val="00A97F19"/>
    <w:rsid w:val="00AA0E9A"/>
    <w:rsid w:val="00AA152F"/>
    <w:rsid w:val="00AA293C"/>
    <w:rsid w:val="00AA2D0D"/>
    <w:rsid w:val="00AA56FB"/>
    <w:rsid w:val="00AA672A"/>
    <w:rsid w:val="00AA6FA4"/>
    <w:rsid w:val="00AB03E6"/>
    <w:rsid w:val="00AB0648"/>
    <w:rsid w:val="00AB19FA"/>
    <w:rsid w:val="00AB2855"/>
    <w:rsid w:val="00AB2DEE"/>
    <w:rsid w:val="00AB34C1"/>
    <w:rsid w:val="00AB45A3"/>
    <w:rsid w:val="00AB4CA5"/>
    <w:rsid w:val="00AB5490"/>
    <w:rsid w:val="00AB61F5"/>
    <w:rsid w:val="00AB75AC"/>
    <w:rsid w:val="00AB7CFC"/>
    <w:rsid w:val="00AC4B52"/>
    <w:rsid w:val="00AC505B"/>
    <w:rsid w:val="00AC62EF"/>
    <w:rsid w:val="00AC6A0A"/>
    <w:rsid w:val="00AD08B3"/>
    <w:rsid w:val="00AD18CA"/>
    <w:rsid w:val="00AD2BFB"/>
    <w:rsid w:val="00AD46B8"/>
    <w:rsid w:val="00AD6CC2"/>
    <w:rsid w:val="00AE1CFF"/>
    <w:rsid w:val="00AE22B0"/>
    <w:rsid w:val="00AE3A93"/>
    <w:rsid w:val="00AE4730"/>
    <w:rsid w:val="00AE50CE"/>
    <w:rsid w:val="00AE55CB"/>
    <w:rsid w:val="00AE673B"/>
    <w:rsid w:val="00AF0BB7"/>
    <w:rsid w:val="00AF1A44"/>
    <w:rsid w:val="00AF3148"/>
    <w:rsid w:val="00AF34D9"/>
    <w:rsid w:val="00AF5CCF"/>
    <w:rsid w:val="00AF7286"/>
    <w:rsid w:val="00B00C5F"/>
    <w:rsid w:val="00B03884"/>
    <w:rsid w:val="00B03924"/>
    <w:rsid w:val="00B03AC1"/>
    <w:rsid w:val="00B04543"/>
    <w:rsid w:val="00B066B3"/>
    <w:rsid w:val="00B070DC"/>
    <w:rsid w:val="00B10640"/>
    <w:rsid w:val="00B10790"/>
    <w:rsid w:val="00B1156E"/>
    <w:rsid w:val="00B11BC2"/>
    <w:rsid w:val="00B13E9B"/>
    <w:rsid w:val="00B16852"/>
    <w:rsid w:val="00B16940"/>
    <w:rsid w:val="00B174D5"/>
    <w:rsid w:val="00B2280C"/>
    <w:rsid w:val="00B23D94"/>
    <w:rsid w:val="00B25A5F"/>
    <w:rsid w:val="00B25D3D"/>
    <w:rsid w:val="00B2683D"/>
    <w:rsid w:val="00B27534"/>
    <w:rsid w:val="00B30179"/>
    <w:rsid w:val="00B31D6E"/>
    <w:rsid w:val="00B31F6E"/>
    <w:rsid w:val="00B339A7"/>
    <w:rsid w:val="00B33ABD"/>
    <w:rsid w:val="00B342E5"/>
    <w:rsid w:val="00B37097"/>
    <w:rsid w:val="00B41A37"/>
    <w:rsid w:val="00B41ACB"/>
    <w:rsid w:val="00B42976"/>
    <w:rsid w:val="00B46514"/>
    <w:rsid w:val="00B467BE"/>
    <w:rsid w:val="00B46DF7"/>
    <w:rsid w:val="00B47DB8"/>
    <w:rsid w:val="00B503FD"/>
    <w:rsid w:val="00B5285E"/>
    <w:rsid w:val="00B55522"/>
    <w:rsid w:val="00B56E4A"/>
    <w:rsid w:val="00B56E9C"/>
    <w:rsid w:val="00B60748"/>
    <w:rsid w:val="00B64B1F"/>
    <w:rsid w:val="00B6524C"/>
    <w:rsid w:val="00B653AE"/>
    <w:rsid w:val="00B6553F"/>
    <w:rsid w:val="00B66712"/>
    <w:rsid w:val="00B667F7"/>
    <w:rsid w:val="00B66E5E"/>
    <w:rsid w:val="00B71A60"/>
    <w:rsid w:val="00B724B2"/>
    <w:rsid w:val="00B739B5"/>
    <w:rsid w:val="00B73DC3"/>
    <w:rsid w:val="00B76950"/>
    <w:rsid w:val="00B77D05"/>
    <w:rsid w:val="00B81206"/>
    <w:rsid w:val="00B8190A"/>
    <w:rsid w:val="00B81E12"/>
    <w:rsid w:val="00B85756"/>
    <w:rsid w:val="00B85AF8"/>
    <w:rsid w:val="00B8650D"/>
    <w:rsid w:val="00B86781"/>
    <w:rsid w:val="00B86C63"/>
    <w:rsid w:val="00B9067B"/>
    <w:rsid w:val="00B915E0"/>
    <w:rsid w:val="00B92AA1"/>
    <w:rsid w:val="00B94491"/>
    <w:rsid w:val="00B95A99"/>
    <w:rsid w:val="00B96623"/>
    <w:rsid w:val="00B968B5"/>
    <w:rsid w:val="00B97074"/>
    <w:rsid w:val="00B97AFE"/>
    <w:rsid w:val="00BA0869"/>
    <w:rsid w:val="00BA2235"/>
    <w:rsid w:val="00BA434C"/>
    <w:rsid w:val="00BA48A2"/>
    <w:rsid w:val="00BA5934"/>
    <w:rsid w:val="00BB22D5"/>
    <w:rsid w:val="00BB3EAA"/>
    <w:rsid w:val="00BB47F1"/>
    <w:rsid w:val="00BB5667"/>
    <w:rsid w:val="00BB61AC"/>
    <w:rsid w:val="00BB6283"/>
    <w:rsid w:val="00BC01E3"/>
    <w:rsid w:val="00BC1B65"/>
    <w:rsid w:val="00BC2AA7"/>
    <w:rsid w:val="00BC2C23"/>
    <w:rsid w:val="00BC48F3"/>
    <w:rsid w:val="00BC5363"/>
    <w:rsid w:val="00BC6E5E"/>
    <w:rsid w:val="00BC74E9"/>
    <w:rsid w:val="00BC75A3"/>
    <w:rsid w:val="00BD2858"/>
    <w:rsid w:val="00BD51C5"/>
    <w:rsid w:val="00BD6CE9"/>
    <w:rsid w:val="00BE26B2"/>
    <w:rsid w:val="00BE4F3F"/>
    <w:rsid w:val="00BE62B5"/>
    <w:rsid w:val="00BF0285"/>
    <w:rsid w:val="00BF0311"/>
    <w:rsid w:val="00BF0758"/>
    <w:rsid w:val="00BF0F50"/>
    <w:rsid w:val="00BF4613"/>
    <w:rsid w:val="00BF5E52"/>
    <w:rsid w:val="00BF61C5"/>
    <w:rsid w:val="00BF68A8"/>
    <w:rsid w:val="00BF7295"/>
    <w:rsid w:val="00BF72FD"/>
    <w:rsid w:val="00C00739"/>
    <w:rsid w:val="00C00847"/>
    <w:rsid w:val="00C01B37"/>
    <w:rsid w:val="00C02E7A"/>
    <w:rsid w:val="00C03E8F"/>
    <w:rsid w:val="00C04639"/>
    <w:rsid w:val="00C065DB"/>
    <w:rsid w:val="00C11092"/>
    <w:rsid w:val="00C11207"/>
    <w:rsid w:val="00C11547"/>
    <w:rsid w:val="00C11870"/>
    <w:rsid w:val="00C11A03"/>
    <w:rsid w:val="00C144EC"/>
    <w:rsid w:val="00C14620"/>
    <w:rsid w:val="00C159F7"/>
    <w:rsid w:val="00C20A72"/>
    <w:rsid w:val="00C2237C"/>
    <w:rsid w:val="00C2284D"/>
    <w:rsid w:val="00C23653"/>
    <w:rsid w:val="00C2473F"/>
    <w:rsid w:val="00C33A42"/>
    <w:rsid w:val="00C34104"/>
    <w:rsid w:val="00C34926"/>
    <w:rsid w:val="00C34E86"/>
    <w:rsid w:val="00C418BB"/>
    <w:rsid w:val="00C42190"/>
    <w:rsid w:val="00C42EAF"/>
    <w:rsid w:val="00C44D49"/>
    <w:rsid w:val="00C463DD"/>
    <w:rsid w:val="00C46474"/>
    <w:rsid w:val="00C4724C"/>
    <w:rsid w:val="00C47927"/>
    <w:rsid w:val="00C50356"/>
    <w:rsid w:val="00C50ECF"/>
    <w:rsid w:val="00C53963"/>
    <w:rsid w:val="00C54659"/>
    <w:rsid w:val="00C547DD"/>
    <w:rsid w:val="00C55706"/>
    <w:rsid w:val="00C55779"/>
    <w:rsid w:val="00C56114"/>
    <w:rsid w:val="00C56CE9"/>
    <w:rsid w:val="00C57A10"/>
    <w:rsid w:val="00C606D3"/>
    <w:rsid w:val="00C6190D"/>
    <w:rsid w:val="00C61C48"/>
    <w:rsid w:val="00C629A0"/>
    <w:rsid w:val="00C651DA"/>
    <w:rsid w:val="00C67E9B"/>
    <w:rsid w:val="00C72943"/>
    <w:rsid w:val="00C73736"/>
    <w:rsid w:val="00C745C3"/>
    <w:rsid w:val="00C76890"/>
    <w:rsid w:val="00C7728B"/>
    <w:rsid w:val="00C80234"/>
    <w:rsid w:val="00C803EC"/>
    <w:rsid w:val="00C819E8"/>
    <w:rsid w:val="00C83FCD"/>
    <w:rsid w:val="00C8504E"/>
    <w:rsid w:val="00C85113"/>
    <w:rsid w:val="00C861CA"/>
    <w:rsid w:val="00C918F3"/>
    <w:rsid w:val="00C93256"/>
    <w:rsid w:val="00C93408"/>
    <w:rsid w:val="00C94DC9"/>
    <w:rsid w:val="00CA3EFF"/>
    <w:rsid w:val="00CB0E2A"/>
    <w:rsid w:val="00CB1D44"/>
    <w:rsid w:val="00CB2D9F"/>
    <w:rsid w:val="00CB351A"/>
    <w:rsid w:val="00CB6E28"/>
    <w:rsid w:val="00CC03E1"/>
    <w:rsid w:val="00CC0B9A"/>
    <w:rsid w:val="00CC0BB4"/>
    <w:rsid w:val="00CC241F"/>
    <w:rsid w:val="00CC2C70"/>
    <w:rsid w:val="00CC423A"/>
    <w:rsid w:val="00CD2A72"/>
    <w:rsid w:val="00CD3533"/>
    <w:rsid w:val="00CD475D"/>
    <w:rsid w:val="00CD61D3"/>
    <w:rsid w:val="00CE089B"/>
    <w:rsid w:val="00CE4A8F"/>
    <w:rsid w:val="00CE736B"/>
    <w:rsid w:val="00CE7D34"/>
    <w:rsid w:val="00CF1984"/>
    <w:rsid w:val="00CF2621"/>
    <w:rsid w:val="00CF76D6"/>
    <w:rsid w:val="00D02931"/>
    <w:rsid w:val="00D02C2A"/>
    <w:rsid w:val="00D04E07"/>
    <w:rsid w:val="00D06AB9"/>
    <w:rsid w:val="00D06B7E"/>
    <w:rsid w:val="00D10715"/>
    <w:rsid w:val="00D12158"/>
    <w:rsid w:val="00D12AA9"/>
    <w:rsid w:val="00D1315B"/>
    <w:rsid w:val="00D13268"/>
    <w:rsid w:val="00D141CF"/>
    <w:rsid w:val="00D17589"/>
    <w:rsid w:val="00D2031B"/>
    <w:rsid w:val="00D20E19"/>
    <w:rsid w:val="00D210FB"/>
    <w:rsid w:val="00D257E7"/>
    <w:rsid w:val="00D25FE2"/>
    <w:rsid w:val="00D2616F"/>
    <w:rsid w:val="00D2637A"/>
    <w:rsid w:val="00D3001F"/>
    <w:rsid w:val="00D30034"/>
    <w:rsid w:val="00D3430C"/>
    <w:rsid w:val="00D35B7F"/>
    <w:rsid w:val="00D35FCA"/>
    <w:rsid w:val="00D43252"/>
    <w:rsid w:val="00D43E06"/>
    <w:rsid w:val="00D46C27"/>
    <w:rsid w:val="00D47B92"/>
    <w:rsid w:val="00D47EEA"/>
    <w:rsid w:val="00D47F7B"/>
    <w:rsid w:val="00D501D0"/>
    <w:rsid w:val="00D509AE"/>
    <w:rsid w:val="00D51D6E"/>
    <w:rsid w:val="00D51EF8"/>
    <w:rsid w:val="00D52391"/>
    <w:rsid w:val="00D53BAD"/>
    <w:rsid w:val="00D542CF"/>
    <w:rsid w:val="00D543C9"/>
    <w:rsid w:val="00D6148A"/>
    <w:rsid w:val="00D62D0F"/>
    <w:rsid w:val="00D70BF9"/>
    <w:rsid w:val="00D7111B"/>
    <w:rsid w:val="00D729E4"/>
    <w:rsid w:val="00D73CB8"/>
    <w:rsid w:val="00D80EDF"/>
    <w:rsid w:val="00D81309"/>
    <w:rsid w:val="00D864CC"/>
    <w:rsid w:val="00D872C2"/>
    <w:rsid w:val="00D90F93"/>
    <w:rsid w:val="00D91275"/>
    <w:rsid w:val="00D913B0"/>
    <w:rsid w:val="00D930F9"/>
    <w:rsid w:val="00D94BB8"/>
    <w:rsid w:val="00D94CDD"/>
    <w:rsid w:val="00D95303"/>
    <w:rsid w:val="00D96E57"/>
    <w:rsid w:val="00D97597"/>
    <w:rsid w:val="00D975A7"/>
    <w:rsid w:val="00D978C6"/>
    <w:rsid w:val="00DA3111"/>
    <w:rsid w:val="00DA3C1C"/>
    <w:rsid w:val="00DA4BBB"/>
    <w:rsid w:val="00DB0C79"/>
    <w:rsid w:val="00DB2CE7"/>
    <w:rsid w:val="00DB37D1"/>
    <w:rsid w:val="00DB5724"/>
    <w:rsid w:val="00DB5B2F"/>
    <w:rsid w:val="00DC04F3"/>
    <w:rsid w:val="00DC0714"/>
    <w:rsid w:val="00DC088A"/>
    <w:rsid w:val="00DC0C80"/>
    <w:rsid w:val="00DC3C17"/>
    <w:rsid w:val="00DC3D1B"/>
    <w:rsid w:val="00DC465A"/>
    <w:rsid w:val="00DC6447"/>
    <w:rsid w:val="00DD0B8A"/>
    <w:rsid w:val="00DD2848"/>
    <w:rsid w:val="00DD471E"/>
    <w:rsid w:val="00DD593B"/>
    <w:rsid w:val="00DD6010"/>
    <w:rsid w:val="00DD7E98"/>
    <w:rsid w:val="00DE1DF6"/>
    <w:rsid w:val="00DE3A2C"/>
    <w:rsid w:val="00DE6ABD"/>
    <w:rsid w:val="00DE79A8"/>
    <w:rsid w:val="00DE79F4"/>
    <w:rsid w:val="00DE7F59"/>
    <w:rsid w:val="00DF0799"/>
    <w:rsid w:val="00DF2599"/>
    <w:rsid w:val="00DF4580"/>
    <w:rsid w:val="00DF528D"/>
    <w:rsid w:val="00DF7B1B"/>
    <w:rsid w:val="00E07CAE"/>
    <w:rsid w:val="00E104C9"/>
    <w:rsid w:val="00E13BC1"/>
    <w:rsid w:val="00E142AF"/>
    <w:rsid w:val="00E14989"/>
    <w:rsid w:val="00E15CC1"/>
    <w:rsid w:val="00E17C73"/>
    <w:rsid w:val="00E209FD"/>
    <w:rsid w:val="00E21400"/>
    <w:rsid w:val="00E25E54"/>
    <w:rsid w:val="00E27346"/>
    <w:rsid w:val="00E31E79"/>
    <w:rsid w:val="00E32132"/>
    <w:rsid w:val="00E34156"/>
    <w:rsid w:val="00E35AD2"/>
    <w:rsid w:val="00E378E9"/>
    <w:rsid w:val="00E40A07"/>
    <w:rsid w:val="00E41BFE"/>
    <w:rsid w:val="00E4363C"/>
    <w:rsid w:val="00E443AF"/>
    <w:rsid w:val="00E535BE"/>
    <w:rsid w:val="00E53D02"/>
    <w:rsid w:val="00E54106"/>
    <w:rsid w:val="00E54C96"/>
    <w:rsid w:val="00E55EEB"/>
    <w:rsid w:val="00E6074E"/>
    <w:rsid w:val="00E61088"/>
    <w:rsid w:val="00E632CC"/>
    <w:rsid w:val="00E64123"/>
    <w:rsid w:val="00E65396"/>
    <w:rsid w:val="00E67325"/>
    <w:rsid w:val="00E67DDB"/>
    <w:rsid w:val="00E71BC8"/>
    <w:rsid w:val="00E7260F"/>
    <w:rsid w:val="00E739E7"/>
    <w:rsid w:val="00E74206"/>
    <w:rsid w:val="00E76342"/>
    <w:rsid w:val="00E77185"/>
    <w:rsid w:val="00E77257"/>
    <w:rsid w:val="00E779FC"/>
    <w:rsid w:val="00E803B0"/>
    <w:rsid w:val="00E80FE7"/>
    <w:rsid w:val="00E8292D"/>
    <w:rsid w:val="00E848D3"/>
    <w:rsid w:val="00E849B2"/>
    <w:rsid w:val="00E85728"/>
    <w:rsid w:val="00E86349"/>
    <w:rsid w:val="00E86600"/>
    <w:rsid w:val="00E87C4C"/>
    <w:rsid w:val="00E9205D"/>
    <w:rsid w:val="00E921CF"/>
    <w:rsid w:val="00E925EC"/>
    <w:rsid w:val="00E94466"/>
    <w:rsid w:val="00E94D9B"/>
    <w:rsid w:val="00E96630"/>
    <w:rsid w:val="00EA0822"/>
    <w:rsid w:val="00EA1D97"/>
    <w:rsid w:val="00EA21F9"/>
    <w:rsid w:val="00EA31F7"/>
    <w:rsid w:val="00EB11F3"/>
    <w:rsid w:val="00EB2581"/>
    <w:rsid w:val="00EB45C4"/>
    <w:rsid w:val="00EB5373"/>
    <w:rsid w:val="00EB54F2"/>
    <w:rsid w:val="00EB7649"/>
    <w:rsid w:val="00EC14EF"/>
    <w:rsid w:val="00EC168D"/>
    <w:rsid w:val="00EC4B91"/>
    <w:rsid w:val="00EC71C9"/>
    <w:rsid w:val="00ED00FD"/>
    <w:rsid w:val="00ED16A2"/>
    <w:rsid w:val="00ED4C4A"/>
    <w:rsid w:val="00ED6970"/>
    <w:rsid w:val="00ED7A2A"/>
    <w:rsid w:val="00ED7E6E"/>
    <w:rsid w:val="00EE374A"/>
    <w:rsid w:val="00EE37B7"/>
    <w:rsid w:val="00EE5C7E"/>
    <w:rsid w:val="00EE6929"/>
    <w:rsid w:val="00EE6B37"/>
    <w:rsid w:val="00EF0235"/>
    <w:rsid w:val="00EF0C54"/>
    <w:rsid w:val="00EF162E"/>
    <w:rsid w:val="00EF1D7A"/>
    <w:rsid w:val="00EF1D7F"/>
    <w:rsid w:val="00EF3514"/>
    <w:rsid w:val="00EF560D"/>
    <w:rsid w:val="00EF5935"/>
    <w:rsid w:val="00F00747"/>
    <w:rsid w:val="00F01F3B"/>
    <w:rsid w:val="00F03190"/>
    <w:rsid w:val="00F03A99"/>
    <w:rsid w:val="00F0403F"/>
    <w:rsid w:val="00F04475"/>
    <w:rsid w:val="00F04CDE"/>
    <w:rsid w:val="00F056F2"/>
    <w:rsid w:val="00F075CC"/>
    <w:rsid w:val="00F076FF"/>
    <w:rsid w:val="00F15973"/>
    <w:rsid w:val="00F17BD5"/>
    <w:rsid w:val="00F20C3D"/>
    <w:rsid w:val="00F21FE3"/>
    <w:rsid w:val="00F22E3E"/>
    <w:rsid w:val="00F24F92"/>
    <w:rsid w:val="00F2653D"/>
    <w:rsid w:val="00F3026E"/>
    <w:rsid w:val="00F31056"/>
    <w:rsid w:val="00F311E6"/>
    <w:rsid w:val="00F31242"/>
    <w:rsid w:val="00F32BBF"/>
    <w:rsid w:val="00F34D48"/>
    <w:rsid w:val="00F35149"/>
    <w:rsid w:val="00F37054"/>
    <w:rsid w:val="00F373CD"/>
    <w:rsid w:val="00F41576"/>
    <w:rsid w:val="00F41B9F"/>
    <w:rsid w:val="00F41F7D"/>
    <w:rsid w:val="00F4204E"/>
    <w:rsid w:val="00F422CA"/>
    <w:rsid w:val="00F4305E"/>
    <w:rsid w:val="00F4374D"/>
    <w:rsid w:val="00F43E9E"/>
    <w:rsid w:val="00F44820"/>
    <w:rsid w:val="00F45966"/>
    <w:rsid w:val="00F51EF1"/>
    <w:rsid w:val="00F52BE2"/>
    <w:rsid w:val="00F5313E"/>
    <w:rsid w:val="00F53964"/>
    <w:rsid w:val="00F53F5C"/>
    <w:rsid w:val="00F546EA"/>
    <w:rsid w:val="00F55845"/>
    <w:rsid w:val="00F60246"/>
    <w:rsid w:val="00F60C3B"/>
    <w:rsid w:val="00F70D25"/>
    <w:rsid w:val="00F70D30"/>
    <w:rsid w:val="00F72A4B"/>
    <w:rsid w:val="00F730A1"/>
    <w:rsid w:val="00F748B6"/>
    <w:rsid w:val="00F8017E"/>
    <w:rsid w:val="00F81C2B"/>
    <w:rsid w:val="00F82653"/>
    <w:rsid w:val="00F82F23"/>
    <w:rsid w:val="00F838DC"/>
    <w:rsid w:val="00F8467B"/>
    <w:rsid w:val="00F85733"/>
    <w:rsid w:val="00F86121"/>
    <w:rsid w:val="00F8772A"/>
    <w:rsid w:val="00F9057C"/>
    <w:rsid w:val="00F906D7"/>
    <w:rsid w:val="00F908D7"/>
    <w:rsid w:val="00F90FD3"/>
    <w:rsid w:val="00F93781"/>
    <w:rsid w:val="00F9532C"/>
    <w:rsid w:val="00F9653B"/>
    <w:rsid w:val="00F9682C"/>
    <w:rsid w:val="00F96BA5"/>
    <w:rsid w:val="00FA1718"/>
    <w:rsid w:val="00FA5BA0"/>
    <w:rsid w:val="00FB148B"/>
    <w:rsid w:val="00FB2340"/>
    <w:rsid w:val="00FB2745"/>
    <w:rsid w:val="00FB4522"/>
    <w:rsid w:val="00FB45D9"/>
    <w:rsid w:val="00FB5EB5"/>
    <w:rsid w:val="00FB603B"/>
    <w:rsid w:val="00FB613B"/>
    <w:rsid w:val="00FB78D7"/>
    <w:rsid w:val="00FC0622"/>
    <w:rsid w:val="00FC6401"/>
    <w:rsid w:val="00FC68B7"/>
    <w:rsid w:val="00FD0381"/>
    <w:rsid w:val="00FD0555"/>
    <w:rsid w:val="00FD1D08"/>
    <w:rsid w:val="00FD288D"/>
    <w:rsid w:val="00FD28AF"/>
    <w:rsid w:val="00FD4F04"/>
    <w:rsid w:val="00FD4FB8"/>
    <w:rsid w:val="00FD61DA"/>
    <w:rsid w:val="00FD71F6"/>
    <w:rsid w:val="00FD7CD0"/>
    <w:rsid w:val="00FE106A"/>
    <w:rsid w:val="00FE2B82"/>
    <w:rsid w:val="00FE41BA"/>
    <w:rsid w:val="00FE5BA0"/>
    <w:rsid w:val="00FF0000"/>
    <w:rsid w:val="00FF03D1"/>
    <w:rsid w:val="00FF30F6"/>
    <w:rsid w:val="00FF4503"/>
    <w:rsid w:val="00FF4BF4"/>
    <w:rsid w:val="00FF66E4"/>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C2AA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C2AA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uiPriority w:val="99"/>
    <w:rsid w:val="00A2492D"/>
    <w:rPr>
      <w:sz w:val="24"/>
      <w:szCs w:val="24"/>
    </w:rPr>
  </w:style>
  <w:style w:type="character" w:styleId="Strong">
    <w:name w:val="Strong"/>
    <w:uiPriority w:val="22"/>
    <w:qFormat/>
    <w:rsid w:val="00A2492D"/>
    <w:rPr>
      <w:b/>
      <w:bCs/>
    </w:rPr>
  </w:style>
  <w:style w:type="paragraph" w:customStyle="1" w:styleId="MediumGrid21">
    <w:name w:val="Medium Grid 21"/>
    <w:uiPriority w:val="1"/>
    <w:qFormat/>
    <w:rsid w:val="00C83FCD"/>
    <w:pPr>
      <w:suppressAutoHyphens/>
    </w:pPr>
    <w:rPr>
      <w:lang w:eastAsia="en-US"/>
    </w:rPr>
  </w:style>
  <w:style w:type="paragraph" w:customStyle="1" w:styleId="ColorfulShading-Accent11">
    <w:name w:val="Colorful Shading - Accent 11"/>
    <w:hidden/>
    <w:uiPriority w:val="99"/>
    <w:semiHidden/>
    <w:rsid w:val="00161EEA"/>
    <w:rPr>
      <w:lang w:eastAsia="en-US"/>
    </w:rPr>
  </w:style>
  <w:style w:type="paragraph" w:styleId="NoSpacing">
    <w:name w:val="No Spacing"/>
    <w:uiPriority w:val="1"/>
    <w:qFormat/>
    <w:rsid w:val="00A72D74"/>
    <w:rPr>
      <w:rFonts w:ascii="Calibri" w:eastAsia="Calibri" w:hAnsi="Calibri"/>
      <w:sz w:val="22"/>
      <w:szCs w:val="22"/>
      <w:lang w:val="en-US" w:eastAsia="en-US"/>
    </w:rPr>
  </w:style>
  <w:style w:type="paragraph" w:styleId="Revision">
    <w:name w:val="Revision"/>
    <w:hidden/>
    <w:uiPriority w:val="99"/>
    <w:semiHidden/>
    <w:rsid w:val="004D0D2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C2AA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C2AA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rmalWeb">
    <w:name w:val="Normal (Web)"/>
    <w:basedOn w:val="Normal"/>
    <w:uiPriority w:val="99"/>
    <w:rsid w:val="00A2492D"/>
    <w:rPr>
      <w:sz w:val="24"/>
      <w:szCs w:val="24"/>
    </w:rPr>
  </w:style>
  <w:style w:type="character" w:styleId="Strong">
    <w:name w:val="Strong"/>
    <w:uiPriority w:val="22"/>
    <w:qFormat/>
    <w:rsid w:val="00A2492D"/>
    <w:rPr>
      <w:b/>
      <w:bCs/>
    </w:rPr>
  </w:style>
  <w:style w:type="paragraph" w:customStyle="1" w:styleId="MediumGrid21">
    <w:name w:val="Medium Grid 21"/>
    <w:uiPriority w:val="1"/>
    <w:qFormat/>
    <w:rsid w:val="00C83FCD"/>
    <w:pPr>
      <w:suppressAutoHyphens/>
    </w:pPr>
    <w:rPr>
      <w:lang w:eastAsia="en-US"/>
    </w:rPr>
  </w:style>
  <w:style w:type="paragraph" w:customStyle="1" w:styleId="ColorfulShading-Accent11">
    <w:name w:val="Colorful Shading - Accent 11"/>
    <w:hidden/>
    <w:uiPriority w:val="99"/>
    <w:semiHidden/>
    <w:rsid w:val="00161EEA"/>
    <w:rPr>
      <w:lang w:eastAsia="en-US"/>
    </w:rPr>
  </w:style>
  <w:style w:type="paragraph" w:styleId="NoSpacing">
    <w:name w:val="No Spacing"/>
    <w:uiPriority w:val="1"/>
    <w:qFormat/>
    <w:rsid w:val="00A72D74"/>
    <w:rPr>
      <w:rFonts w:ascii="Calibri" w:eastAsia="Calibri" w:hAnsi="Calibri"/>
      <w:sz w:val="22"/>
      <w:szCs w:val="22"/>
      <w:lang w:val="en-US" w:eastAsia="en-US"/>
    </w:rPr>
  </w:style>
  <w:style w:type="paragraph" w:styleId="Revision">
    <w:name w:val="Revision"/>
    <w:hidden/>
    <w:uiPriority w:val="99"/>
    <w:semiHidden/>
    <w:rsid w:val="004D0D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62222390">
      <w:bodyDiv w:val="1"/>
      <w:marLeft w:val="0"/>
      <w:marRight w:val="0"/>
      <w:marTop w:val="0"/>
      <w:marBottom w:val="0"/>
      <w:divBdr>
        <w:top w:val="none" w:sz="0" w:space="0" w:color="auto"/>
        <w:left w:val="none" w:sz="0" w:space="0" w:color="auto"/>
        <w:bottom w:val="none" w:sz="0" w:space="0" w:color="auto"/>
        <w:right w:val="none" w:sz="0" w:space="0" w:color="auto"/>
      </w:divBdr>
    </w:div>
    <w:div w:id="163126842">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3446555">
      <w:bodyDiv w:val="1"/>
      <w:marLeft w:val="0"/>
      <w:marRight w:val="0"/>
      <w:marTop w:val="0"/>
      <w:marBottom w:val="0"/>
      <w:divBdr>
        <w:top w:val="none" w:sz="0" w:space="0" w:color="auto"/>
        <w:left w:val="none" w:sz="0" w:space="0" w:color="auto"/>
        <w:bottom w:val="none" w:sz="0" w:space="0" w:color="auto"/>
        <w:right w:val="none" w:sz="0" w:space="0" w:color="auto"/>
      </w:divBdr>
      <w:divsChild>
        <w:div w:id="2085226070">
          <w:marLeft w:val="0"/>
          <w:marRight w:val="0"/>
          <w:marTop w:val="0"/>
          <w:marBottom w:val="0"/>
          <w:divBdr>
            <w:top w:val="none" w:sz="0" w:space="0" w:color="auto"/>
            <w:left w:val="none" w:sz="0" w:space="0" w:color="auto"/>
            <w:bottom w:val="none" w:sz="0" w:space="0" w:color="auto"/>
            <w:right w:val="none" w:sz="0" w:space="0" w:color="auto"/>
          </w:divBdr>
          <w:divsChild>
            <w:div w:id="1911769316">
              <w:marLeft w:val="0"/>
              <w:marRight w:val="0"/>
              <w:marTop w:val="0"/>
              <w:marBottom w:val="0"/>
              <w:divBdr>
                <w:top w:val="none" w:sz="0" w:space="0" w:color="auto"/>
                <w:left w:val="single" w:sz="12" w:space="4" w:color="000000"/>
                <w:bottom w:val="none" w:sz="0" w:space="0" w:color="auto"/>
                <w:right w:val="none" w:sz="0" w:space="0" w:color="auto"/>
              </w:divBdr>
              <w:divsChild>
                <w:div w:id="114645328">
                  <w:marLeft w:val="0"/>
                  <w:marRight w:val="0"/>
                  <w:marTop w:val="0"/>
                  <w:marBottom w:val="0"/>
                  <w:divBdr>
                    <w:top w:val="none" w:sz="0" w:space="0" w:color="auto"/>
                    <w:left w:val="none" w:sz="0" w:space="0" w:color="auto"/>
                    <w:bottom w:val="none" w:sz="0" w:space="0" w:color="auto"/>
                    <w:right w:val="none" w:sz="0" w:space="0" w:color="auto"/>
                  </w:divBdr>
                  <w:divsChild>
                    <w:div w:id="1496262395">
                      <w:marLeft w:val="0"/>
                      <w:marRight w:val="0"/>
                      <w:marTop w:val="0"/>
                      <w:marBottom w:val="0"/>
                      <w:divBdr>
                        <w:top w:val="none" w:sz="0" w:space="0" w:color="auto"/>
                        <w:left w:val="single" w:sz="12" w:space="4" w:color="000000"/>
                        <w:bottom w:val="none" w:sz="0" w:space="0" w:color="auto"/>
                        <w:right w:val="none" w:sz="0" w:space="0" w:color="auto"/>
                      </w:divBdr>
                      <w:divsChild>
                        <w:div w:id="20640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06462863">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347754868">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47073385">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 w:id="1930000497">
      <w:bodyDiv w:val="1"/>
      <w:marLeft w:val="0"/>
      <w:marRight w:val="0"/>
      <w:marTop w:val="0"/>
      <w:marBottom w:val="0"/>
      <w:divBdr>
        <w:top w:val="none" w:sz="0" w:space="0" w:color="auto"/>
        <w:left w:val="none" w:sz="0" w:space="0" w:color="auto"/>
        <w:bottom w:val="none" w:sz="0" w:space="0" w:color="auto"/>
        <w:right w:val="none" w:sz="0" w:space="0" w:color="auto"/>
      </w:divBdr>
      <w:divsChild>
        <w:div w:id="1995646571">
          <w:marLeft w:val="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471558642">
                  <w:marLeft w:val="0"/>
                  <w:marRight w:val="0"/>
                  <w:marTop w:val="0"/>
                  <w:marBottom w:val="0"/>
                  <w:divBdr>
                    <w:top w:val="none" w:sz="0" w:space="0" w:color="auto"/>
                    <w:left w:val="none" w:sz="0" w:space="0" w:color="auto"/>
                    <w:bottom w:val="none" w:sz="0" w:space="0" w:color="auto"/>
                    <w:right w:val="none" w:sz="0" w:space="0" w:color="auto"/>
                  </w:divBdr>
                  <w:divsChild>
                    <w:div w:id="1376276134">
                      <w:marLeft w:val="0"/>
                      <w:marRight w:val="0"/>
                      <w:marTop w:val="0"/>
                      <w:marBottom w:val="0"/>
                      <w:divBdr>
                        <w:top w:val="none" w:sz="0" w:space="0" w:color="auto"/>
                        <w:left w:val="none" w:sz="0" w:space="0" w:color="auto"/>
                        <w:bottom w:val="none" w:sz="0" w:space="0" w:color="auto"/>
                        <w:right w:val="none" w:sz="0" w:space="0" w:color="auto"/>
                      </w:divBdr>
                      <w:divsChild>
                        <w:div w:id="31004152">
                          <w:marLeft w:val="0"/>
                          <w:marRight w:val="0"/>
                          <w:marTop w:val="0"/>
                          <w:marBottom w:val="0"/>
                          <w:divBdr>
                            <w:top w:val="none" w:sz="0" w:space="0" w:color="auto"/>
                            <w:left w:val="none" w:sz="0" w:space="0" w:color="auto"/>
                            <w:bottom w:val="none" w:sz="0" w:space="0" w:color="auto"/>
                            <w:right w:val="none" w:sz="0" w:space="0" w:color="auto"/>
                          </w:divBdr>
                          <w:divsChild>
                            <w:div w:id="638152451">
                              <w:marLeft w:val="0"/>
                              <w:marRight w:val="0"/>
                              <w:marTop w:val="0"/>
                              <w:marBottom w:val="0"/>
                              <w:divBdr>
                                <w:top w:val="none" w:sz="0" w:space="0" w:color="auto"/>
                                <w:left w:val="none" w:sz="0" w:space="0" w:color="auto"/>
                                <w:bottom w:val="none" w:sz="0" w:space="0" w:color="auto"/>
                                <w:right w:val="none" w:sz="0" w:space="0" w:color="auto"/>
                              </w:divBdr>
                              <w:divsChild>
                                <w:div w:id="164903340">
                                  <w:marLeft w:val="0"/>
                                  <w:marRight w:val="0"/>
                                  <w:marTop w:val="0"/>
                                  <w:marBottom w:val="0"/>
                                  <w:divBdr>
                                    <w:top w:val="none" w:sz="0" w:space="0" w:color="auto"/>
                                    <w:left w:val="none" w:sz="0" w:space="0" w:color="auto"/>
                                    <w:bottom w:val="none" w:sz="0" w:space="0" w:color="auto"/>
                                    <w:right w:val="none" w:sz="0" w:space="0" w:color="auto"/>
                                  </w:divBdr>
                                  <w:divsChild>
                                    <w:div w:id="1431509798">
                                      <w:marLeft w:val="0"/>
                                      <w:marRight w:val="0"/>
                                      <w:marTop w:val="0"/>
                                      <w:marBottom w:val="0"/>
                                      <w:divBdr>
                                        <w:top w:val="single" w:sz="6" w:space="0" w:color="DFDFE0"/>
                                        <w:left w:val="single" w:sz="6" w:space="0" w:color="DFDFE0"/>
                                        <w:bottom w:val="none" w:sz="0" w:space="0" w:color="auto"/>
                                        <w:right w:val="single" w:sz="6" w:space="0" w:color="DFDFE0"/>
                                      </w:divBdr>
                                      <w:divsChild>
                                        <w:div w:id="2130394442">
                                          <w:marLeft w:val="0"/>
                                          <w:marRight w:val="0"/>
                                          <w:marTop w:val="0"/>
                                          <w:marBottom w:val="0"/>
                                          <w:divBdr>
                                            <w:top w:val="none" w:sz="0" w:space="0" w:color="auto"/>
                                            <w:left w:val="none" w:sz="0" w:space="0" w:color="auto"/>
                                            <w:bottom w:val="none" w:sz="0" w:space="0" w:color="auto"/>
                                            <w:right w:val="none" w:sz="0" w:space="0" w:color="auto"/>
                                          </w:divBdr>
                                          <w:divsChild>
                                            <w:div w:id="365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4E60-D17D-4DBF-B9C3-CF7EDF55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4594</Words>
  <Characters>23024</Characters>
  <Application>Microsoft Office Word</Application>
  <DocSecurity>0</DocSecurity>
  <Lines>354</Lines>
  <Paragraphs>69</Paragraphs>
  <ScaleCrop>false</ScaleCrop>
  <HeadingPairs>
    <vt:vector size="2" baseType="variant">
      <vt:variant>
        <vt:lpstr>Title</vt:lpstr>
      </vt:variant>
      <vt:variant>
        <vt:i4>1</vt:i4>
      </vt:variant>
    </vt:vector>
  </HeadingPairs>
  <TitlesOfParts>
    <vt:vector size="1" baseType="lpstr">
      <vt:lpstr>1610027</vt:lpstr>
    </vt:vector>
  </TitlesOfParts>
  <Company>CSD</Company>
  <LinksUpToDate>false</LinksUpToDate>
  <CharactersWithSpaces>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1615569</dc:title>
  <dc:subject>CCPR/C/117/D/2559/2015</dc:subject>
  <dc:creator>temp Neogi</dc:creator>
  <cp:keywords/>
  <dc:description/>
  <cp:lastModifiedBy>Tpseng</cp:lastModifiedBy>
  <cp:revision>2</cp:revision>
  <cp:lastPrinted>2016-09-07T11:46:00Z</cp:lastPrinted>
  <dcterms:created xsi:type="dcterms:W3CDTF">2016-09-09T10:05:00Z</dcterms:created>
  <dcterms:modified xsi:type="dcterms:W3CDTF">2016-09-09T10:05:00Z</dcterms:modified>
</cp:coreProperties>
</file>