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14:paraId="064EA083" w14:textId="77777777" w:rsidTr="002834B6">
        <w:trPr>
          <w:trHeight w:hRule="exact" w:val="851"/>
        </w:trPr>
        <w:tc>
          <w:tcPr>
            <w:tcW w:w="1276" w:type="dxa"/>
            <w:tcBorders>
              <w:bottom w:val="single" w:sz="4" w:space="0" w:color="auto"/>
            </w:tcBorders>
            <w:vAlign w:val="bottom"/>
          </w:tcPr>
          <w:p w14:paraId="7BE13B13" w14:textId="77777777" w:rsidR="00B56E9C" w:rsidRDefault="00B56E9C" w:rsidP="00B6553F">
            <w:pPr>
              <w:spacing w:after="80"/>
            </w:pPr>
            <w:bookmarkStart w:id="0" w:name="_GoBack"/>
            <w:bookmarkEnd w:id="0"/>
          </w:p>
        </w:tc>
        <w:tc>
          <w:tcPr>
            <w:tcW w:w="1985" w:type="dxa"/>
            <w:tcBorders>
              <w:bottom w:val="single" w:sz="4" w:space="0" w:color="auto"/>
            </w:tcBorders>
            <w:vAlign w:val="bottom"/>
          </w:tcPr>
          <w:p w14:paraId="0AA44868" w14:textId="77777777"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14:paraId="5B7A8509" w14:textId="77777777" w:rsidR="00B56E9C" w:rsidRPr="00D47EEA" w:rsidRDefault="00503CE5" w:rsidP="0060278F">
            <w:pPr>
              <w:jc w:val="right"/>
            </w:pPr>
            <w:r w:rsidRPr="00503CE5">
              <w:rPr>
                <w:sz w:val="40"/>
              </w:rPr>
              <w:t>CAT</w:t>
            </w:r>
            <w:r>
              <w:t>/C/5</w:t>
            </w:r>
            <w:r w:rsidR="005A4D32">
              <w:t>6</w:t>
            </w:r>
            <w:r>
              <w:t>/D/562/2013</w:t>
            </w:r>
          </w:p>
        </w:tc>
      </w:tr>
      <w:tr w:rsidR="00B56E9C" w14:paraId="0827AF6A" w14:textId="77777777" w:rsidTr="00B6553F">
        <w:trPr>
          <w:cantSplit/>
          <w:trHeight w:hRule="exact" w:val="2835"/>
        </w:trPr>
        <w:tc>
          <w:tcPr>
            <w:tcW w:w="1276" w:type="dxa"/>
            <w:tcBorders>
              <w:top w:val="single" w:sz="4" w:space="0" w:color="auto"/>
              <w:bottom w:val="single" w:sz="12" w:space="0" w:color="auto"/>
            </w:tcBorders>
          </w:tcPr>
          <w:p w14:paraId="117066D5" w14:textId="77777777" w:rsidR="00B56E9C" w:rsidRDefault="00BD11CE" w:rsidP="00B6553F">
            <w:pPr>
              <w:spacing w:before="120"/>
            </w:pPr>
            <w:r>
              <w:rPr>
                <w:noProof/>
                <w:lang w:val="en-US"/>
              </w:rPr>
              <w:drawing>
                <wp:inline distT="0" distB="0" distL="0" distR="0" wp14:anchorId="3255CE97" wp14:editId="20E33B31">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025B76C" w14:textId="77777777"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14:paraId="61FA6CFE" w14:textId="77777777" w:rsidR="000020E6" w:rsidRPr="000020E6" w:rsidRDefault="00503CE5" w:rsidP="000020E6">
            <w:pPr>
              <w:spacing w:before="240" w:line="240" w:lineRule="exact"/>
            </w:pPr>
            <w:r>
              <w:t xml:space="preserve">Distr.: </w:t>
            </w:r>
            <w:r w:rsidR="00565CDC">
              <w:t xml:space="preserve">General </w:t>
            </w:r>
          </w:p>
          <w:p w14:paraId="5F344668" w14:textId="77777777" w:rsidR="00503CE5" w:rsidRDefault="002D0C7F" w:rsidP="002D0C7F">
            <w:pPr>
              <w:spacing w:line="240" w:lineRule="exact"/>
            </w:pPr>
            <w:r>
              <w:t>10</w:t>
            </w:r>
            <w:r w:rsidR="00B25CB5" w:rsidRPr="002D0C7F">
              <w:t xml:space="preserve"> </w:t>
            </w:r>
            <w:r w:rsidR="00507A01" w:rsidRPr="002D0C7F">
              <w:t>February</w:t>
            </w:r>
            <w:r w:rsidR="00565CDC" w:rsidRPr="002D0C7F">
              <w:t xml:space="preserve"> </w:t>
            </w:r>
            <w:r w:rsidR="00503CE5" w:rsidRPr="002D0C7F">
              <w:t>201</w:t>
            </w:r>
            <w:r w:rsidR="00507A01" w:rsidRPr="002D0C7F">
              <w:t>6</w:t>
            </w:r>
          </w:p>
          <w:p w14:paraId="737DE077" w14:textId="77777777" w:rsidR="00503CE5" w:rsidRDefault="00503CE5" w:rsidP="00503CE5">
            <w:pPr>
              <w:spacing w:line="240" w:lineRule="exact"/>
            </w:pPr>
          </w:p>
          <w:p w14:paraId="3F192985" w14:textId="77777777" w:rsidR="00503CE5" w:rsidRDefault="00503CE5" w:rsidP="00503CE5">
            <w:pPr>
              <w:spacing w:line="240" w:lineRule="exact"/>
            </w:pPr>
            <w:r>
              <w:t>Original: English</w:t>
            </w:r>
          </w:p>
          <w:p w14:paraId="435AA98F" w14:textId="77777777" w:rsidR="000C2318" w:rsidRDefault="000C2318" w:rsidP="007502A1">
            <w:pPr>
              <w:spacing w:line="240" w:lineRule="exact"/>
            </w:pPr>
          </w:p>
        </w:tc>
      </w:tr>
    </w:tbl>
    <w:p w14:paraId="75812E86" w14:textId="77777777" w:rsidR="00BB7756" w:rsidRPr="00BB7756" w:rsidRDefault="00BB7756" w:rsidP="00BB7756">
      <w:pPr>
        <w:suppressAutoHyphens w:val="0"/>
        <w:autoSpaceDE w:val="0"/>
        <w:autoSpaceDN w:val="0"/>
        <w:adjustRightInd w:val="0"/>
        <w:spacing w:line="20" w:lineRule="exact"/>
        <w:rPr>
          <w:b/>
          <w:bCs/>
          <w:sz w:val="2"/>
          <w:szCs w:val="24"/>
          <w:lang w:eastAsia="en-GB"/>
        </w:rPr>
      </w:pPr>
      <w:r>
        <w:rPr>
          <w:rStyle w:val="CommentReference"/>
        </w:rPr>
        <w:commentReference w:id="1"/>
      </w:r>
    </w:p>
    <w:p w14:paraId="77E2D3A5" w14:textId="77777777" w:rsidR="005A4D32" w:rsidRPr="005A4D32" w:rsidRDefault="005A4D32" w:rsidP="005A4D32">
      <w:pPr>
        <w:suppressAutoHyphens w:val="0"/>
        <w:autoSpaceDE w:val="0"/>
        <w:autoSpaceDN w:val="0"/>
        <w:adjustRightInd w:val="0"/>
        <w:spacing w:before="120" w:line="240" w:lineRule="auto"/>
        <w:rPr>
          <w:b/>
          <w:bCs/>
          <w:color w:val="000000"/>
          <w:sz w:val="24"/>
          <w:szCs w:val="24"/>
          <w:lang w:eastAsia="en-GB"/>
        </w:rPr>
      </w:pPr>
      <w:r w:rsidRPr="005A4D32">
        <w:rPr>
          <w:b/>
          <w:bCs/>
          <w:color w:val="000000"/>
          <w:sz w:val="24"/>
          <w:szCs w:val="24"/>
          <w:lang w:eastAsia="en-GB"/>
        </w:rPr>
        <w:t>Committee against Torture</w:t>
      </w:r>
    </w:p>
    <w:p w14:paraId="53DE62A4" w14:textId="77777777" w:rsidR="000C2318" w:rsidRPr="00C07884" w:rsidRDefault="000C2318" w:rsidP="000C2318">
      <w:pPr>
        <w:pStyle w:val="HChG"/>
      </w:pPr>
      <w:r>
        <w:tab/>
      </w:r>
      <w:r>
        <w:tab/>
      </w:r>
      <w:r w:rsidRPr="00C07884">
        <w:t xml:space="preserve">Communication No. </w:t>
      </w:r>
      <w:r>
        <w:t>562</w:t>
      </w:r>
      <w:r w:rsidRPr="00C07884">
        <w:t>/201</w:t>
      </w:r>
      <w:r>
        <w:t>3</w:t>
      </w:r>
    </w:p>
    <w:p w14:paraId="157B179B" w14:textId="77777777" w:rsidR="000C2318" w:rsidRPr="004F049C" w:rsidRDefault="000C2318" w:rsidP="00AC77DD">
      <w:pPr>
        <w:pStyle w:val="H1G"/>
      </w:pPr>
      <w:r w:rsidRPr="00C07884">
        <w:tab/>
      </w:r>
      <w:r w:rsidRPr="00C07884">
        <w:tab/>
      </w:r>
      <w:r w:rsidR="00565CDC" w:rsidRPr="00565CDC">
        <w:t xml:space="preserve">Decision adopted by the Committee at </w:t>
      </w:r>
      <w:r w:rsidR="00565CDC">
        <w:t>its fifty-</w:t>
      </w:r>
      <w:r w:rsidR="00AC77DD">
        <w:t>six</w:t>
      </w:r>
      <w:r w:rsidR="00565CDC">
        <w:t>th session (9</w:t>
      </w:r>
      <w:r w:rsidR="0061721B">
        <w:t> </w:t>
      </w:r>
      <w:r w:rsidR="00565CDC">
        <w:t>November</w:t>
      </w:r>
      <w:r w:rsidR="00565CDC" w:rsidRPr="00565CDC">
        <w:t>-</w:t>
      </w:r>
      <w:r w:rsidR="00565CDC">
        <w:t>9</w:t>
      </w:r>
      <w:r w:rsidR="00565CDC" w:rsidRPr="00565CDC">
        <w:t xml:space="preserve"> </w:t>
      </w:r>
      <w:r w:rsidR="00565CDC">
        <w:t>December</w:t>
      </w:r>
      <w:r w:rsidR="00565CDC" w:rsidRPr="00565CDC">
        <w:t xml:space="preserve"> 2015)</w:t>
      </w:r>
    </w:p>
    <w:tbl>
      <w:tblPr>
        <w:tblW w:w="0" w:type="auto"/>
        <w:tblInd w:w="1200" w:type="dxa"/>
        <w:tblLayout w:type="fixed"/>
        <w:tblCellMar>
          <w:left w:w="0" w:type="dxa"/>
          <w:right w:w="0" w:type="dxa"/>
        </w:tblCellMar>
        <w:tblLook w:val="01E0" w:firstRow="1" w:lastRow="1" w:firstColumn="1" w:lastColumn="1" w:noHBand="0" w:noVBand="0"/>
      </w:tblPr>
      <w:tblGrid>
        <w:gridCol w:w="3402"/>
        <w:gridCol w:w="3969"/>
      </w:tblGrid>
      <w:tr w:rsidR="000C2318" w:rsidRPr="005C629A" w14:paraId="48F4A47D" w14:textId="77777777" w:rsidTr="004F049C">
        <w:tc>
          <w:tcPr>
            <w:tcW w:w="3402" w:type="dxa"/>
          </w:tcPr>
          <w:p w14:paraId="2E45499C" w14:textId="77777777" w:rsidR="000C2318" w:rsidRPr="00E73CDC" w:rsidRDefault="000C2318" w:rsidP="005E7955">
            <w:pPr>
              <w:pStyle w:val="SingleTxtG"/>
              <w:ind w:left="0" w:right="0"/>
              <w:jc w:val="left"/>
              <w:rPr>
                <w:i/>
              </w:rPr>
            </w:pPr>
            <w:r w:rsidRPr="00E73CDC">
              <w:rPr>
                <w:i/>
              </w:rPr>
              <w:t>Submitted by:</w:t>
            </w:r>
          </w:p>
        </w:tc>
        <w:tc>
          <w:tcPr>
            <w:tcW w:w="3969" w:type="dxa"/>
          </w:tcPr>
          <w:p w14:paraId="3325B745" w14:textId="77777777" w:rsidR="000C2318" w:rsidRPr="00E73CDC" w:rsidRDefault="000C2318" w:rsidP="00AC77DD">
            <w:pPr>
              <w:pStyle w:val="SingleTxtG"/>
              <w:ind w:left="0" w:right="0"/>
              <w:jc w:val="left"/>
            </w:pPr>
            <w:r w:rsidRPr="00AC77DD">
              <w:t>J</w:t>
            </w:r>
            <w:r w:rsidR="00EC7D50" w:rsidRPr="00AC77DD">
              <w:t>.</w:t>
            </w:r>
            <w:r w:rsidRPr="00AC77DD">
              <w:t>K</w:t>
            </w:r>
            <w:r w:rsidR="00AC77DD">
              <w:t>.</w:t>
            </w:r>
          </w:p>
        </w:tc>
      </w:tr>
      <w:tr w:rsidR="000C2318" w:rsidRPr="005C629A" w14:paraId="32F6D335" w14:textId="77777777" w:rsidTr="004F049C">
        <w:tc>
          <w:tcPr>
            <w:tcW w:w="3402" w:type="dxa"/>
          </w:tcPr>
          <w:p w14:paraId="6C5721C1" w14:textId="77777777" w:rsidR="000C2318" w:rsidRPr="00E73CDC" w:rsidRDefault="000C2318" w:rsidP="005E7955">
            <w:pPr>
              <w:pStyle w:val="SingleTxtG"/>
              <w:ind w:left="0" w:right="0"/>
              <w:jc w:val="left"/>
              <w:rPr>
                <w:i/>
              </w:rPr>
            </w:pPr>
            <w:r w:rsidRPr="00E73CDC">
              <w:rPr>
                <w:i/>
              </w:rPr>
              <w:t>Alleged victim:</w:t>
            </w:r>
          </w:p>
        </w:tc>
        <w:tc>
          <w:tcPr>
            <w:tcW w:w="3969" w:type="dxa"/>
          </w:tcPr>
          <w:p w14:paraId="65B6DADA" w14:textId="77777777" w:rsidR="000C2318" w:rsidRPr="00E73CDC" w:rsidRDefault="000C2318" w:rsidP="005E7955">
            <w:pPr>
              <w:pStyle w:val="SingleTxtG"/>
              <w:ind w:left="0" w:right="0"/>
              <w:jc w:val="left"/>
            </w:pPr>
            <w:r w:rsidRPr="00E73CDC">
              <w:rPr>
                <w:snapToGrid w:val="0"/>
              </w:rPr>
              <w:t>The complainant</w:t>
            </w:r>
          </w:p>
        </w:tc>
      </w:tr>
      <w:tr w:rsidR="000C2318" w:rsidRPr="005C629A" w14:paraId="347EA304" w14:textId="77777777" w:rsidTr="004F049C">
        <w:tc>
          <w:tcPr>
            <w:tcW w:w="3402" w:type="dxa"/>
          </w:tcPr>
          <w:p w14:paraId="42117551" w14:textId="77777777" w:rsidR="000C2318" w:rsidRPr="00E73CDC" w:rsidRDefault="000C2318" w:rsidP="005E7955">
            <w:pPr>
              <w:pStyle w:val="SingleTxtG"/>
              <w:ind w:left="0" w:right="0"/>
              <w:jc w:val="left"/>
              <w:rPr>
                <w:i/>
              </w:rPr>
            </w:pPr>
            <w:r w:rsidRPr="00E73CDC">
              <w:rPr>
                <w:i/>
              </w:rPr>
              <w:t>State party:</w:t>
            </w:r>
          </w:p>
        </w:tc>
        <w:tc>
          <w:tcPr>
            <w:tcW w:w="3969" w:type="dxa"/>
          </w:tcPr>
          <w:p w14:paraId="32CE6ED5" w14:textId="77777777" w:rsidR="000C2318" w:rsidRPr="00E73CDC" w:rsidRDefault="000C2318" w:rsidP="005E7955">
            <w:pPr>
              <w:pStyle w:val="SingleTxtG"/>
              <w:ind w:left="0" w:right="0"/>
              <w:jc w:val="left"/>
            </w:pPr>
            <w:r w:rsidRPr="00E73CDC">
              <w:t>Canada</w:t>
            </w:r>
          </w:p>
        </w:tc>
      </w:tr>
      <w:tr w:rsidR="000C2318" w:rsidRPr="00BA1189" w14:paraId="24C9725A" w14:textId="77777777" w:rsidTr="004F049C">
        <w:tc>
          <w:tcPr>
            <w:tcW w:w="3402" w:type="dxa"/>
          </w:tcPr>
          <w:p w14:paraId="7940AEC9" w14:textId="77777777" w:rsidR="000C2318" w:rsidRPr="00E73CDC" w:rsidRDefault="000C2318" w:rsidP="005E7955">
            <w:pPr>
              <w:pStyle w:val="SingleTxtG"/>
              <w:ind w:left="0" w:right="0"/>
              <w:jc w:val="left"/>
              <w:rPr>
                <w:i/>
              </w:rPr>
            </w:pPr>
            <w:r w:rsidRPr="00E73CDC">
              <w:rPr>
                <w:i/>
              </w:rPr>
              <w:t>Date of complaint:</w:t>
            </w:r>
          </w:p>
        </w:tc>
        <w:tc>
          <w:tcPr>
            <w:tcW w:w="3969" w:type="dxa"/>
          </w:tcPr>
          <w:p w14:paraId="417E4929" w14:textId="77777777" w:rsidR="000C2318" w:rsidRPr="00E73CDC" w:rsidRDefault="000C2318" w:rsidP="005E7955">
            <w:pPr>
              <w:pStyle w:val="SingleTxtG"/>
              <w:ind w:left="0" w:right="0"/>
              <w:jc w:val="left"/>
            </w:pPr>
            <w:r w:rsidRPr="00E73CDC">
              <w:t>29 September 2013 (initial submission)</w:t>
            </w:r>
          </w:p>
        </w:tc>
      </w:tr>
      <w:tr w:rsidR="000C2318" w:rsidRPr="005C629A" w14:paraId="63D2FF3A" w14:textId="77777777" w:rsidTr="004F049C">
        <w:tc>
          <w:tcPr>
            <w:tcW w:w="3402" w:type="dxa"/>
          </w:tcPr>
          <w:p w14:paraId="5F34B2F9" w14:textId="77777777" w:rsidR="000C2318" w:rsidRPr="00E73CDC" w:rsidRDefault="000C2318" w:rsidP="005E7955">
            <w:pPr>
              <w:pStyle w:val="SingleTxtG"/>
              <w:ind w:left="0" w:right="0"/>
              <w:jc w:val="left"/>
              <w:rPr>
                <w:i/>
              </w:rPr>
            </w:pPr>
            <w:r w:rsidRPr="00E73CDC">
              <w:rPr>
                <w:i/>
              </w:rPr>
              <w:t>Date of present decision:</w:t>
            </w:r>
          </w:p>
        </w:tc>
        <w:tc>
          <w:tcPr>
            <w:tcW w:w="3969" w:type="dxa"/>
            <w:vAlign w:val="bottom"/>
          </w:tcPr>
          <w:p w14:paraId="03C2D0DA" w14:textId="77777777" w:rsidR="000C2318" w:rsidRPr="00E73CDC" w:rsidRDefault="00F53648" w:rsidP="00F53648">
            <w:pPr>
              <w:pStyle w:val="SingleTxtG"/>
              <w:ind w:left="0" w:right="0"/>
              <w:jc w:val="left"/>
            </w:pPr>
            <w:r>
              <w:rPr>
                <w:snapToGrid w:val="0"/>
              </w:rPr>
              <w:t>23 November</w:t>
            </w:r>
            <w:r w:rsidR="00BA1189" w:rsidRPr="00E73CDC">
              <w:rPr>
                <w:snapToGrid w:val="0"/>
              </w:rPr>
              <w:t xml:space="preserve"> </w:t>
            </w:r>
            <w:r w:rsidR="000C2318" w:rsidRPr="00E73CDC">
              <w:rPr>
                <w:snapToGrid w:val="0"/>
              </w:rPr>
              <w:t>2015</w:t>
            </w:r>
          </w:p>
        </w:tc>
      </w:tr>
      <w:tr w:rsidR="000C2318" w:rsidRPr="005C629A" w14:paraId="346781C6" w14:textId="77777777" w:rsidTr="004F049C">
        <w:tc>
          <w:tcPr>
            <w:tcW w:w="3402" w:type="dxa"/>
          </w:tcPr>
          <w:p w14:paraId="30965194" w14:textId="77777777" w:rsidR="000C2318" w:rsidRPr="00E73CDC" w:rsidRDefault="000C2318" w:rsidP="005E7955">
            <w:pPr>
              <w:pStyle w:val="SingleTxtG"/>
              <w:ind w:left="0" w:right="0"/>
              <w:jc w:val="left"/>
              <w:rPr>
                <w:i/>
              </w:rPr>
            </w:pPr>
            <w:r w:rsidRPr="00E73CDC">
              <w:rPr>
                <w:i/>
                <w:iCs/>
              </w:rPr>
              <w:t>Subject matter:</w:t>
            </w:r>
          </w:p>
        </w:tc>
        <w:tc>
          <w:tcPr>
            <w:tcW w:w="3969" w:type="dxa"/>
          </w:tcPr>
          <w:p w14:paraId="11C457C3" w14:textId="77777777" w:rsidR="000C2318" w:rsidRPr="00E73CDC" w:rsidRDefault="000C2318" w:rsidP="005E7955">
            <w:pPr>
              <w:pStyle w:val="SingleTxtG"/>
              <w:ind w:left="0" w:right="0"/>
              <w:jc w:val="left"/>
            </w:pPr>
            <w:r w:rsidRPr="00E73CDC">
              <w:t>Extradition to Uganda</w:t>
            </w:r>
          </w:p>
        </w:tc>
      </w:tr>
      <w:tr w:rsidR="000C2318" w:rsidRPr="005C629A" w14:paraId="1D9DF92F" w14:textId="77777777" w:rsidTr="004F049C">
        <w:tc>
          <w:tcPr>
            <w:tcW w:w="3402" w:type="dxa"/>
          </w:tcPr>
          <w:p w14:paraId="01EA49AC" w14:textId="77777777" w:rsidR="000C2318" w:rsidRPr="00E73CDC" w:rsidRDefault="000C2318" w:rsidP="005E7955">
            <w:pPr>
              <w:pStyle w:val="SingleTxtG"/>
              <w:ind w:left="0" w:right="0"/>
              <w:jc w:val="left"/>
              <w:rPr>
                <w:i/>
                <w:iCs/>
              </w:rPr>
            </w:pPr>
            <w:r w:rsidRPr="00E73CDC">
              <w:rPr>
                <w:i/>
                <w:iCs/>
              </w:rPr>
              <w:t>Substantive issue:</w:t>
            </w:r>
          </w:p>
        </w:tc>
        <w:tc>
          <w:tcPr>
            <w:tcW w:w="3969" w:type="dxa"/>
          </w:tcPr>
          <w:p w14:paraId="1418FC91" w14:textId="77777777" w:rsidR="000C2318" w:rsidRPr="00E73CDC" w:rsidRDefault="000C2318" w:rsidP="005E7955">
            <w:pPr>
              <w:pStyle w:val="SingleTxtG"/>
              <w:ind w:left="0" w:right="0"/>
              <w:jc w:val="left"/>
            </w:pPr>
            <w:r w:rsidRPr="00E73CDC">
              <w:t>Risk of torture upon return to country of origin</w:t>
            </w:r>
          </w:p>
        </w:tc>
      </w:tr>
      <w:tr w:rsidR="000C2318" w:rsidRPr="005C629A" w14:paraId="6B678028" w14:textId="77777777" w:rsidTr="004F049C">
        <w:tc>
          <w:tcPr>
            <w:tcW w:w="3402" w:type="dxa"/>
          </w:tcPr>
          <w:p w14:paraId="506D3486" w14:textId="77777777" w:rsidR="000C2318" w:rsidRPr="00E73CDC" w:rsidRDefault="000C2318" w:rsidP="005E7955">
            <w:pPr>
              <w:pStyle w:val="SingleTxtG"/>
              <w:ind w:left="0" w:right="0"/>
              <w:jc w:val="left"/>
              <w:rPr>
                <w:i/>
                <w:iCs/>
              </w:rPr>
            </w:pPr>
            <w:r w:rsidRPr="00E73CDC">
              <w:rPr>
                <w:i/>
                <w:iCs/>
              </w:rPr>
              <w:t>Procedural issue</w:t>
            </w:r>
            <w:r w:rsidRPr="00E73CDC">
              <w:rPr>
                <w:i/>
              </w:rPr>
              <w:t>:</w:t>
            </w:r>
          </w:p>
        </w:tc>
        <w:tc>
          <w:tcPr>
            <w:tcW w:w="3969" w:type="dxa"/>
          </w:tcPr>
          <w:p w14:paraId="0884D838" w14:textId="77777777" w:rsidR="000C2318" w:rsidRPr="00E73CDC" w:rsidRDefault="000C2318" w:rsidP="005E7955">
            <w:pPr>
              <w:pStyle w:val="SingleTxtG"/>
              <w:ind w:left="0" w:right="0"/>
              <w:jc w:val="left"/>
            </w:pPr>
            <w:r w:rsidRPr="00E73CDC">
              <w:t xml:space="preserve">Exhaustion of domestic remedies; </w:t>
            </w:r>
            <w:r w:rsidR="00C252F5">
              <w:br/>
            </w:r>
            <w:r w:rsidRPr="00E73CDC">
              <w:t>lack of substantiation</w:t>
            </w:r>
          </w:p>
        </w:tc>
      </w:tr>
      <w:tr w:rsidR="000C2318" w:rsidRPr="005C629A" w14:paraId="085A8046" w14:textId="77777777" w:rsidTr="004F049C">
        <w:tc>
          <w:tcPr>
            <w:tcW w:w="3402" w:type="dxa"/>
          </w:tcPr>
          <w:p w14:paraId="7CAC77FD" w14:textId="77777777" w:rsidR="000C2318" w:rsidRPr="00E73CDC" w:rsidRDefault="000C2318" w:rsidP="005E7955">
            <w:pPr>
              <w:pStyle w:val="SingleTxtG"/>
              <w:spacing w:after="240"/>
              <w:ind w:left="0" w:right="0"/>
              <w:jc w:val="left"/>
              <w:rPr>
                <w:i/>
                <w:iCs/>
              </w:rPr>
            </w:pPr>
            <w:r w:rsidRPr="00E73CDC">
              <w:rPr>
                <w:i/>
                <w:iCs/>
              </w:rPr>
              <w:t>Article of the Convention</w:t>
            </w:r>
            <w:r w:rsidRPr="00E73CDC">
              <w:rPr>
                <w:i/>
              </w:rPr>
              <w:t>:</w:t>
            </w:r>
          </w:p>
        </w:tc>
        <w:tc>
          <w:tcPr>
            <w:tcW w:w="3969" w:type="dxa"/>
          </w:tcPr>
          <w:p w14:paraId="7F840FAE" w14:textId="77777777" w:rsidR="000C2318" w:rsidRPr="00E73CDC" w:rsidRDefault="000C2318">
            <w:pPr>
              <w:pStyle w:val="SingleTxtG"/>
              <w:spacing w:after="240"/>
              <w:ind w:left="0" w:right="0"/>
              <w:jc w:val="left"/>
              <w:rPr>
                <w:sz w:val="22"/>
                <w:szCs w:val="22"/>
              </w:rPr>
            </w:pPr>
            <w:r w:rsidRPr="00E73CDC">
              <w:t>3</w:t>
            </w:r>
          </w:p>
        </w:tc>
      </w:tr>
    </w:tbl>
    <w:p w14:paraId="12F7ACDD" w14:textId="77777777" w:rsidR="00A77497" w:rsidRDefault="00A77497">
      <w:pPr>
        <w:suppressAutoHyphens w:val="0"/>
        <w:spacing w:line="240" w:lineRule="auto"/>
      </w:pPr>
      <w:r>
        <w:br w:type="page"/>
      </w:r>
    </w:p>
    <w:p w14:paraId="42AF4CF0" w14:textId="77777777" w:rsidR="000C2318" w:rsidRPr="00237D10" w:rsidRDefault="000C2318" w:rsidP="000C2318">
      <w:pPr>
        <w:pStyle w:val="HChG"/>
        <w:spacing w:before="0" w:after="0"/>
        <w:ind w:left="142" w:hanging="142"/>
      </w:pPr>
      <w:r w:rsidRPr="00237D10">
        <w:lastRenderedPageBreak/>
        <w:t>Annex</w:t>
      </w:r>
    </w:p>
    <w:p w14:paraId="5A2764EF" w14:textId="77777777" w:rsidR="000C2318" w:rsidRPr="00A77497" w:rsidRDefault="00A77497" w:rsidP="004F049C">
      <w:pPr>
        <w:pStyle w:val="HChG"/>
      </w:pPr>
      <w:r>
        <w:tab/>
      </w:r>
      <w:r>
        <w:tab/>
      </w:r>
      <w:r w:rsidR="000C2318" w:rsidRPr="00237D10">
        <w:t>Decision of the Committee against Torture under article 22 of the Convention against Torture and Other Cruel, Inhuman or Degrading Treatment or Punishment (fifty</w:t>
      </w:r>
      <w:r w:rsidR="007502A1">
        <w:t>-</w:t>
      </w:r>
      <w:r w:rsidR="005A4D32">
        <w:t>sixth</w:t>
      </w:r>
      <w:r w:rsidR="005A4D32" w:rsidRPr="00237D10">
        <w:t xml:space="preserve"> </w:t>
      </w:r>
      <w:r w:rsidR="000C2318" w:rsidRPr="00237D10">
        <w:t>session)</w:t>
      </w:r>
    </w:p>
    <w:p w14:paraId="3458052F" w14:textId="77777777" w:rsidR="000C2318" w:rsidRPr="00237D10" w:rsidRDefault="000C2318" w:rsidP="000C2318">
      <w:pPr>
        <w:pStyle w:val="SingleTxtG"/>
      </w:pPr>
      <w:r w:rsidRPr="00237D10">
        <w:t>concerning</w:t>
      </w:r>
    </w:p>
    <w:p w14:paraId="2FCBA62E" w14:textId="77777777" w:rsidR="000C2318" w:rsidRPr="000C2318" w:rsidRDefault="000C2318" w:rsidP="004F049C">
      <w:pPr>
        <w:pStyle w:val="H1G"/>
      </w:pPr>
      <w:r>
        <w:tab/>
      </w:r>
      <w:r>
        <w:tab/>
      </w:r>
      <w:r w:rsidRPr="00237D10">
        <w:t xml:space="preserve">Communication No. </w:t>
      </w:r>
      <w:r>
        <w:t>562</w:t>
      </w:r>
      <w:r w:rsidRPr="00237D10">
        <w:t>/201</w:t>
      </w:r>
      <w:r>
        <w:t>3</w:t>
      </w:r>
      <w:r w:rsidR="00F53648" w:rsidRPr="004F049C">
        <w:rPr>
          <w:rStyle w:val="FootnoteReference"/>
          <w:bCs/>
          <w:sz w:val="20"/>
          <w:vertAlign w:val="baseline"/>
        </w:rPr>
        <w:footnoteReference w:customMarkFollows="1" w:id="2"/>
        <w:t>*</w:t>
      </w:r>
      <w:r w:rsidR="00F53648" w:rsidRPr="00F53648">
        <w:t xml:space="preserve"> </w:t>
      </w:r>
    </w:p>
    <w:tbl>
      <w:tblPr>
        <w:tblW w:w="0" w:type="auto"/>
        <w:tblInd w:w="1100" w:type="dxa"/>
        <w:tblLayout w:type="fixed"/>
        <w:tblCellMar>
          <w:left w:w="0" w:type="dxa"/>
          <w:right w:w="0" w:type="dxa"/>
        </w:tblCellMar>
        <w:tblLook w:val="01E0" w:firstRow="1" w:lastRow="1" w:firstColumn="1" w:lastColumn="1" w:noHBand="0" w:noVBand="0"/>
      </w:tblPr>
      <w:tblGrid>
        <w:gridCol w:w="3402"/>
        <w:gridCol w:w="3969"/>
      </w:tblGrid>
      <w:tr w:rsidR="000C2318" w:rsidRPr="005C629A" w14:paraId="1E8ACE98" w14:textId="77777777" w:rsidTr="004F049C">
        <w:tc>
          <w:tcPr>
            <w:tcW w:w="3402" w:type="dxa"/>
          </w:tcPr>
          <w:p w14:paraId="32B2FED7" w14:textId="77777777" w:rsidR="000C2318" w:rsidRPr="00884C66" w:rsidRDefault="000C2318" w:rsidP="005E7955">
            <w:pPr>
              <w:spacing w:after="120"/>
              <w:rPr>
                <w:i/>
              </w:rPr>
            </w:pPr>
            <w:r w:rsidRPr="00884C66">
              <w:rPr>
                <w:i/>
              </w:rPr>
              <w:t>Submitted by:</w:t>
            </w:r>
          </w:p>
        </w:tc>
        <w:tc>
          <w:tcPr>
            <w:tcW w:w="3969" w:type="dxa"/>
          </w:tcPr>
          <w:p w14:paraId="17E74690" w14:textId="77777777" w:rsidR="000C2318" w:rsidRPr="000C2318" w:rsidRDefault="000C2318" w:rsidP="00AC77DD">
            <w:pPr>
              <w:spacing w:after="120"/>
            </w:pPr>
            <w:r w:rsidRPr="000C2318">
              <w:t>J</w:t>
            </w:r>
            <w:r w:rsidR="00F8495F">
              <w:t>.</w:t>
            </w:r>
            <w:r w:rsidRPr="000C2318">
              <w:t>K</w:t>
            </w:r>
            <w:r w:rsidR="00AC77DD">
              <w:t>.</w:t>
            </w:r>
          </w:p>
        </w:tc>
      </w:tr>
      <w:tr w:rsidR="000C2318" w:rsidRPr="005C629A" w14:paraId="5E124BA9" w14:textId="77777777" w:rsidTr="004F049C">
        <w:tc>
          <w:tcPr>
            <w:tcW w:w="3402" w:type="dxa"/>
          </w:tcPr>
          <w:p w14:paraId="4E244D3F" w14:textId="77777777" w:rsidR="000C2318" w:rsidRPr="00884C66" w:rsidRDefault="000C2318" w:rsidP="005E7955">
            <w:pPr>
              <w:spacing w:after="120"/>
              <w:rPr>
                <w:i/>
              </w:rPr>
            </w:pPr>
            <w:r w:rsidRPr="00884C66">
              <w:rPr>
                <w:i/>
              </w:rPr>
              <w:t>Alleged victim:</w:t>
            </w:r>
          </w:p>
        </w:tc>
        <w:tc>
          <w:tcPr>
            <w:tcW w:w="3969" w:type="dxa"/>
          </w:tcPr>
          <w:p w14:paraId="61B45448" w14:textId="77777777" w:rsidR="000C2318" w:rsidRPr="000C2318" w:rsidRDefault="000C2318" w:rsidP="005E7955">
            <w:pPr>
              <w:spacing w:after="120"/>
            </w:pPr>
            <w:r w:rsidRPr="000C2318">
              <w:rPr>
                <w:snapToGrid w:val="0"/>
              </w:rPr>
              <w:t>The complainant</w:t>
            </w:r>
          </w:p>
        </w:tc>
      </w:tr>
      <w:tr w:rsidR="000C2318" w:rsidRPr="005C629A" w14:paraId="68D95C2C" w14:textId="77777777" w:rsidTr="004F049C">
        <w:tc>
          <w:tcPr>
            <w:tcW w:w="3402" w:type="dxa"/>
          </w:tcPr>
          <w:p w14:paraId="7EED75BF" w14:textId="77777777" w:rsidR="000C2318" w:rsidRPr="00884C66" w:rsidRDefault="000C2318" w:rsidP="005E7955">
            <w:pPr>
              <w:spacing w:after="120"/>
              <w:rPr>
                <w:i/>
              </w:rPr>
            </w:pPr>
            <w:r w:rsidRPr="00884C66">
              <w:rPr>
                <w:i/>
              </w:rPr>
              <w:t>State party:</w:t>
            </w:r>
          </w:p>
        </w:tc>
        <w:tc>
          <w:tcPr>
            <w:tcW w:w="3969" w:type="dxa"/>
          </w:tcPr>
          <w:p w14:paraId="76CB1B0B" w14:textId="77777777" w:rsidR="000C2318" w:rsidRPr="000C2318" w:rsidRDefault="000C2318" w:rsidP="005E7955">
            <w:pPr>
              <w:spacing w:after="120"/>
            </w:pPr>
            <w:r w:rsidRPr="000C2318">
              <w:rPr>
                <w:snapToGrid w:val="0"/>
              </w:rPr>
              <w:t>Canada</w:t>
            </w:r>
          </w:p>
        </w:tc>
      </w:tr>
      <w:tr w:rsidR="000C2318" w:rsidRPr="005C629A" w14:paraId="63BB23C3" w14:textId="77777777" w:rsidTr="004F049C">
        <w:tc>
          <w:tcPr>
            <w:tcW w:w="3402" w:type="dxa"/>
          </w:tcPr>
          <w:p w14:paraId="75B1E277" w14:textId="77777777" w:rsidR="000C2318" w:rsidRPr="00884C66" w:rsidRDefault="000C2318" w:rsidP="005E7955">
            <w:pPr>
              <w:spacing w:after="120"/>
              <w:rPr>
                <w:i/>
              </w:rPr>
            </w:pPr>
            <w:r w:rsidRPr="00884C66">
              <w:rPr>
                <w:i/>
              </w:rPr>
              <w:t>Date of complaint:</w:t>
            </w:r>
          </w:p>
        </w:tc>
        <w:tc>
          <w:tcPr>
            <w:tcW w:w="3969" w:type="dxa"/>
          </w:tcPr>
          <w:p w14:paraId="4449F14E" w14:textId="77777777" w:rsidR="000C2318" w:rsidRPr="000C2318" w:rsidRDefault="000C2318" w:rsidP="005E7955">
            <w:pPr>
              <w:spacing w:after="120"/>
            </w:pPr>
            <w:r w:rsidRPr="000C2318">
              <w:t>29 September 2013 (initial submission)</w:t>
            </w:r>
          </w:p>
        </w:tc>
      </w:tr>
    </w:tbl>
    <w:p w14:paraId="1D57D54C" w14:textId="77777777" w:rsidR="000C2318" w:rsidRPr="000C2318" w:rsidRDefault="000C2318" w:rsidP="000C2318">
      <w:pPr>
        <w:spacing w:after="120"/>
        <w:ind w:left="1134" w:right="1134"/>
        <w:jc w:val="both"/>
        <w:rPr>
          <w:rStyle w:val="SingleTxtGChar"/>
        </w:rPr>
      </w:pPr>
      <w:r w:rsidRPr="005C629A">
        <w:rPr>
          <w:snapToGrid w:val="0"/>
          <w:sz w:val="22"/>
          <w:szCs w:val="22"/>
        </w:rPr>
        <w:tab/>
      </w:r>
      <w:r w:rsidRPr="00884C66">
        <w:rPr>
          <w:i/>
          <w:iCs/>
          <w:snapToGrid w:val="0"/>
        </w:rPr>
        <w:t>The Committee against Torture</w:t>
      </w:r>
      <w:r w:rsidRPr="005C629A">
        <w:rPr>
          <w:snapToGrid w:val="0"/>
          <w:sz w:val="22"/>
          <w:szCs w:val="22"/>
        </w:rPr>
        <w:t xml:space="preserve">, </w:t>
      </w:r>
      <w:r w:rsidRPr="000C2318">
        <w:rPr>
          <w:rStyle w:val="SingleTxtGChar"/>
        </w:rPr>
        <w:t>established under article 17 of the Convention against Torture and Other Cruel, Inhuman or Degrading Treatment or Punishment,</w:t>
      </w:r>
    </w:p>
    <w:p w14:paraId="4D9E75D6" w14:textId="77777777" w:rsidR="000C2318" w:rsidRPr="005C629A" w:rsidRDefault="000C2318" w:rsidP="000C2318">
      <w:pPr>
        <w:spacing w:after="120"/>
        <w:ind w:left="1134" w:right="1134"/>
        <w:jc w:val="both"/>
        <w:rPr>
          <w:snapToGrid w:val="0"/>
          <w:sz w:val="22"/>
          <w:szCs w:val="22"/>
        </w:rPr>
      </w:pPr>
      <w:r w:rsidRPr="005C629A">
        <w:rPr>
          <w:snapToGrid w:val="0"/>
          <w:sz w:val="22"/>
          <w:szCs w:val="22"/>
        </w:rPr>
        <w:tab/>
      </w:r>
      <w:r w:rsidRPr="00884C66">
        <w:rPr>
          <w:i/>
          <w:iCs/>
          <w:snapToGrid w:val="0"/>
        </w:rPr>
        <w:t>Meeting</w:t>
      </w:r>
      <w:r w:rsidRPr="00884C66">
        <w:rPr>
          <w:snapToGrid w:val="0"/>
        </w:rPr>
        <w:t xml:space="preserve"> </w:t>
      </w:r>
      <w:r w:rsidRPr="00852B15">
        <w:rPr>
          <w:snapToGrid w:val="0"/>
        </w:rPr>
        <w:t xml:space="preserve">on </w:t>
      </w:r>
      <w:r w:rsidR="00F53648" w:rsidRPr="004F049C">
        <w:rPr>
          <w:snapToGrid w:val="0"/>
        </w:rPr>
        <w:t xml:space="preserve">23 November </w:t>
      </w:r>
      <w:r w:rsidRPr="00852B15">
        <w:rPr>
          <w:rStyle w:val="SingleTxtGChar"/>
        </w:rPr>
        <w:t>2015,</w:t>
      </w:r>
    </w:p>
    <w:p w14:paraId="531B798B" w14:textId="77777777" w:rsidR="000C2318" w:rsidRPr="000C2318" w:rsidRDefault="000C2318" w:rsidP="00AC77DD">
      <w:pPr>
        <w:spacing w:after="120"/>
        <w:ind w:left="1134" w:right="1134"/>
        <w:jc w:val="both"/>
        <w:rPr>
          <w:rStyle w:val="SingleTxtGChar"/>
        </w:rPr>
      </w:pPr>
      <w:r w:rsidRPr="005C629A">
        <w:rPr>
          <w:snapToGrid w:val="0"/>
          <w:sz w:val="22"/>
          <w:szCs w:val="22"/>
        </w:rPr>
        <w:tab/>
      </w:r>
      <w:r w:rsidRPr="00884C66">
        <w:rPr>
          <w:i/>
          <w:iCs/>
          <w:snapToGrid w:val="0"/>
        </w:rPr>
        <w:t>Having concluded</w:t>
      </w:r>
      <w:r w:rsidRPr="005C629A">
        <w:rPr>
          <w:snapToGrid w:val="0"/>
          <w:sz w:val="22"/>
          <w:szCs w:val="22"/>
        </w:rPr>
        <w:t xml:space="preserve"> </w:t>
      </w:r>
      <w:r w:rsidRPr="000C2318">
        <w:rPr>
          <w:rStyle w:val="SingleTxtGChar"/>
        </w:rPr>
        <w:t xml:space="preserve">its consideration of complaint No. 562/2013, submitted to </w:t>
      </w:r>
      <w:r w:rsidR="00AC77DD">
        <w:rPr>
          <w:rStyle w:val="SingleTxtGChar"/>
        </w:rPr>
        <w:t>i</w:t>
      </w:r>
      <w:r w:rsidRPr="000C2318">
        <w:rPr>
          <w:rStyle w:val="SingleTxtGChar"/>
        </w:rPr>
        <w:t>t by J</w:t>
      </w:r>
      <w:r w:rsidR="00F8495F">
        <w:rPr>
          <w:rStyle w:val="SingleTxtGChar"/>
        </w:rPr>
        <w:t>.</w:t>
      </w:r>
      <w:r w:rsidRPr="000C2318">
        <w:rPr>
          <w:rStyle w:val="SingleTxtGChar"/>
        </w:rPr>
        <w:t>K</w:t>
      </w:r>
      <w:r w:rsidR="00AC77DD">
        <w:rPr>
          <w:rStyle w:val="SingleTxtGChar"/>
        </w:rPr>
        <w:t>.</w:t>
      </w:r>
      <w:r w:rsidRPr="000C2318">
        <w:rPr>
          <w:rStyle w:val="SingleTxtGChar"/>
        </w:rPr>
        <w:t xml:space="preserve"> under article 22 of the Convention,</w:t>
      </w:r>
    </w:p>
    <w:p w14:paraId="6012AB6D" w14:textId="77777777" w:rsidR="000C2318" w:rsidRPr="000C2318" w:rsidRDefault="000C2318" w:rsidP="00AC77DD">
      <w:pPr>
        <w:spacing w:after="120"/>
        <w:ind w:left="1134" w:right="1134" w:firstLine="567"/>
        <w:jc w:val="both"/>
        <w:rPr>
          <w:rStyle w:val="SingleTxtGChar"/>
        </w:rPr>
      </w:pPr>
      <w:r w:rsidRPr="004F049C">
        <w:rPr>
          <w:i/>
          <w:iCs/>
          <w:snapToGrid w:val="0"/>
        </w:rPr>
        <w:t>Having taken into account</w:t>
      </w:r>
      <w:r w:rsidRPr="004F049C">
        <w:rPr>
          <w:snapToGrid w:val="0"/>
        </w:rPr>
        <w:t xml:space="preserve"> </w:t>
      </w:r>
      <w:r w:rsidRPr="00852B15">
        <w:rPr>
          <w:rStyle w:val="SingleTxtGChar"/>
        </w:rPr>
        <w:t>all</w:t>
      </w:r>
      <w:r w:rsidRPr="000C2318">
        <w:rPr>
          <w:rStyle w:val="SingleTxtGChar"/>
        </w:rPr>
        <w:t xml:space="preserve"> information made available to it by the complainant and the State party,</w:t>
      </w:r>
    </w:p>
    <w:p w14:paraId="47475DF2" w14:textId="77777777" w:rsidR="000C2318" w:rsidRPr="004F049C" w:rsidRDefault="000C2318" w:rsidP="000C2318">
      <w:pPr>
        <w:spacing w:after="120"/>
        <w:ind w:left="1134" w:right="1134"/>
        <w:jc w:val="both"/>
        <w:rPr>
          <w:iCs/>
          <w:snapToGrid w:val="0"/>
        </w:rPr>
      </w:pPr>
      <w:r w:rsidRPr="005C629A">
        <w:rPr>
          <w:snapToGrid w:val="0"/>
          <w:sz w:val="22"/>
          <w:szCs w:val="22"/>
        </w:rPr>
        <w:tab/>
      </w:r>
      <w:r w:rsidRPr="00884C66">
        <w:rPr>
          <w:i/>
          <w:iCs/>
          <w:snapToGrid w:val="0"/>
        </w:rPr>
        <w:t xml:space="preserve">Adopts </w:t>
      </w:r>
      <w:r w:rsidRPr="004F049C">
        <w:rPr>
          <w:iCs/>
          <w:snapToGrid w:val="0"/>
        </w:rPr>
        <w:t>the following:</w:t>
      </w:r>
    </w:p>
    <w:p w14:paraId="17EBF597" w14:textId="77777777" w:rsidR="000C2318" w:rsidRPr="003E3334" w:rsidRDefault="000C2318" w:rsidP="00AC77DD">
      <w:pPr>
        <w:pStyle w:val="H1G"/>
      </w:pPr>
      <w:r w:rsidRPr="005C629A">
        <w:rPr>
          <w:snapToGrid w:val="0"/>
          <w:sz w:val="22"/>
          <w:szCs w:val="22"/>
        </w:rPr>
        <w:tab/>
      </w:r>
      <w:r w:rsidRPr="005C629A">
        <w:rPr>
          <w:snapToGrid w:val="0"/>
          <w:sz w:val="22"/>
          <w:szCs w:val="22"/>
        </w:rPr>
        <w:tab/>
      </w:r>
      <w:r w:rsidRPr="000C2318">
        <w:t xml:space="preserve">Decision under article 22 </w:t>
      </w:r>
      <w:r w:rsidR="00AC77DD">
        <w:t>(</w:t>
      </w:r>
      <w:r w:rsidRPr="000C2318">
        <w:t>7</w:t>
      </w:r>
      <w:r w:rsidR="00AC77DD">
        <w:t>)</w:t>
      </w:r>
      <w:r w:rsidRPr="000C2318">
        <w:t xml:space="preserve"> of the Convention</w:t>
      </w:r>
    </w:p>
    <w:p w14:paraId="5239722E" w14:textId="77777777" w:rsidR="000C2318" w:rsidRPr="000C2318" w:rsidRDefault="000C2318" w:rsidP="00D05A61">
      <w:pPr>
        <w:pStyle w:val="SingleTxtG"/>
        <w:rPr>
          <w:snapToGrid w:val="0"/>
        </w:rPr>
      </w:pPr>
      <w:r w:rsidRPr="000C2318">
        <w:rPr>
          <w:snapToGrid w:val="0"/>
        </w:rPr>
        <w:t>1.1</w:t>
      </w:r>
      <w:r w:rsidRPr="000C2318">
        <w:rPr>
          <w:snapToGrid w:val="0"/>
        </w:rPr>
        <w:tab/>
        <w:t>The complainant is J</w:t>
      </w:r>
      <w:r w:rsidR="00F8495F">
        <w:rPr>
          <w:snapToGrid w:val="0"/>
        </w:rPr>
        <w:t>.</w:t>
      </w:r>
      <w:r w:rsidRPr="000C2318">
        <w:rPr>
          <w:snapToGrid w:val="0"/>
        </w:rPr>
        <w:t>K</w:t>
      </w:r>
      <w:r w:rsidR="00D05A61">
        <w:rPr>
          <w:snapToGrid w:val="0"/>
        </w:rPr>
        <w:t>.</w:t>
      </w:r>
      <w:r w:rsidRPr="000C2318">
        <w:rPr>
          <w:snapToGrid w:val="0"/>
        </w:rPr>
        <w:t xml:space="preserve">, a  national </w:t>
      </w:r>
      <w:r w:rsidR="00D05A61">
        <w:rPr>
          <w:snapToGrid w:val="0"/>
        </w:rPr>
        <w:t xml:space="preserve">of </w:t>
      </w:r>
      <w:r w:rsidR="00D05A61" w:rsidRPr="000C2318">
        <w:rPr>
          <w:snapToGrid w:val="0"/>
        </w:rPr>
        <w:t>Uganda</w:t>
      </w:r>
      <w:r w:rsidR="00D05A61">
        <w:rPr>
          <w:snapToGrid w:val="0"/>
        </w:rPr>
        <w:t xml:space="preserve"> </w:t>
      </w:r>
      <w:r w:rsidRPr="000C2318">
        <w:rPr>
          <w:snapToGrid w:val="0"/>
        </w:rPr>
        <w:t xml:space="preserve">born on </w:t>
      </w:r>
      <w:r w:rsidRPr="000C2318">
        <w:t>1 August 1979 and</w:t>
      </w:r>
      <w:r w:rsidRPr="000C2318">
        <w:rPr>
          <w:snapToGrid w:val="0"/>
        </w:rPr>
        <w:t xml:space="preserve"> residing in Canada. He is not represented by counsel. He claims that his extradition to </w:t>
      </w:r>
      <w:r w:rsidR="003A2016">
        <w:rPr>
          <w:snapToGrid w:val="0"/>
        </w:rPr>
        <w:t xml:space="preserve">Uganda </w:t>
      </w:r>
      <w:r w:rsidRPr="000C2318">
        <w:rPr>
          <w:snapToGrid w:val="0"/>
        </w:rPr>
        <w:t>would constitute a violation by</w:t>
      </w:r>
      <w:r w:rsidR="0021210B">
        <w:rPr>
          <w:snapToGrid w:val="0"/>
        </w:rPr>
        <w:t xml:space="preserve"> Canada</w:t>
      </w:r>
      <w:r w:rsidRPr="000C2318">
        <w:rPr>
          <w:snapToGrid w:val="0"/>
        </w:rPr>
        <w:t xml:space="preserve"> of article 3 of the Convention. The Convention entered into force for Canada on 24 June 1987.</w:t>
      </w:r>
    </w:p>
    <w:p w14:paraId="00DE1DC4" w14:textId="77777777" w:rsidR="000C2318" w:rsidRPr="000C2318" w:rsidRDefault="000C2318" w:rsidP="00004ABA">
      <w:pPr>
        <w:pStyle w:val="SingleTxtG"/>
        <w:rPr>
          <w:snapToGrid w:val="0"/>
          <w:lang w:val="en-US"/>
        </w:rPr>
      </w:pPr>
      <w:r w:rsidRPr="000C2318">
        <w:rPr>
          <w:snapToGrid w:val="0"/>
        </w:rPr>
        <w:t>1.2</w:t>
      </w:r>
      <w:r w:rsidRPr="000C2318">
        <w:rPr>
          <w:snapToGrid w:val="0"/>
        </w:rPr>
        <w:tab/>
      </w:r>
      <w:r w:rsidR="00D05A61">
        <w:rPr>
          <w:snapToGrid w:val="0"/>
        </w:rPr>
        <w:t>O</w:t>
      </w:r>
      <w:r w:rsidR="00D05A61" w:rsidRPr="000C2318">
        <w:rPr>
          <w:snapToGrid w:val="0"/>
        </w:rPr>
        <w:t>n 2 October 2013, the Committee</w:t>
      </w:r>
      <w:r w:rsidR="00D05A61">
        <w:rPr>
          <w:snapToGrid w:val="0"/>
        </w:rPr>
        <w:t>,</w:t>
      </w:r>
      <w:r w:rsidR="00D05A61" w:rsidRPr="000C2318">
        <w:rPr>
          <w:snapToGrid w:val="0"/>
        </w:rPr>
        <w:t xml:space="preserve"> acting </w:t>
      </w:r>
      <w:r w:rsidR="00D05A61">
        <w:rPr>
          <w:snapToGrid w:val="0"/>
        </w:rPr>
        <w:t>through</w:t>
      </w:r>
      <w:r w:rsidR="00D05A61" w:rsidRPr="000C2318">
        <w:rPr>
          <w:snapToGrid w:val="0"/>
        </w:rPr>
        <w:t xml:space="preserve"> </w:t>
      </w:r>
      <w:r w:rsidR="00D05A61">
        <w:rPr>
          <w:snapToGrid w:val="0"/>
        </w:rPr>
        <w:t>i</w:t>
      </w:r>
      <w:r w:rsidR="00D05A61" w:rsidRPr="000C2318">
        <w:rPr>
          <w:snapToGrid w:val="0"/>
        </w:rPr>
        <w:t>t</w:t>
      </w:r>
      <w:r w:rsidR="00D05A61">
        <w:rPr>
          <w:snapToGrid w:val="0"/>
        </w:rPr>
        <w:t>s</w:t>
      </w:r>
      <w:r w:rsidR="00D05A61" w:rsidRPr="000C2318">
        <w:rPr>
          <w:snapToGrid w:val="0"/>
        </w:rPr>
        <w:t xml:space="preserve"> Special Rapporteur on new communications and interim measures</w:t>
      </w:r>
      <w:r w:rsidR="00D05A61">
        <w:rPr>
          <w:snapToGrid w:val="0"/>
        </w:rPr>
        <w:t>,</w:t>
      </w:r>
      <w:r w:rsidR="00D05A61" w:rsidRPr="000C2318">
        <w:rPr>
          <w:snapToGrid w:val="0"/>
        </w:rPr>
        <w:t xml:space="preserve"> </w:t>
      </w:r>
      <w:r w:rsidRPr="000C2318">
        <w:rPr>
          <w:snapToGrid w:val="0"/>
        </w:rPr>
        <w:t xml:space="preserve">requested the State party not to extradite the </w:t>
      </w:r>
      <w:r w:rsidR="00D05A61">
        <w:rPr>
          <w:snapToGrid w:val="0"/>
        </w:rPr>
        <w:t xml:space="preserve">author </w:t>
      </w:r>
      <w:r w:rsidR="00D05A61" w:rsidRPr="000C2318">
        <w:rPr>
          <w:snapToGrid w:val="0"/>
        </w:rPr>
        <w:t xml:space="preserve">to Uganda </w:t>
      </w:r>
      <w:r w:rsidR="00D05A61">
        <w:rPr>
          <w:snapToGrid w:val="0"/>
        </w:rPr>
        <w:t xml:space="preserve">while the </w:t>
      </w:r>
      <w:r w:rsidRPr="000C2318">
        <w:rPr>
          <w:snapToGrid w:val="0"/>
        </w:rPr>
        <w:t xml:space="preserve">complaint was </w:t>
      </w:r>
      <w:r w:rsidR="00D05A61">
        <w:rPr>
          <w:snapToGrid w:val="0"/>
        </w:rPr>
        <w:t>being</w:t>
      </w:r>
      <w:r w:rsidRPr="000C2318">
        <w:rPr>
          <w:snapToGrid w:val="0"/>
        </w:rPr>
        <w:t xml:space="preserve"> consider</w:t>
      </w:r>
      <w:r w:rsidR="00D05A61">
        <w:rPr>
          <w:snapToGrid w:val="0"/>
        </w:rPr>
        <w:t>ed</w:t>
      </w:r>
      <w:r w:rsidRPr="000C2318">
        <w:rPr>
          <w:snapToGrid w:val="0"/>
        </w:rPr>
        <w:t xml:space="preserve">. </w:t>
      </w:r>
    </w:p>
    <w:p w14:paraId="64288D84" w14:textId="77777777" w:rsidR="000C2318" w:rsidRPr="004F049C" w:rsidRDefault="000C2318" w:rsidP="00D05A61">
      <w:pPr>
        <w:pStyle w:val="H23G"/>
      </w:pPr>
      <w:r>
        <w:rPr>
          <w:snapToGrid w:val="0"/>
        </w:rPr>
        <w:tab/>
      </w:r>
      <w:r>
        <w:rPr>
          <w:snapToGrid w:val="0"/>
        </w:rPr>
        <w:tab/>
      </w:r>
      <w:r w:rsidR="00D05A61">
        <w:rPr>
          <w:snapToGrid w:val="0"/>
        </w:rPr>
        <w:t>F</w:t>
      </w:r>
      <w:r w:rsidRPr="005C629A">
        <w:rPr>
          <w:snapToGrid w:val="0"/>
        </w:rPr>
        <w:t>acts as presented by the complainant</w:t>
      </w:r>
    </w:p>
    <w:p w14:paraId="02C9EC55" w14:textId="77777777" w:rsidR="000C2318" w:rsidRPr="005C629A" w:rsidRDefault="000C2318" w:rsidP="000C2318">
      <w:pPr>
        <w:pStyle w:val="SingleTxtG"/>
      </w:pPr>
      <w:r w:rsidRPr="005C629A">
        <w:t>2.1</w:t>
      </w:r>
      <w:r w:rsidRPr="005C629A">
        <w:tab/>
        <w:t>Since he was a teenager, the complainant has known that he is gay. In 2004, his parents forced him to marry a woman in order to dispel the rumours that he was gay. The complainant states that he did not wish to be in a relationship with a woman, and that the marriage therefore lasted only three years.</w:t>
      </w:r>
    </w:p>
    <w:p w14:paraId="177C1C9F" w14:textId="77777777" w:rsidR="000C2318" w:rsidRPr="005C629A" w:rsidRDefault="000C2318" w:rsidP="008317B6">
      <w:pPr>
        <w:pStyle w:val="SingleTxtG"/>
      </w:pPr>
      <w:r w:rsidRPr="005C629A">
        <w:t>2.2</w:t>
      </w:r>
      <w:r w:rsidRPr="005C629A">
        <w:tab/>
        <w:t>After separating from his wife, the complainant was taken to a meeting of the Gay and Lesbian Association by one of its members</w:t>
      </w:r>
      <w:r w:rsidR="009A5A0B">
        <w:t>, R.M</w:t>
      </w:r>
      <w:r w:rsidRPr="005C629A">
        <w:t xml:space="preserve">. He joined the </w:t>
      </w:r>
      <w:r w:rsidR="00631FE9">
        <w:t>A</w:t>
      </w:r>
      <w:r w:rsidRPr="005C629A">
        <w:t xml:space="preserve">ssociation in October </w:t>
      </w:r>
      <w:r w:rsidRPr="005C629A">
        <w:lastRenderedPageBreak/>
        <w:t>2007.</w:t>
      </w:r>
      <w:r w:rsidR="00813CD5">
        <w:rPr>
          <w:rStyle w:val="FootnoteReference"/>
        </w:rPr>
        <w:footnoteReference w:id="3"/>
      </w:r>
      <w:r w:rsidRPr="005C629A">
        <w:t xml:space="preserve"> The Association had about 30 members and met every three days to provide support to the members and to carry out the </w:t>
      </w:r>
      <w:r w:rsidR="00631FE9">
        <w:t>A</w:t>
      </w:r>
      <w:r w:rsidRPr="005C629A">
        <w:t xml:space="preserve">ssociation’s objectives, including </w:t>
      </w:r>
      <w:r w:rsidR="00631FE9">
        <w:t>rais</w:t>
      </w:r>
      <w:r w:rsidR="00631FE9" w:rsidRPr="005C629A">
        <w:t xml:space="preserve">ing </w:t>
      </w:r>
      <w:r w:rsidR="00631FE9">
        <w:t xml:space="preserve">awareness </w:t>
      </w:r>
      <w:r w:rsidR="008317B6">
        <w:t xml:space="preserve">among </w:t>
      </w:r>
      <w:r w:rsidRPr="005C629A">
        <w:t xml:space="preserve">the Ugandan public about human rights and strengthening the organized efforts of the </w:t>
      </w:r>
      <w:r w:rsidR="004F049C">
        <w:t>l</w:t>
      </w:r>
      <w:r w:rsidRPr="005C629A">
        <w:t xml:space="preserve">esbian, </w:t>
      </w:r>
      <w:r w:rsidR="004F049C">
        <w:t>g</w:t>
      </w:r>
      <w:r w:rsidRPr="005C629A">
        <w:t xml:space="preserve">ay, </w:t>
      </w:r>
      <w:r w:rsidR="004F049C">
        <w:t>b</w:t>
      </w:r>
      <w:r w:rsidRPr="005C629A">
        <w:t xml:space="preserve">isexual and </w:t>
      </w:r>
      <w:r w:rsidR="004F049C">
        <w:t>t</w:t>
      </w:r>
      <w:r w:rsidRPr="005C629A">
        <w:t>ransgender community in Uganda.</w:t>
      </w:r>
      <w:r w:rsidR="00813CD5">
        <w:rPr>
          <w:rStyle w:val="FootnoteReference"/>
        </w:rPr>
        <w:footnoteReference w:id="4"/>
      </w:r>
      <w:r w:rsidRPr="005C629A">
        <w:t xml:space="preserve"> </w:t>
      </w:r>
    </w:p>
    <w:p w14:paraId="0F62CBE5" w14:textId="77777777" w:rsidR="000C2318" w:rsidRPr="005C629A" w:rsidRDefault="000C2318" w:rsidP="008317B6">
      <w:pPr>
        <w:pStyle w:val="SingleTxtG"/>
      </w:pPr>
      <w:r w:rsidRPr="005C629A">
        <w:t>2.3</w:t>
      </w:r>
      <w:r w:rsidRPr="005C629A">
        <w:tab/>
      </w:r>
      <w:r w:rsidRPr="00417110">
        <w:t xml:space="preserve">The complainant states that in August 2007, </w:t>
      </w:r>
      <w:r w:rsidR="00417110">
        <w:t>while</w:t>
      </w:r>
      <w:r w:rsidRPr="00417110">
        <w:t xml:space="preserve"> participat</w:t>
      </w:r>
      <w:r w:rsidR="00417110">
        <w:t>ing</w:t>
      </w:r>
      <w:r w:rsidRPr="00417110">
        <w:t xml:space="preserve"> in a public gay rights </w:t>
      </w:r>
      <w:r w:rsidR="00417110">
        <w:t>demonstration</w:t>
      </w:r>
      <w:r w:rsidRPr="00417110">
        <w:t xml:space="preserve"> near the Parliament building</w:t>
      </w:r>
      <w:r w:rsidRPr="005C629A">
        <w:t xml:space="preserve"> in Kampala, riot police arrested and handcuffed him, beating and repeatedly kicking him. He was then put in a truck and taken to a dark interrogation room. His hands were tied behind his back and the police began to torture him with a machine that applied extreme pressure to his body</w:t>
      </w:r>
      <w:r w:rsidR="00417110">
        <w:t>,</w:t>
      </w:r>
      <w:r w:rsidRPr="005C629A">
        <w:t xml:space="preserve"> caus</w:t>
      </w:r>
      <w:r w:rsidR="00417110">
        <w:t>ing</w:t>
      </w:r>
      <w:r w:rsidRPr="005C629A">
        <w:t xml:space="preserve"> asphyxiation and severe pain. The complainant was asked who had organized the demonstration and how it </w:t>
      </w:r>
      <w:r w:rsidR="00417110">
        <w:t>had been</w:t>
      </w:r>
      <w:r w:rsidRPr="005C629A">
        <w:t xml:space="preserve"> planned. The complainant was kept confined in a room for three days without food </w:t>
      </w:r>
      <w:r w:rsidR="00417110">
        <w:t>or</w:t>
      </w:r>
      <w:r w:rsidRPr="005C629A">
        <w:t xml:space="preserve"> water and was regularly beaten by the police. He was told that he was promoting bad morals in Ugandan society. On 24 August 2007, the complainant was put in the trunk of a car and abandoned in the middle of the night </w:t>
      </w:r>
      <w:r w:rsidR="00E33E39">
        <w:t>o</w:t>
      </w:r>
      <w:r w:rsidRPr="005C629A">
        <w:t xml:space="preserve">n </w:t>
      </w:r>
      <w:r w:rsidR="00E33E39">
        <w:t>the Kampala</w:t>
      </w:r>
      <w:r w:rsidRPr="005C629A">
        <w:t xml:space="preserve"> Northern Bypass.</w:t>
      </w:r>
      <w:r w:rsidR="00813CD5">
        <w:rPr>
          <w:rStyle w:val="FootnoteReference"/>
        </w:rPr>
        <w:footnoteReference w:id="5"/>
      </w:r>
      <w:r w:rsidRPr="005C629A">
        <w:t xml:space="preserve"> He was quite weak, could barely walk and could not see. </w:t>
      </w:r>
      <w:r w:rsidR="008317B6">
        <w:t>W</w:t>
      </w:r>
      <w:r w:rsidR="008317B6" w:rsidRPr="005C629A">
        <w:t xml:space="preserve">ith </w:t>
      </w:r>
      <w:r w:rsidR="008317B6">
        <w:t>R.</w:t>
      </w:r>
      <w:r w:rsidR="008317B6" w:rsidRPr="005C629A">
        <w:t>M</w:t>
      </w:r>
      <w:r w:rsidR="008317B6">
        <w:t>.</w:t>
      </w:r>
      <w:r w:rsidR="008317B6" w:rsidRPr="005C629A">
        <w:t>’s help</w:t>
      </w:r>
      <w:r w:rsidR="008317B6">
        <w:t>, h</w:t>
      </w:r>
      <w:r w:rsidRPr="005C629A">
        <w:t xml:space="preserve">e sought medical treatment </w:t>
      </w:r>
      <w:r>
        <w:t>and was provided with a medical certificate</w:t>
      </w:r>
      <w:r w:rsidRPr="005C629A">
        <w:t>.</w:t>
      </w:r>
      <w:r w:rsidR="00813CD5">
        <w:rPr>
          <w:rStyle w:val="FootnoteReference"/>
        </w:rPr>
        <w:footnoteReference w:id="6"/>
      </w:r>
    </w:p>
    <w:p w14:paraId="5C34C949" w14:textId="77777777" w:rsidR="00F138E7" w:rsidRPr="00F138E7" w:rsidRDefault="000C2318" w:rsidP="003B3D9D">
      <w:pPr>
        <w:pStyle w:val="SingleTxtG"/>
        <w:rPr>
          <w:sz w:val="22"/>
          <w:szCs w:val="22"/>
        </w:rPr>
      </w:pPr>
      <w:r w:rsidRPr="005C629A">
        <w:t>2.4</w:t>
      </w:r>
      <w:r w:rsidRPr="005C629A">
        <w:tab/>
        <w:t>The complainant states that thereafter, he began to receive threats and threatening e-mails from strangers,</w:t>
      </w:r>
      <w:r w:rsidR="00813CD5">
        <w:rPr>
          <w:rStyle w:val="FootnoteReference"/>
        </w:rPr>
        <w:footnoteReference w:id="7"/>
      </w:r>
      <w:r w:rsidRPr="005C629A">
        <w:t xml:space="preserve"> and that he and his family were subjected to discrimination by the</w:t>
      </w:r>
      <w:r w:rsidR="003B3D9D">
        <w:t>ir</w:t>
      </w:r>
      <w:r w:rsidRPr="005C629A">
        <w:t xml:space="preserve"> neighbo</w:t>
      </w:r>
      <w:r w:rsidR="00E33E39">
        <w:t>u</w:t>
      </w:r>
      <w:r w:rsidRPr="005C629A">
        <w:t>rs. He became very fearful and life became hard for him and his family in Uganda. While returning home one day, he was again arrested by men dressed in plain</w:t>
      </w:r>
      <w:r w:rsidR="003B3D9D">
        <w:t xml:space="preserve"> </w:t>
      </w:r>
      <w:r w:rsidRPr="005C629A">
        <w:t xml:space="preserve">clothes, in a place called Mulago. </w:t>
      </w:r>
      <w:r w:rsidRPr="00F138E7">
        <w:t>The complainant submits that a spy</w:t>
      </w:r>
      <w:r w:rsidR="00813CD5" w:rsidRPr="003B3D9D">
        <w:rPr>
          <w:rStyle w:val="FootnoteReference"/>
        </w:rPr>
        <w:footnoteReference w:id="8"/>
      </w:r>
      <w:r w:rsidRPr="00F138E7">
        <w:t xml:space="preserve"> within the Gay and Lesbian Association denounced him to the police and had him arrested. The police arrested</w:t>
      </w:r>
      <w:r w:rsidR="00F138E7" w:rsidRPr="00F138E7">
        <w:t xml:space="preserve"> him, interrogated him and charged him with the crime of</w:t>
      </w:r>
      <w:r w:rsidR="00F138E7" w:rsidRPr="00F138E7">
        <w:rPr>
          <w:sz w:val="22"/>
          <w:szCs w:val="22"/>
        </w:rPr>
        <w:t xml:space="preserve"> </w:t>
      </w:r>
      <w:r w:rsidR="00F138E7" w:rsidRPr="00F138E7">
        <w:t xml:space="preserve">recruiting children by raiding schools and promoting homosexuality. He was released, but the police officers told him that he would be continuously watched, and that he would be killed if he continued his activities with the </w:t>
      </w:r>
      <w:r w:rsidR="003B3D9D">
        <w:t>A</w:t>
      </w:r>
      <w:r w:rsidR="00F138E7" w:rsidRPr="00F138E7">
        <w:t xml:space="preserve">ssociation. </w:t>
      </w:r>
      <w:r w:rsidR="003B3D9D">
        <w:t>T</w:t>
      </w:r>
      <w:r w:rsidR="00F138E7" w:rsidRPr="00F138E7">
        <w:t xml:space="preserve">he complainant </w:t>
      </w:r>
      <w:r w:rsidR="003B3D9D">
        <w:t>notes</w:t>
      </w:r>
      <w:r w:rsidR="00F138E7" w:rsidRPr="00F138E7">
        <w:t xml:space="preserve"> that he is a gay rights activist and is wanted by government security forces because they believe he is the leader in Uganda of a group called Rainbow. The complainant states that he is affiliated with Rainbow in Canada, but not in Uganda, and that he has he never been one of the </w:t>
      </w:r>
      <w:r w:rsidR="003B3D9D">
        <w:t>group</w:t>
      </w:r>
      <w:r w:rsidR="00F138E7" w:rsidRPr="00F138E7">
        <w:t>’s leaders.</w:t>
      </w:r>
      <w:r w:rsidR="001611E7">
        <w:rPr>
          <w:rStyle w:val="FootnoteReference"/>
        </w:rPr>
        <w:footnoteReference w:id="9"/>
      </w:r>
    </w:p>
    <w:p w14:paraId="701ADF17" w14:textId="77777777" w:rsidR="00F138E7" w:rsidRPr="00F138E7" w:rsidRDefault="00F138E7" w:rsidP="003B3D9D">
      <w:pPr>
        <w:pStyle w:val="SingleTxtG"/>
      </w:pPr>
      <w:r w:rsidRPr="00F138E7">
        <w:t>2.5</w:t>
      </w:r>
      <w:r w:rsidRPr="00F138E7">
        <w:tab/>
      </w:r>
      <w:r w:rsidRPr="00337C14">
        <w:t>The complainant states that from 2008 to 2010, he went to Iraq to work as a security</w:t>
      </w:r>
      <w:r w:rsidRPr="00F138E7">
        <w:t xml:space="preserve"> guard.</w:t>
      </w:r>
      <w:r w:rsidR="001611E7">
        <w:rPr>
          <w:rStyle w:val="FootnoteReference"/>
        </w:rPr>
        <w:footnoteReference w:id="10"/>
      </w:r>
      <w:r w:rsidRPr="00F138E7">
        <w:t xml:space="preserve"> He extended his employment contract there as long as possible because he did not want to go back to Uganda. When his contract ended, he had no choice but to return to Uganda, even though he “really was afraid” to return there </w:t>
      </w:r>
      <w:r w:rsidR="003B3D9D">
        <w:t>as</w:t>
      </w:r>
      <w:r w:rsidRPr="00F138E7">
        <w:t xml:space="preserve"> he w</w:t>
      </w:r>
      <w:r w:rsidR="003B3D9D">
        <w:t>as</w:t>
      </w:r>
      <w:r w:rsidRPr="00F138E7">
        <w:t xml:space="preserve"> likely </w:t>
      </w:r>
      <w:r w:rsidR="003B3D9D">
        <w:t xml:space="preserve">to </w:t>
      </w:r>
      <w:r w:rsidRPr="00F138E7">
        <w:t xml:space="preserve">be arrested, tortured and killed for being gay. </w:t>
      </w:r>
    </w:p>
    <w:p w14:paraId="51ED72EF" w14:textId="77777777" w:rsidR="00F138E7" w:rsidRPr="00F138E7" w:rsidRDefault="00F138E7" w:rsidP="00337C14">
      <w:pPr>
        <w:pStyle w:val="SingleTxtG"/>
      </w:pPr>
      <w:r w:rsidRPr="00F138E7">
        <w:t>2.6</w:t>
      </w:r>
      <w:r w:rsidRPr="00F138E7">
        <w:tab/>
        <w:t xml:space="preserve">The complainant submits that when he returned to Uganda, Parliament was debating the </w:t>
      </w:r>
      <w:r w:rsidR="00631FE9">
        <w:t>a</w:t>
      </w:r>
      <w:r w:rsidRPr="00F138E7">
        <w:t>nti-</w:t>
      </w:r>
      <w:r w:rsidR="00631FE9">
        <w:t>h</w:t>
      </w:r>
      <w:r w:rsidRPr="00F138E7">
        <w:t xml:space="preserve">omosexuality bill, which </w:t>
      </w:r>
      <w:r w:rsidR="00CE7159">
        <w:t xml:space="preserve">would </w:t>
      </w:r>
      <w:r w:rsidRPr="00F138E7">
        <w:t>g</w:t>
      </w:r>
      <w:r w:rsidR="00CE7159">
        <w:t>i</w:t>
      </w:r>
      <w:r w:rsidRPr="00F138E7">
        <w:t xml:space="preserve">ve the </w:t>
      </w:r>
      <w:r w:rsidR="003B3D9D">
        <w:t>G</w:t>
      </w:r>
      <w:r w:rsidRPr="00F138E7">
        <w:t xml:space="preserve">overnment the legal right to imprison and torture gays, and to </w:t>
      </w:r>
      <w:r w:rsidR="00CE7159">
        <w:t>impose more severe</w:t>
      </w:r>
      <w:r w:rsidRPr="00F138E7">
        <w:t xml:space="preserve"> punishments o</w:t>
      </w:r>
      <w:r w:rsidR="00CE7159">
        <w:t>n</w:t>
      </w:r>
      <w:r w:rsidRPr="00F138E7">
        <w:t xml:space="preserve"> homosexuals and those promoting </w:t>
      </w:r>
      <w:r w:rsidR="004F049C">
        <w:t>l</w:t>
      </w:r>
      <w:r w:rsidR="004F049C" w:rsidRPr="005C629A">
        <w:t xml:space="preserve">esbian, </w:t>
      </w:r>
      <w:r w:rsidR="004F049C">
        <w:t>g</w:t>
      </w:r>
      <w:r w:rsidR="004F049C" w:rsidRPr="005C629A">
        <w:t xml:space="preserve">ay, </w:t>
      </w:r>
      <w:r w:rsidR="004F049C">
        <w:t>b</w:t>
      </w:r>
      <w:r w:rsidR="004F049C" w:rsidRPr="005C629A">
        <w:t xml:space="preserve">isexual and </w:t>
      </w:r>
      <w:r w:rsidR="004F049C">
        <w:t>t</w:t>
      </w:r>
      <w:r w:rsidR="004F049C" w:rsidRPr="005C629A">
        <w:t>ransgender</w:t>
      </w:r>
      <w:r w:rsidRPr="00F138E7">
        <w:t xml:space="preserve"> rights. The complainant submits that the law also imposed a duty on Ugandan citizens to report </w:t>
      </w:r>
      <w:r w:rsidR="00337C14" w:rsidRPr="00F138E7">
        <w:t>within 24 hours</w:t>
      </w:r>
      <w:r w:rsidR="00337C14">
        <w:t xml:space="preserve"> </w:t>
      </w:r>
      <w:r w:rsidRPr="00F138E7">
        <w:t>any suspected or encountered homosexual activity</w:t>
      </w:r>
      <w:r w:rsidR="00337C14">
        <w:t>;</w:t>
      </w:r>
      <w:r w:rsidRPr="00F138E7">
        <w:t xml:space="preserve"> failure to report such act</w:t>
      </w:r>
      <w:r w:rsidR="00337C14">
        <w:t>ivity</w:t>
      </w:r>
      <w:r w:rsidRPr="00F138E7">
        <w:t xml:space="preserve"> would result in a three-year prison sentence. </w:t>
      </w:r>
    </w:p>
    <w:p w14:paraId="1D5F2526" w14:textId="77777777" w:rsidR="00F138E7" w:rsidRPr="00F138E7" w:rsidRDefault="00F138E7" w:rsidP="00307E00">
      <w:pPr>
        <w:pStyle w:val="SingleTxtG"/>
      </w:pPr>
      <w:r w:rsidRPr="00F138E7">
        <w:t>2.7</w:t>
      </w:r>
      <w:r w:rsidRPr="00F138E7">
        <w:tab/>
        <w:t xml:space="preserve">The complainant states that just before the bill was passed into law, he and his family were harassed by their neighbours, and the media was calling for the “genocide of gays” in Uganda. </w:t>
      </w:r>
      <w:r w:rsidR="00CE7159">
        <w:t>Given</w:t>
      </w:r>
      <w:r w:rsidRPr="00F138E7">
        <w:t xml:space="preserve"> th</w:t>
      </w:r>
      <w:r w:rsidR="00337C14">
        <w:t>e</w:t>
      </w:r>
      <w:r w:rsidRPr="00F138E7">
        <w:t xml:space="preserve"> hostile environment, the complainant fled </w:t>
      </w:r>
      <w:r w:rsidR="00337C14">
        <w:t>t</w:t>
      </w:r>
      <w:r w:rsidRPr="00F138E7">
        <w:t>o Canada.</w:t>
      </w:r>
      <w:r w:rsidR="005506EF">
        <w:rPr>
          <w:rStyle w:val="FootnoteReference"/>
        </w:rPr>
        <w:footnoteReference w:id="11"/>
      </w:r>
      <w:r w:rsidRPr="00F138E7">
        <w:t xml:space="preserve"> He arrived in Canada on 14 October 2010 and filed a</w:t>
      </w:r>
      <w:r w:rsidR="00CE7159">
        <w:t>n</w:t>
      </w:r>
      <w:r w:rsidRPr="00F138E7">
        <w:t xml:space="preserve"> </w:t>
      </w:r>
      <w:r w:rsidR="00CE7159">
        <w:t xml:space="preserve">application for </w:t>
      </w:r>
      <w:r w:rsidRPr="00F138E7">
        <w:t xml:space="preserve">refugee </w:t>
      </w:r>
      <w:r w:rsidR="00CE7159">
        <w:t>status</w:t>
      </w:r>
      <w:r w:rsidRPr="00F138E7">
        <w:t xml:space="preserve"> on 15 February 2011. </w:t>
      </w:r>
      <w:r w:rsidR="00337C14">
        <w:t>T</w:t>
      </w:r>
      <w:r w:rsidRPr="00F138E7">
        <w:t>h</w:t>
      </w:r>
      <w:r w:rsidR="00CE7159">
        <w:t>e</w:t>
      </w:r>
      <w:r w:rsidRPr="00F138E7">
        <w:t xml:space="preserve"> four-month delay occurred because it took him four months to learn about and understand the refugee claim process in Canada. His application was rejected on 19 October 2012. The </w:t>
      </w:r>
      <w:r w:rsidR="00EB2C66">
        <w:t>Refugee Protection Division</w:t>
      </w:r>
      <w:r w:rsidRPr="00F138E7">
        <w:t xml:space="preserve"> found that he was not a person in need of protection by Canada. His application to seek leave for a judicial review of th</w:t>
      </w:r>
      <w:r w:rsidR="00FA7669">
        <w:t>at</w:t>
      </w:r>
      <w:r w:rsidRPr="00F138E7">
        <w:t xml:space="preserve"> decision was dismissed by the Federal Court of Canada on 20 March 2013.</w:t>
      </w:r>
    </w:p>
    <w:p w14:paraId="6620F2FA" w14:textId="77777777" w:rsidR="00606F08" w:rsidRPr="00606F08" w:rsidRDefault="00F138E7" w:rsidP="00307E00">
      <w:pPr>
        <w:pStyle w:val="SingleTxtG"/>
      </w:pPr>
      <w:r w:rsidRPr="00F138E7">
        <w:t>2.8</w:t>
      </w:r>
      <w:r w:rsidRPr="00F138E7">
        <w:tab/>
        <w:t xml:space="preserve">The complainant argues that because Canadian law prevents him from filing a </w:t>
      </w:r>
      <w:r w:rsidR="00FA7669" w:rsidRPr="005C629A">
        <w:t>pre-removal risk assessment</w:t>
      </w:r>
      <w:r w:rsidRPr="00F138E7">
        <w:t xml:space="preserve"> application if </w:t>
      </w:r>
      <w:r w:rsidR="00FA7669">
        <w:t>fewer</w:t>
      </w:r>
      <w:r w:rsidRPr="00F138E7">
        <w:t xml:space="preserve"> than 12 months have passed prior to the denial of his refugee claim, he has been deprived of the opportunity to submit new evidence that is relevant to his asylum case. He presents the following documents as new evidence that he risks torture and death if returned to Uganda: (a) an arrest warrant dated 15 November 2012 issued by the Chief Magistrate’s Court in Uganda</w:t>
      </w:r>
      <w:r w:rsidR="00FA7669">
        <w:t>, which t</w:t>
      </w:r>
      <w:r w:rsidRPr="00F138E7">
        <w:t xml:space="preserve">he complainant explains was issued after he </w:t>
      </w:r>
      <w:r w:rsidR="00FA7669">
        <w:t>had</w:t>
      </w:r>
      <w:r w:rsidRPr="00F138E7">
        <w:t xml:space="preserve"> failed to appear in court on 8 November 2012 to answer a charge of “having carnal knowledge against</w:t>
      </w:r>
      <w:r w:rsidR="00606F08" w:rsidRPr="00606F08">
        <w:t xml:space="preserve"> nature”; (b) </w:t>
      </w:r>
      <w:r w:rsidR="00FA7669">
        <w:t xml:space="preserve">a </w:t>
      </w:r>
      <w:r w:rsidR="00606F08" w:rsidRPr="00606F08">
        <w:t xml:space="preserve">court summons </w:t>
      </w:r>
      <w:r w:rsidR="00FA7669">
        <w:t>from</w:t>
      </w:r>
      <w:r w:rsidR="00606F08" w:rsidRPr="00606F08">
        <w:t xml:space="preserve"> the same court</w:t>
      </w:r>
      <w:r w:rsidR="00FA7669">
        <w:t>,</w:t>
      </w:r>
      <w:r w:rsidR="00606F08" w:rsidRPr="00606F08">
        <w:t xml:space="preserve"> dated 4 November 2012, stating that the complainant is charged with th</w:t>
      </w:r>
      <w:r w:rsidR="00FA7669">
        <w:t>at sam</w:t>
      </w:r>
      <w:r w:rsidR="00606F08" w:rsidRPr="00606F08">
        <w:t>e offen</w:t>
      </w:r>
      <w:r w:rsidR="00FA7669">
        <w:t>c</w:t>
      </w:r>
      <w:r w:rsidR="00606F08" w:rsidRPr="00606F08">
        <w:t xml:space="preserve">e; (c) a letter </w:t>
      </w:r>
      <w:r w:rsidR="00FA7669">
        <w:t>from</w:t>
      </w:r>
      <w:r w:rsidR="00606F08" w:rsidRPr="00606F08">
        <w:t xml:space="preserve"> the Ugandan Police Force, dated 29 October 2012, </w:t>
      </w:r>
      <w:r w:rsidR="004B58CD">
        <w:t>summoning</w:t>
      </w:r>
      <w:r w:rsidR="00606F08" w:rsidRPr="00606F08">
        <w:t xml:space="preserve"> the complainant to the police station to answer reports f</w:t>
      </w:r>
      <w:r w:rsidR="00FA7669">
        <w:t>rom</w:t>
      </w:r>
      <w:r w:rsidR="00606F08" w:rsidRPr="00606F08">
        <w:t xml:space="preserve"> several community leaders that he </w:t>
      </w:r>
      <w:r w:rsidR="00FA7669">
        <w:t>wa</w:t>
      </w:r>
      <w:r w:rsidR="00606F08" w:rsidRPr="00606F08">
        <w:t>s promoting homosexuality and recruiting you</w:t>
      </w:r>
      <w:r w:rsidR="00FA7669">
        <w:t>ng</w:t>
      </w:r>
      <w:r w:rsidR="00606F08" w:rsidRPr="00606F08">
        <w:t xml:space="preserve"> </w:t>
      </w:r>
      <w:r w:rsidR="00047E62">
        <w:t xml:space="preserve">people </w:t>
      </w:r>
      <w:r w:rsidR="00606F08" w:rsidRPr="00606F08">
        <w:t>for th</w:t>
      </w:r>
      <w:r w:rsidR="005972BD">
        <w:t>at</w:t>
      </w:r>
      <w:r w:rsidR="00606F08" w:rsidRPr="00606F08">
        <w:t xml:space="preserve"> purpose; (d) a letter issued by Kiwonvu Village Urban Council, dated 28 October 2012, asking the complainant to leave the village; (e) a letter from the complainant’s mother, dated 30 November 2012, warning the complainant of the danger he face</w:t>
      </w:r>
      <w:r w:rsidR="00307E00">
        <w:t>d</w:t>
      </w:r>
      <w:r w:rsidR="00606F08" w:rsidRPr="00606F08">
        <w:t>;</w:t>
      </w:r>
      <w:r w:rsidR="00606F08">
        <w:rPr>
          <w:rStyle w:val="FootnoteReference"/>
        </w:rPr>
        <w:footnoteReference w:id="12"/>
      </w:r>
      <w:r w:rsidR="00606F08" w:rsidRPr="00606F08">
        <w:t xml:space="preserve"> (f) an undated wanted poster bearing the complainant’s photograph</w:t>
      </w:r>
      <w:r w:rsidR="00307E00">
        <w:t>,</w:t>
      </w:r>
      <w:r w:rsidR="00606F08" w:rsidRPr="00606F08">
        <w:t xml:space="preserve"> </w:t>
      </w:r>
      <w:r w:rsidR="00307E00">
        <w:t>which</w:t>
      </w:r>
      <w:r w:rsidR="00606F08" w:rsidRPr="00606F08">
        <w:t xml:space="preserve"> w</w:t>
      </w:r>
      <w:r w:rsidR="004B58CD">
        <w:t>as</w:t>
      </w:r>
      <w:r w:rsidR="00606F08" w:rsidRPr="00606F08">
        <w:t xml:space="preserve"> allegedly put up in his neighbourhood</w:t>
      </w:r>
      <w:r w:rsidR="00606F08" w:rsidRPr="00606F08">
        <w:rPr>
          <w:rFonts w:eastAsia="Calibri"/>
        </w:rPr>
        <w:t xml:space="preserve">; </w:t>
      </w:r>
      <w:r w:rsidR="00307E00">
        <w:rPr>
          <w:rFonts w:eastAsia="Calibri"/>
        </w:rPr>
        <w:t xml:space="preserve">and </w:t>
      </w:r>
      <w:r w:rsidR="00606F08" w:rsidRPr="00606F08">
        <w:rPr>
          <w:rFonts w:eastAsia="Calibri"/>
        </w:rPr>
        <w:t>(g) a</w:t>
      </w:r>
      <w:r w:rsidR="00606F08" w:rsidRPr="00606F08">
        <w:t xml:space="preserve">n article </w:t>
      </w:r>
      <w:r w:rsidR="004B58CD">
        <w:t>en</w:t>
      </w:r>
      <w:r w:rsidR="004B58CD" w:rsidRPr="00606F08">
        <w:t xml:space="preserve">titled “Public Notice” </w:t>
      </w:r>
      <w:r w:rsidR="00606F08" w:rsidRPr="00606F08">
        <w:t xml:space="preserve">from </w:t>
      </w:r>
      <w:r w:rsidR="004B58CD" w:rsidRPr="006B5665">
        <w:rPr>
          <w:i/>
          <w:iCs/>
        </w:rPr>
        <w:t>T</w:t>
      </w:r>
      <w:r w:rsidR="00606F08" w:rsidRPr="006B5665">
        <w:rPr>
          <w:i/>
          <w:iCs/>
        </w:rPr>
        <w:t>he Observer</w:t>
      </w:r>
      <w:r w:rsidR="00606F08" w:rsidRPr="00606F08">
        <w:t xml:space="preserve"> newspaper</w:t>
      </w:r>
      <w:r w:rsidR="004B58CD">
        <w:t xml:space="preserve"> in Uganda</w:t>
      </w:r>
      <w:r w:rsidR="00606F08" w:rsidRPr="00606F08">
        <w:t xml:space="preserve">, dated 9 November 2012, bearing the complainant’s photograph and stating that he is a homosexual and is wanted by the Security </w:t>
      </w:r>
      <w:r w:rsidR="005972BD">
        <w:t xml:space="preserve">Agency </w:t>
      </w:r>
      <w:r w:rsidR="00557F52">
        <w:t>forces</w:t>
      </w:r>
      <w:r w:rsidR="00606F08" w:rsidRPr="00606F08">
        <w:t>.</w:t>
      </w:r>
    </w:p>
    <w:p w14:paraId="1916484D" w14:textId="77777777" w:rsidR="00606F08" w:rsidRPr="005C629A" w:rsidRDefault="00E960E7" w:rsidP="004F049C">
      <w:pPr>
        <w:pStyle w:val="H23G"/>
      </w:pPr>
      <w:r>
        <w:tab/>
      </w:r>
      <w:r>
        <w:tab/>
      </w:r>
      <w:r w:rsidR="00606F08" w:rsidRPr="005C629A">
        <w:rPr>
          <w:snapToGrid w:val="0"/>
        </w:rPr>
        <w:t>The complaint</w:t>
      </w:r>
    </w:p>
    <w:p w14:paraId="06E05F88" w14:textId="77777777" w:rsidR="00606F08" w:rsidRPr="005C629A" w:rsidRDefault="00606F08" w:rsidP="00557F52">
      <w:pPr>
        <w:pStyle w:val="SingleTxtG"/>
      </w:pPr>
      <w:r w:rsidRPr="005C629A">
        <w:t>3.1</w:t>
      </w:r>
      <w:r w:rsidRPr="005C629A">
        <w:tab/>
        <w:t xml:space="preserve">The complainant submits that </w:t>
      </w:r>
      <w:r w:rsidR="00343ACF">
        <w:t xml:space="preserve">Canada </w:t>
      </w:r>
      <w:r w:rsidRPr="005C629A">
        <w:t xml:space="preserve">would violate his rights under article 3 of the Convention against Torture </w:t>
      </w:r>
      <w:r w:rsidR="00557F52">
        <w:t>if it</w:t>
      </w:r>
      <w:r w:rsidRPr="005C629A">
        <w:t xml:space="preserve"> forcibly return</w:t>
      </w:r>
      <w:r w:rsidR="00557F52">
        <w:t>ed</w:t>
      </w:r>
      <w:r w:rsidRPr="005C629A">
        <w:t xml:space="preserve"> him to Uganda, where he “will certainly be killed and tortured for being gay”. </w:t>
      </w:r>
      <w:r w:rsidR="00557F52">
        <w:t>H</w:t>
      </w:r>
      <w:r w:rsidRPr="005C629A">
        <w:t>e states that he has the basic human right to choose and control his own sexuality and sexual orientation. He states that he is a gay rights activist</w:t>
      </w:r>
      <w:r>
        <w:t xml:space="preserve"> in Canada, that</w:t>
      </w:r>
      <w:r w:rsidRPr="005C629A">
        <w:t xml:space="preserve"> the </w:t>
      </w:r>
      <w:r>
        <w:t>Ugandan</w:t>
      </w:r>
      <w:r w:rsidRPr="005C629A">
        <w:t xml:space="preserve"> security forces</w:t>
      </w:r>
      <w:r>
        <w:t xml:space="preserve"> believe</w:t>
      </w:r>
      <w:r w:rsidRPr="005C629A">
        <w:t xml:space="preserve"> </w:t>
      </w:r>
      <w:r>
        <w:t>that</w:t>
      </w:r>
      <w:r w:rsidRPr="005C629A">
        <w:t xml:space="preserve"> he is the leader of a group called Rainbow and</w:t>
      </w:r>
      <w:r>
        <w:t xml:space="preserve"> that, as such, he is at risk of being killed and tortured for being gay</w:t>
      </w:r>
      <w:r w:rsidRPr="005C629A">
        <w:t>. The complainant claims that he also fears that ordinary Ugandan citizens will turn him in</w:t>
      </w:r>
      <w:r w:rsidR="00557F52">
        <w:t xml:space="preserve"> </w:t>
      </w:r>
      <w:r w:rsidRPr="005C629A">
        <w:t>to the police once they realize that he is gay.</w:t>
      </w:r>
    </w:p>
    <w:p w14:paraId="68BDA8AA" w14:textId="77777777" w:rsidR="00606F08" w:rsidRPr="005C629A" w:rsidRDefault="00606F08" w:rsidP="001D2EE2">
      <w:pPr>
        <w:pStyle w:val="SingleTxtG"/>
      </w:pPr>
      <w:r w:rsidRPr="005C629A">
        <w:t>3.2</w:t>
      </w:r>
      <w:r w:rsidRPr="005C629A">
        <w:tab/>
        <w:t xml:space="preserve">The complainant alleges that the </w:t>
      </w:r>
      <w:r w:rsidR="00963584" w:rsidRPr="005C629A">
        <w:t>decision</w:t>
      </w:r>
      <w:r w:rsidR="00963584">
        <w:t xml:space="preserve"> of the </w:t>
      </w:r>
      <w:r w:rsidR="00557F52">
        <w:t>Refugee Protection Division</w:t>
      </w:r>
      <w:r w:rsidRPr="005C629A">
        <w:t xml:space="preserve"> was flawed because it was based solely on the criticism that the documents provided by the complainant were mostly post-dated and provided solely for the purpose of the hearing. The complainant rejects th</w:t>
      </w:r>
      <w:r w:rsidR="00557F52">
        <w:t>at</w:t>
      </w:r>
      <w:r w:rsidRPr="005C629A">
        <w:t xml:space="preserve"> determination and states that he provided the documents because the instructions for completing the refugee claim required him to prove his claim.</w:t>
      </w:r>
      <w:r w:rsidR="0061721B">
        <w:rPr>
          <w:rStyle w:val="FootnoteReference"/>
        </w:rPr>
        <w:t xml:space="preserve"> </w:t>
      </w:r>
    </w:p>
    <w:p w14:paraId="4EFC6DCE" w14:textId="77777777" w:rsidR="00606F08" w:rsidRPr="005C629A" w:rsidRDefault="00606F08" w:rsidP="00282223">
      <w:pPr>
        <w:pStyle w:val="SingleTxtG"/>
      </w:pPr>
      <w:r w:rsidRPr="005C629A">
        <w:t>3.3</w:t>
      </w:r>
      <w:r w:rsidRPr="005C629A">
        <w:tab/>
        <w:t xml:space="preserve">The complainant asserts that because Canadian law prevents him from filing a </w:t>
      </w:r>
      <w:r w:rsidR="00557F52" w:rsidRPr="005C629A">
        <w:t>pre-removal risk assessment</w:t>
      </w:r>
      <w:r w:rsidRPr="005C629A">
        <w:t xml:space="preserve"> application if </w:t>
      </w:r>
      <w:r w:rsidR="00557F52">
        <w:t>fewer</w:t>
      </w:r>
      <w:r w:rsidRPr="005C629A">
        <w:t xml:space="preserve"> than 12 months have passed prior to the denial of his refugee claim, he has been deprived of the opportunity to submit new evidence that is relevant to his asylum case. </w:t>
      </w:r>
    </w:p>
    <w:p w14:paraId="450D4ED4" w14:textId="77777777" w:rsidR="00606F08" w:rsidRPr="005C629A" w:rsidRDefault="00606F08" w:rsidP="00D16DEE">
      <w:pPr>
        <w:pStyle w:val="SingleTxtG"/>
      </w:pPr>
      <w:r w:rsidRPr="005C629A">
        <w:t>3.4</w:t>
      </w:r>
      <w:r w:rsidRPr="005C629A">
        <w:tab/>
        <w:t>The complainant also alleges that his application for leave and judicial review was unfairly denied in a one-line decision that did not reflect a proper review of the complainant’s application.</w:t>
      </w:r>
    </w:p>
    <w:p w14:paraId="2A95F06F" w14:textId="77777777" w:rsidR="00D16DEE" w:rsidRDefault="00E960E7" w:rsidP="004F049C">
      <w:pPr>
        <w:pStyle w:val="H23G"/>
        <w:rPr>
          <w:snapToGrid w:val="0"/>
        </w:rPr>
      </w:pPr>
      <w:r>
        <w:rPr>
          <w:snapToGrid w:val="0"/>
        </w:rPr>
        <w:tab/>
      </w:r>
      <w:r>
        <w:rPr>
          <w:snapToGrid w:val="0"/>
        </w:rPr>
        <w:tab/>
      </w:r>
      <w:r w:rsidR="00D16DEE" w:rsidRPr="00B2221A">
        <w:rPr>
          <w:snapToGrid w:val="0"/>
        </w:rPr>
        <w:t>State party’s request for suspension</w:t>
      </w:r>
    </w:p>
    <w:p w14:paraId="5535AEDC" w14:textId="77777777" w:rsidR="00D16DEE" w:rsidRPr="005C629A" w:rsidRDefault="00D16DEE" w:rsidP="00156C79">
      <w:pPr>
        <w:pStyle w:val="SingleTxtG"/>
      </w:pPr>
      <w:r w:rsidRPr="005C629A">
        <w:rPr>
          <w:snapToGrid w:val="0"/>
        </w:rPr>
        <w:t>4.1</w:t>
      </w:r>
      <w:r w:rsidRPr="005C629A">
        <w:rPr>
          <w:snapToGrid w:val="0"/>
        </w:rPr>
        <w:tab/>
        <w:t xml:space="preserve">On 27 March 2014, the State party requested the Committee to suspend the examination of the complaint </w:t>
      </w:r>
      <w:r w:rsidRPr="005C629A">
        <w:t xml:space="preserve">until the current domestic proceedings </w:t>
      </w:r>
      <w:r w:rsidR="00551BD3">
        <w:t>had been</w:t>
      </w:r>
      <w:r w:rsidRPr="005C629A">
        <w:t xml:space="preserve"> concluded. </w:t>
      </w:r>
      <w:r w:rsidR="00551BD3">
        <w:t>I</w:t>
      </w:r>
      <w:r w:rsidRPr="005C629A">
        <w:t>t recall</w:t>
      </w:r>
      <w:r w:rsidR="00551BD3">
        <w:t>ed</w:t>
      </w:r>
      <w:r w:rsidRPr="005C629A">
        <w:t xml:space="preserve"> that the complainant </w:t>
      </w:r>
      <w:r w:rsidR="00551BD3">
        <w:t xml:space="preserve">had </w:t>
      </w:r>
      <w:r w:rsidRPr="005C629A">
        <w:t xml:space="preserve">arrived in Canada on 14 October 2010 and filed an application for refugee protection on 15 February 2011. On 19 October 2012, the complainant </w:t>
      </w:r>
      <w:r w:rsidR="00551BD3">
        <w:t>had been</w:t>
      </w:r>
      <w:r w:rsidRPr="005C629A">
        <w:t xml:space="preserve"> found </w:t>
      </w:r>
      <w:r w:rsidRPr="006B5665">
        <w:t>not</w:t>
      </w:r>
      <w:r w:rsidRPr="00631FE9">
        <w:t xml:space="preserve"> </w:t>
      </w:r>
      <w:r w:rsidRPr="005C629A">
        <w:t xml:space="preserve">to be a refugee within the terms of the </w:t>
      </w:r>
      <w:r w:rsidRPr="006B5665">
        <w:rPr>
          <w:iCs/>
        </w:rPr>
        <w:t>Immigration and Refugee Protection Act and the Convention relating to the Status of Refugees</w:t>
      </w:r>
      <w:r w:rsidRPr="005C629A">
        <w:t xml:space="preserve"> and </w:t>
      </w:r>
      <w:r w:rsidR="00551BD3">
        <w:t>the</w:t>
      </w:r>
      <w:r w:rsidRPr="005C629A">
        <w:t xml:space="preserve"> Protocol </w:t>
      </w:r>
      <w:r w:rsidR="00551BD3">
        <w:t xml:space="preserve">thereto, </w:t>
      </w:r>
      <w:r w:rsidRPr="005C629A">
        <w:t xml:space="preserve">and </w:t>
      </w:r>
      <w:r w:rsidRPr="006B5665">
        <w:t>not</w:t>
      </w:r>
      <w:r w:rsidRPr="005C629A">
        <w:t xml:space="preserve"> to be a person otherwise in need of protection by the Refugee Protection Division of </w:t>
      </w:r>
      <w:r w:rsidR="00551BD3">
        <w:t xml:space="preserve">the </w:t>
      </w:r>
      <w:r w:rsidRPr="005C629A">
        <w:t>Immigration and Refugee Board</w:t>
      </w:r>
      <w:r w:rsidR="00551BD3">
        <w:t xml:space="preserve"> of </w:t>
      </w:r>
      <w:r w:rsidR="00551BD3" w:rsidRPr="005C629A">
        <w:t>Canada</w:t>
      </w:r>
      <w:r w:rsidRPr="005C629A">
        <w:t>. His application to seek leave for a judicial review of th</w:t>
      </w:r>
      <w:r w:rsidR="00551BD3">
        <w:t>at</w:t>
      </w:r>
      <w:r w:rsidRPr="005C629A">
        <w:t xml:space="preserve"> decision </w:t>
      </w:r>
      <w:r w:rsidR="00551BD3">
        <w:t>had been</w:t>
      </w:r>
      <w:r w:rsidRPr="005C629A">
        <w:t xml:space="preserve"> dismissed by the Federal Court of Canada on 20 March 2013. </w:t>
      </w:r>
    </w:p>
    <w:p w14:paraId="07821447" w14:textId="77777777" w:rsidR="00D16DEE" w:rsidRPr="005C629A" w:rsidRDefault="00D16DEE" w:rsidP="001323C4">
      <w:pPr>
        <w:pStyle w:val="SingleTxtG"/>
      </w:pPr>
      <w:r w:rsidRPr="005C629A">
        <w:t>4.2</w:t>
      </w:r>
      <w:r w:rsidRPr="005C629A">
        <w:tab/>
        <w:t xml:space="preserve">The State party </w:t>
      </w:r>
      <w:r w:rsidR="00932C9E">
        <w:t>also</w:t>
      </w:r>
      <w:r w:rsidRPr="005C629A">
        <w:t xml:space="preserve"> recall</w:t>
      </w:r>
      <w:r w:rsidR="00D31DE9">
        <w:t>ed</w:t>
      </w:r>
      <w:r w:rsidRPr="005C629A">
        <w:t xml:space="preserve"> that Section 112</w:t>
      </w:r>
      <w:r w:rsidR="0043359A">
        <w:t xml:space="preserve"> </w:t>
      </w:r>
      <w:r w:rsidRPr="005C629A">
        <w:t>(2)</w:t>
      </w:r>
      <w:r w:rsidR="0043359A">
        <w:t xml:space="preserve"> </w:t>
      </w:r>
      <w:r w:rsidRPr="005C629A">
        <w:t xml:space="preserve">(b.1) of the </w:t>
      </w:r>
      <w:r w:rsidRPr="006B5665">
        <w:rPr>
          <w:iCs/>
        </w:rPr>
        <w:t>Immigration and Refugee Protection Act</w:t>
      </w:r>
      <w:r w:rsidRPr="005C629A">
        <w:t xml:space="preserve"> provides that a claimant cannot apply for an additional risk assessment (a pre-removal risk assessment) if </w:t>
      </w:r>
      <w:r w:rsidR="00551BD3">
        <w:t>fewer</w:t>
      </w:r>
      <w:r w:rsidRPr="005C629A">
        <w:t xml:space="preserve"> than 12 months have passed since </w:t>
      </w:r>
      <w:r w:rsidR="00932C9E">
        <w:t xml:space="preserve">the assessment </w:t>
      </w:r>
      <w:r w:rsidR="00932C9E" w:rsidRPr="005C629A">
        <w:t>by the Refugee Protection</w:t>
      </w:r>
      <w:r w:rsidR="00932C9E">
        <w:t xml:space="preserve"> </w:t>
      </w:r>
      <w:r w:rsidR="00932C9E" w:rsidRPr="005C629A">
        <w:t>D</w:t>
      </w:r>
      <w:r w:rsidR="00932C9E">
        <w:t xml:space="preserve">ivision of </w:t>
      </w:r>
      <w:r w:rsidRPr="005C629A">
        <w:t xml:space="preserve">his or her claim for refugee protection </w:t>
      </w:r>
      <w:r w:rsidRPr="005C629A">
        <w:rPr>
          <w:color w:val="000000"/>
        </w:rPr>
        <w:t xml:space="preserve">or </w:t>
      </w:r>
      <w:r w:rsidR="00932C9E">
        <w:rPr>
          <w:color w:val="000000"/>
        </w:rPr>
        <w:t xml:space="preserve">since </w:t>
      </w:r>
      <w:r w:rsidRPr="005C629A">
        <w:rPr>
          <w:color w:val="000000"/>
        </w:rPr>
        <w:t xml:space="preserve">a previous </w:t>
      </w:r>
      <w:r w:rsidR="00551BD3" w:rsidRPr="005C629A">
        <w:t>pre-removal risk assessment</w:t>
      </w:r>
      <w:r w:rsidRPr="005C629A">
        <w:t xml:space="preserve">. In </w:t>
      </w:r>
      <w:r w:rsidR="0043359A">
        <w:t>the complainant</w:t>
      </w:r>
      <w:r w:rsidRPr="005C629A">
        <w:t xml:space="preserve">’s case, the </w:t>
      </w:r>
      <w:r w:rsidR="00932C9E">
        <w:t>12-month</w:t>
      </w:r>
      <w:r w:rsidRPr="005C629A">
        <w:t xml:space="preserve"> period </w:t>
      </w:r>
      <w:r w:rsidR="00932C9E">
        <w:t>came to an end</w:t>
      </w:r>
      <w:r w:rsidRPr="005C629A">
        <w:t xml:space="preserve"> on 19 October 2013 and on 11 March 2014, the complainant submitted an application for a </w:t>
      </w:r>
      <w:r w:rsidR="00932C9E" w:rsidRPr="005C629A">
        <w:t>pre-removal risk assessment</w:t>
      </w:r>
      <w:r w:rsidRPr="005C629A">
        <w:t xml:space="preserve">. As </w:t>
      </w:r>
      <w:r w:rsidR="0043359A" w:rsidRPr="005C629A">
        <w:t>th</w:t>
      </w:r>
      <w:r w:rsidR="001323C4">
        <w:t>e</w:t>
      </w:r>
      <w:r w:rsidRPr="005C629A">
        <w:t xml:space="preserve"> application </w:t>
      </w:r>
      <w:r w:rsidR="001323C4">
        <w:t>wa</w:t>
      </w:r>
      <w:r w:rsidRPr="005C629A">
        <w:t xml:space="preserve">s outstanding, the State party requested the Committee to suspend its consideration of the communication until the </w:t>
      </w:r>
      <w:r w:rsidR="00932C9E" w:rsidRPr="005C629A">
        <w:t>assessment</w:t>
      </w:r>
      <w:r w:rsidRPr="005C629A">
        <w:t xml:space="preserve"> ha</w:t>
      </w:r>
      <w:r w:rsidR="001323C4">
        <w:t>d</w:t>
      </w:r>
      <w:r w:rsidRPr="005C629A">
        <w:t xml:space="preserve"> been completed. The State party underline</w:t>
      </w:r>
      <w:r w:rsidR="001323C4">
        <w:t>d</w:t>
      </w:r>
      <w:r w:rsidRPr="005C629A">
        <w:t xml:space="preserve"> that </w:t>
      </w:r>
      <w:r w:rsidR="0043359A" w:rsidRPr="005C629A">
        <w:t xml:space="preserve">the complainant </w:t>
      </w:r>
      <w:r w:rsidR="001323C4">
        <w:t>wa</w:t>
      </w:r>
      <w:r w:rsidRPr="005C629A">
        <w:t xml:space="preserve">s not subject to removal while his application </w:t>
      </w:r>
      <w:r w:rsidR="001323C4">
        <w:t>wa</w:t>
      </w:r>
      <w:r w:rsidRPr="005C629A">
        <w:t xml:space="preserve">s outstanding. </w:t>
      </w:r>
    </w:p>
    <w:p w14:paraId="24509FEB" w14:textId="77777777" w:rsidR="00D16DEE" w:rsidRPr="005C629A" w:rsidRDefault="00D16DEE" w:rsidP="001D2EE2">
      <w:pPr>
        <w:pStyle w:val="SingleTxtG"/>
      </w:pPr>
      <w:r w:rsidRPr="005C629A">
        <w:t>4.3</w:t>
      </w:r>
      <w:r w:rsidRPr="005C629A">
        <w:tab/>
        <w:t xml:space="preserve">On 23 April 2014, the State party informed </w:t>
      </w:r>
      <w:r w:rsidR="001323C4">
        <w:t xml:space="preserve">the Committee </w:t>
      </w:r>
      <w:r w:rsidRPr="005C629A">
        <w:t xml:space="preserve">that </w:t>
      </w:r>
      <w:r w:rsidRPr="005C629A">
        <w:rPr>
          <w:lang w:val="en-US"/>
        </w:rPr>
        <w:t xml:space="preserve">on 9 April 2014, </w:t>
      </w:r>
      <w:r w:rsidRPr="005C629A">
        <w:t>after evaluating all of the evidence provided and on the basis of detailed reason</w:t>
      </w:r>
      <w:r w:rsidR="001323C4">
        <w:t>ing</w:t>
      </w:r>
      <w:r w:rsidRPr="005C629A">
        <w:t xml:space="preserve">, the specialized risk-assessment officer </w:t>
      </w:r>
      <w:r w:rsidR="001323C4">
        <w:t xml:space="preserve">had </w:t>
      </w:r>
      <w:r w:rsidRPr="005C629A">
        <w:t xml:space="preserve">found that the complainant had not established that there were substantial grounds to believe that he would be at risk of torture or cruel, inhuman or degrading treatment if </w:t>
      </w:r>
      <w:r w:rsidR="001323C4">
        <w:t xml:space="preserve">he was </w:t>
      </w:r>
      <w:r w:rsidRPr="005C629A">
        <w:t>returned to Uganda. The complainant was informed of th</w:t>
      </w:r>
      <w:r w:rsidR="001323C4">
        <w:t>at</w:t>
      </w:r>
      <w:r w:rsidRPr="005C629A">
        <w:t xml:space="preserve"> decision on 17 April 2014.</w:t>
      </w:r>
    </w:p>
    <w:p w14:paraId="4413AFB8" w14:textId="77777777" w:rsidR="00D16DEE" w:rsidRPr="00AF2C3C" w:rsidRDefault="00D16DEE" w:rsidP="001323C4">
      <w:pPr>
        <w:spacing w:after="120"/>
        <w:ind w:left="1134" w:right="1134"/>
        <w:jc w:val="both"/>
      </w:pPr>
      <w:r w:rsidRPr="00AF2C3C">
        <w:t>4.4</w:t>
      </w:r>
      <w:r w:rsidRPr="00AF2C3C">
        <w:tab/>
        <w:t xml:space="preserve">The State party </w:t>
      </w:r>
      <w:r w:rsidR="001323C4">
        <w:t>also</w:t>
      </w:r>
      <w:r w:rsidRPr="00AF2C3C">
        <w:t xml:space="preserve"> inform</w:t>
      </w:r>
      <w:r w:rsidR="007D2087">
        <w:t>ed</w:t>
      </w:r>
      <w:r w:rsidRPr="00AF2C3C">
        <w:t xml:space="preserve"> </w:t>
      </w:r>
      <w:r w:rsidR="001323C4">
        <w:t xml:space="preserve">the Committee </w:t>
      </w:r>
      <w:r w:rsidRPr="00AF2C3C">
        <w:t xml:space="preserve">that </w:t>
      </w:r>
      <w:r w:rsidR="0043359A" w:rsidRPr="005C629A">
        <w:t xml:space="preserve">the complainant </w:t>
      </w:r>
      <w:r w:rsidR="007D2087">
        <w:t>was</w:t>
      </w:r>
      <w:r w:rsidRPr="00AF2C3C">
        <w:t xml:space="preserve"> entitled to seek leave to apply to the Federal Court for judicial review of the </w:t>
      </w:r>
      <w:r w:rsidR="001323C4" w:rsidRPr="005C629A">
        <w:t>pre-removal risk assessment</w:t>
      </w:r>
      <w:r w:rsidRPr="00AF2C3C">
        <w:t xml:space="preserve"> decision and to seek a judicial stay of removal pending the Court’s decision on the leave application. In accordance with paragraph 72</w:t>
      </w:r>
      <w:r w:rsidR="00631FE9">
        <w:t xml:space="preserve"> </w:t>
      </w:r>
      <w:r w:rsidRPr="00AF2C3C">
        <w:t>(2)</w:t>
      </w:r>
      <w:r w:rsidR="00631FE9">
        <w:t xml:space="preserve"> </w:t>
      </w:r>
      <w:r w:rsidRPr="00AF2C3C">
        <w:t xml:space="preserve">(b) of the </w:t>
      </w:r>
      <w:r w:rsidRPr="006B5665">
        <w:rPr>
          <w:iCs/>
        </w:rPr>
        <w:t>Immigration and Refugee Protection Act</w:t>
      </w:r>
      <w:r w:rsidRPr="00AF2C3C">
        <w:t xml:space="preserve">, an application for leave must be filed in the Federal Court within 15 days after the day on which the applicant is notified of the </w:t>
      </w:r>
      <w:r w:rsidR="005972BD" w:rsidRPr="005C629A">
        <w:t>pre-removal risk assessment</w:t>
      </w:r>
      <w:r w:rsidR="005972BD">
        <w:t xml:space="preserve"> </w:t>
      </w:r>
      <w:r w:rsidRPr="00AF2C3C">
        <w:t>decision, or otherwise becomes aware of the matter.</w:t>
      </w:r>
    </w:p>
    <w:p w14:paraId="42490C45" w14:textId="77777777" w:rsidR="00D16DEE" w:rsidRPr="00AF2C3C" w:rsidRDefault="00D16DEE" w:rsidP="001323C4">
      <w:pPr>
        <w:spacing w:after="120"/>
        <w:ind w:left="1134" w:right="1134"/>
        <w:jc w:val="both"/>
      </w:pPr>
      <w:r w:rsidRPr="00AF2C3C">
        <w:t>4.5</w:t>
      </w:r>
      <w:r w:rsidRPr="00AF2C3C">
        <w:tab/>
      </w:r>
      <w:r w:rsidR="007D2087">
        <w:t xml:space="preserve">At the time </w:t>
      </w:r>
      <w:r w:rsidR="001323C4">
        <w:t>that</w:t>
      </w:r>
      <w:r w:rsidR="007D2087">
        <w:t xml:space="preserve"> the State party submitted its request for suspension</w:t>
      </w:r>
      <w:r w:rsidRPr="00AF2C3C">
        <w:t xml:space="preserve">, </w:t>
      </w:r>
      <w:r w:rsidR="0043359A" w:rsidRPr="005C629A">
        <w:t xml:space="preserve">the complainant </w:t>
      </w:r>
      <w:r w:rsidRPr="00AF2C3C">
        <w:t>ha</w:t>
      </w:r>
      <w:r w:rsidR="007D2087">
        <w:t>d</w:t>
      </w:r>
      <w:r w:rsidRPr="00AF2C3C">
        <w:t xml:space="preserve"> not </w:t>
      </w:r>
      <w:r w:rsidR="00A11D27">
        <w:t>yet</w:t>
      </w:r>
      <w:r w:rsidR="006238C3">
        <w:t xml:space="preserve"> </w:t>
      </w:r>
      <w:r w:rsidRPr="00AF2C3C">
        <w:t xml:space="preserve">applied to the Federal Court for leave to seek judicial review of the </w:t>
      </w:r>
      <w:r w:rsidR="001323C4" w:rsidRPr="005C629A">
        <w:t>pre-removal risk assessment</w:t>
      </w:r>
      <w:r w:rsidRPr="00AF2C3C">
        <w:t xml:space="preserve"> decision. The State party </w:t>
      </w:r>
      <w:r w:rsidR="001323C4">
        <w:t>indicated</w:t>
      </w:r>
      <w:r w:rsidRPr="00AF2C3C">
        <w:t xml:space="preserve"> that, in the absence of a Federal Court order for a stay following a negative determination, it </w:t>
      </w:r>
      <w:r w:rsidR="00A11D27">
        <w:t>could not</w:t>
      </w:r>
      <w:r w:rsidR="00A11D27" w:rsidRPr="00AF2C3C">
        <w:t xml:space="preserve"> </w:t>
      </w:r>
      <w:r w:rsidRPr="00AF2C3C">
        <w:t xml:space="preserve">be assumed that it </w:t>
      </w:r>
      <w:r w:rsidR="00A11D27">
        <w:t>would</w:t>
      </w:r>
      <w:r w:rsidR="00A11D27" w:rsidRPr="00AF2C3C">
        <w:t xml:space="preserve"> </w:t>
      </w:r>
      <w:r w:rsidRPr="00AF2C3C">
        <w:t xml:space="preserve">continue to defer the removal of </w:t>
      </w:r>
      <w:r w:rsidR="0043359A" w:rsidRPr="005C629A">
        <w:t>the complainant</w:t>
      </w:r>
      <w:r w:rsidRPr="00AF2C3C">
        <w:t xml:space="preserve">. </w:t>
      </w:r>
    </w:p>
    <w:p w14:paraId="07689886" w14:textId="77777777" w:rsidR="00D16DEE" w:rsidRPr="00D16DEE" w:rsidRDefault="00E960E7" w:rsidP="004F049C">
      <w:pPr>
        <w:pStyle w:val="H23G"/>
        <w:rPr>
          <w:snapToGrid w:val="0"/>
          <w:lang w:val="en-US"/>
        </w:rPr>
      </w:pPr>
      <w:r>
        <w:rPr>
          <w:snapToGrid w:val="0"/>
          <w:lang w:val="en-US"/>
        </w:rPr>
        <w:tab/>
      </w:r>
      <w:r>
        <w:rPr>
          <w:snapToGrid w:val="0"/>
          <w:lang w:val="en-US"/>
        </w:rPr>
        <w:tab/>
      </w:r>
      <w:r w:rsidR="00D16DEE" w:rsidRPr="00D16DEE">
        <w:rPr>
          <w:snapToGrid w:val="0"/>
          <w:lang w:val="en-US"/>
        </w:rPr>
        <w:t xml:space="preserve">State party’s observations on admissibility and </w:t>
      </w:r>
      <w:r w:rsidR="00D05A61">
        <w:rPr>
          <w:snapToGrid w:val="0"/>
          <w:lang w:val="en-US"/>
        </w:rPr>
        <w:t xml:space="preserve">the </w:t>
      </w:r>
      <w:r w:rsidR="00D16DEE" w:rsidRPr="00D16DEE">
        <w:rPr>
          <w:snapToGrid w:val="0"/>
          <w:lang w:val="en-US"/>
        </w:rPr>
        <w:t>merits</w:t>
      </w:r>
    </w:p>
    <w:p w14:paraId="52AFFDE8" w14:textId="77777777" w:rsidR="00D16DEE" w:rsidRPr="00D16DEE" w:rsidRDefault="00D16DEE" w:rsidP="001D2EE2">
      <w:pPr>
        <w:pStyle w:val="SingleTxtG"/>
      </w:pPr>
      <w:r w:rsidRPr="00D16DEE">
        <w:rPr>
          <w:snapToGrid w:val="0"/>
        </w:rPr>
        <w:t>5.1</w:t>
      </w:r>
      <w:r w:rsidRPr="00D16DEE">
        <w:rPr>
          <w:snapToGrid w:val="0"/>
        </w:rPr>
        <w:tab/>
        <w:t xml:space="preserve">On 26 June and 25 August 2014, the State party requested the Committee to lift interim measures and submitted its observations on admissibility and </w:t>
      </w:r>
      <w:r w:rsidR="008D7F09">
        <w:rPr>
          <w:snapToGrid w:val="0"/>
        </w:rPr>
        <w:t xml:space="preserve">the </w:t>
      </w:r>
      <w:r w:rsidRPr="00D16DEE">
        <w:rPr>
          <w:snapToGrid w:val="0"/>
        </w:rPr>
        <w:t xml:space="preserve">merits of the communication. </w:t>
      </w:r>
      <w:r w:rsidRPr="00D16DEE">
        <w:t>It consider</w:t>
      </w:r>
      <w:r w:rsidR="006A48F4">
        <w:t>ed</w:t>
      </w:r>
      <w:r w:rsidRPr="00D16DEE">
        <w:t xml:space="preserve"> that the Federal Court decision </w:t>
      </w:r>
      <w:r w:rsidR="006A48F4">
        <w:t xml:space="preserve">issued on 23 July 2013 </w:t>
      </w:r>
      <w:r w:rsidRPr="00D16DEE">
        <w:t>deny</w:t>
      </w:r>
      <w:r w:rsidR="006A48F4">
        <w:t xml:space="preserve">ing </w:t>
      </w:r>
      <w:r w:rsidRPr="00D16DEE">
        <w:t xml:space="preserve">the complainant’s </w:t>
      </w:r>
      <w:r w:rsidR="006A48F4">
        <w:t xml:space="preserve">application for leave </w:t>
      </w:r>
      <w:r w:rsidR="007D2087">
        <w:t xml:space="preserve">to seek </w:t>
      </w:r>
      <w:r w:rsidR="005A789B">
        <w:t>judicial review of the decision</w:t>
      </w:r>
      <w:r w:rsidR="006A48F4">
        <w:t xml:space="preserve"> </w:t>
      </w:r>
      <w:r w:rsidR="005A789B">
        <w:t>rejecting</w:t>
      </w:r>
      <w:r w:rsidR="006A48F4">
        <w:t xml:space="preserve"> his </w:t>
      </w:r>
      <w:r w:rsidR="00FB1FDB" w:rsidRPr="005C629A">
        <w:t>pre-removal risk assessment</w:t>
      </w:r>
      <w:r w:rsidR="005A789B">
        <w:t xml:space="preserve"> issued</w:t>
      </w:r>
      <w:r w:rsidR="006A48F4">
        <w:t xml:space="preserve"> on 9 April 2014 </w:t>
      </w:r>
      <w:r w:rsidRPr="00D16DEE">
        <w:t>“reinforce</w:t>
      </w:r>
      <w:r w:rsidR="00823034">
        <w:t>d</w:t>
      </w:r>
      <w:r w:rsidRPr="00D16DEE">
        <w:t xml:space="preserve"> its position that there </w:t>
      </w:r>
      <w:r w:rsidR="00823034">
        <w:t>wa</w:t>
      </w:r>
      <w:r w:rsidRPr="00D16DEE">
        <w:t>s no evidence that the author would face a personal and real risk of torture in Uganda”</w:t>
      </w:r>
      <w:r w:rsidR="00FB1FDB">
        <w:t>.</w:t>
      </w:r>
      <w:r w:rsidRPr="00D16DEE">
        <w:t xml:space="preserve"> </w:t>
      </w:r>
    </w:p>
    <w:p w14:paraId="44AC9415" w14:textId="77777777" w:rsidR="00D16DEE" w:rsidRPr="00D16DEE" w:rsidRDefault="00D16DEE" w:rsidP="008317B6">
      <w:pPr>
        <w:pStyle w:val="SingleTxtG"/>
      </w:pPr>
      <w:r w:rsidRPr="00D16DEE">
        <w:t>5.2</w:t>
      </w:r>
      <w:r w:rsidRPr="00D16DEE">
        <w:tab/>
        <w:t>The State party reiterate</w:t>
      </w:r>
      <w:r w:rsidR="00603EDD">
        <w:t>d</w:t>
      </w:r>
      <w:r w:rsidRPr="00D16DEE">
        <w:t xml:space="preserve"> that the communication </w:t>
      </w:r>
      <w:r w:rsidR="00603EDD">
        <w:t>wa</w:t>
      </w:r>
      <w:r w:rsidRPr="00D16DEE">
        <w:t xml:space="preserve">s inadmissible </w:t>
      </w:r>
      <w:r w:rsidR="00FB1FDB">
        <w:t>on the ground that th</w:t>
      </w:r>
      <w:r w:rsidR="00BA5D12">
        <w:t>e</w:t>
      </w:r>
      <w:r w:rsidR="00FB1FDB">
        <w:t xml:space="preserve"> complainant had failed to </w:t>
      </w:r>
      <w:r w:rsidRPr="00D16DEE">
        <w:t xml:space="preserve">exhaust domestic remedies, </w:t>
      </w:r>
      <w:r w:rsidR="00FB1FDB">
        <w:t>as he had not</w:t>
      </w:r>
      <w:r w:rsidRPr="00D16DEE">
        <w:t xml:space="preserve"> file</w:t>
      </w:r>
      <w:r w:rsidR="00FB1FDB">
        <w:t>d</w:t>
      </w:r>
      <w:r w:rsidRPr="00D16DEE">
        <w:t xml:space="preserve"> a </w:t>
      </w:r>
      <w:r w:rsidR="001323C4">
        <w:t>h</w:t>
      </w:r>
      <w:r w:rsidRPr="00D16DEE">
        <w:t xml:space="preserve">umanitarian and </w:t>
      </w:r>
      <w:r w:rsidR="001323C4">
        <w:t>c</w:t>
      </w:r>
      <w:r w:rsidRPr="00D16DEE">
        <w:t>ompassionate application.</w:t>
      </w:r>
      <w:r>
        <w:rPr>
          <w:rStyle w:val="FootnoteReference"/>
        </w:rPr>
        <w:footnoteReference w:id="13"/>
      </w:r>
      <w:r w:rsidRPr="00D16DEE">
        <w:t xml:space="preserve"> A successful </w:t>
      </w:r>
      <w:r w:rsidR="001323C4">
        <w:t>h</w:t>
      </w:r>
      <w:r w:rsidR="001323C4" w:rsidRPr="00D16DEE">
        <w:t xml:space="preserve">umanitarian and </w:t>
      </w:r>
      <w:r w:rsidR="001323C4">
        <w:t>c</w:t>
      </w:r>
      <w:r w:rsidR="001323C4" w:rsidRPr="00D16DEE">
        <w:t>ompassionate</w:t>
      </w:r>
      <w:r w:rsidRPr="00D16DEE">
        <w:t xml:space="preserve"> application would allow the author to remain in Canada as a permanent resident. </w:t>
      </w:r>
    </w:p>
    <w:p w14:paraId="2BB9CB90" w14:textId="77777777" w:rsidR="00A82C83" w:rsidRPr="00A82C83" w:rsidRDefault="00D16DEE" w:rsidP="001D2EE2">
      <w:pPr>
        <w:spacing w:after="120"/>
        <w:ind w:left="1134" w:right="1134"/>
        <w:jc w:val="both"/>
        <w:rPr>
          <w:rStyle w:val="SingleTxtGChar"/>
        </w:rPr>
      </w:pPr>
      <w:r w:rsidRPr="00D16DEE">
        <w:t>5.3</w:t>
      </w:r>
      <w:r w:rsidRPr="00D16DEE">
        <w:tab/>
        <w:t xml:space="preserve">The State party considers that the communication is inadmissible because the complainant has failed to substantiate, even </w:t>
      </w:r>
      <w:r w:rsidR="00FB1FDB" w:rsidRPr="00D16DEE">
        <w:t xml:space="preserve">on </w:t>
      </w:r>
      <w:r w:rsidRPr="00D16DEE">
        <w:t xml:space="preserve">a </w:t>
      </w:r>
      <w:r w:rsidRPr="006B5665">
        <w:rPr>
          <w:iCs/>
        </w:rPr>
        <w:t>prima facie</w:t>
      </w:r>
      <w:r w:rsidRPr="00D16DEE">
        <w:t xml:space="preserve"> basis, that he faces a real and personal risk of torture in Uganda. The domestic authorities found that the complainant’s allegations were not credible or plausible with respect to central aspects of his claim. </w:t>
      </w:r>
      <w:r w:rsidR="0067266A">
        <w:t>The State party indicate</w:t>
      </w:r>
      <w:r w:rsidR="00A11D27">
        <w:t>s</w:t>
      </w:r>
      <w:r w:rsidR="0067266A">
        <w:t xml:space="preserve"> that t</w:t>
      </w:r>
      <w:r w:rsidRPr="00D16DEE">
        <w:t>he Committee has found that it is not within its scope of review to re</w:t>
      </w:r>
      <w:r w:rsidR="00603EDD">
        <w:t>-</w:t>
      </w:r>
      <w:r w:rsidRPr="00D16DEE">
        <w:t>evaluate findings of fact or credibility by domestic decision</w:t>
      </w:r>
      <w:r w:rsidR="00FB1FDB">
        <w:t xml:space="preserve"> </w:t>
      </w:r>
      <w:r w:rsidRPr="00D16DEE">
        <w:t>makers. In particular, the story of the complainant’s arrest and detention in 2007 for participating in a pro-gay protest is not credible. There are significant inconsistencies and contradictions in the complainant’s evidence and testimony with respect to th</w:t>
      </w:r>
      <w:r w:rsidR="00FB1FDB">
        <w:t>at</w:t>
      </w:r>
      <w:r w:rsidRPr="00D16DEE">
        <w:t xml:space="preserve"> element of the story. For instance, </w:t>
      </w:r>
      <w:r w:rsidR="00C1721F">
        <w:t xml:space="preserve">the </w:t>
      </w:r>
      <w:r w:rsidR="00D57D99">
        <w:t>complainant</w:t>
      </w:r>
      <w:r w:rsidR="00C1721F">
        <w:t xml:space="preserve"> stated </w:t>
      </w:r>
      <w:r w:rsidR="00C1721F" w:rsidRPr="00C1721F">
        <w:t xml:space="preserve">before the </w:t>
      </w:r>
      <w:r w:rsidR="00FB1FDB" w:rsidRPr="005C629A">
        <w:t>Refugee Protection Division</w:t>
      </w:r>
      <w:r w:rsidR="00C1721F" w:rsidRPr="00C1721F">
        <w:t xml:space="preserve"> </w:t>
      </w:r>
      <w:r w:rsidR="00C1721F">
        <w:t xml:space="preserve">that </w:t>
      </w:r>
      <w:r w:rsidR="00C1721F" w:rsidRPr="00D31DE9">
        <w:t>he was not able to remember the exact date of his participation in the demonstration</w:t>
      </w:r>
      <w:r w:rsidR="00C1721F" w:rsidRPr="00D66ED4">
        <w:t>; he speculated</w:t>
      </w:r>
      <w:r w:rsidR="00C1721F">
        <w:t xml:space="preserve"> that it should have been about three days before 17 August 2007.</w:t>
      </w:r>
      <w:r w:rsidR="0061721B">
        <w:t xml:space="preserve"> </w:t>
      </w:r>
      <w:r w:rsidR="00C1721F">
        <w:t>However, he could not pro</w:t>
      </w:r>
      <w:r w:rsidR="00FB1FDB">
        <w:t>ve</w:t>
      </w:r>
      <w:r w:rsidR="00C1721F">
        <w:t xml:space="preserve"> that the demonstration took place </w:t>
      </w:r>
      <w:r w:rsidR="00FB1FDB">
        <w:t xml:space="preserve">a </w:t>
      </w:r>
      <w:r w:rsidR="00C1721F">
        <w:t xml:space="preserve">few days before </w:t>
      </w:r>
      <w:r w:rsidR="00FB1FDB">
        <w:t>that date</w:t>
      </w:r>
      <w:r w:rsidR="00C1721F">
        <w:t xml:space="preserve">. Furthermore, </w:t>
      </w:r>
      <w:r w:rsidRPr="00D16DEE">
        <w:t xml:space="preserve">the release bond submitted by the complainant is dated 24 August 2007, a week after the day he claimed in his testimony before the </w:t>
      </w:r>
      <w:r w:rsidR="00FB1FDB" w:rsidRPr="005C629A">
        <w:t>Refugee Protection Division</w:t>
      </w:r>
      <w:r w:rsidRPr="00D16DEE">
        <w:t xml:space="preserve"> that he </w:t>
      </w:r>
      <w:r w:rsidR="00FB1FDB">
        <w:t>had been</w:t>
      </w:r>
      <w:r w:rsidRPr="00D16DEE">
        <w:t xml:space="preserve"> released</w:t>
      </w:r>
      <w:r w:rsidR="00FB1FDB">
        <w:t xml:space="preserve">, that is, </w:t>
      </w:r>
      <w:r w:rsidRPr="00D16DEE">
        <w:t xml:space="preserve">17 August 2007. There is also no mention of the complainant’s arrest and detention in </w:t>
      </w:r>
      <w:r w:rsidR="001D2EE2">
        <w:t>R.</w:t>
      </w:r>
      <w:r w:rsidR="001D2EE2" w:rsidRPr="00D16DEE">
        <w:t>M</w:t>
      </w:r>
      <w:r w:rsidR="001D2EE2">
        <w:t>.’s</w:t>
      </w:r>
      <w:r w:rsidRPr="00D16DEE">
        <w:t xml:space="preserve"> letter, despite the fact that, according to the complainant’s testimony, </w:t>
      </w:r>
      <w:r w:rsidR="009A5A0B">
        <w:t>R.</w:t>
      </w:r>
      <w:r w:rsidRPr="00D16DEE">
        <w:t>M</w:t>
      </w:r>
      <w:r w:rsidR="0043359A">
        <w:t>.</w:t>
      </w:r>
      <w:r w:rsidRPr="00D16DEE">
        <w:t xml:space="preserve"> assisted him after he was released by the police. There is no corroborative proof supporting the complainant’s claim that he was arrested, detained and tortured by the Ugandan authorities in August 2007. </w:t>
      </w:r>
      <w:r w:rsidR="00A11D27" w:rsidRPr="003A3A18">
        <w:t>T</w:t>
      </w:r>
      <w:r w:rsidR="00D57D99" w:rsidRPr="00D31DE9">
        <w:t>o support th</w:t>
      </w:r>
      <w:r w:rsidR="00FB1FDB">
        <w:t>at</w:t>
      </w:r>
      <w:r w:rsidR="00D57D99" w:rsidRPr="00D31DE9">
        <w:t xml:space="preserve"> affirmation, </w:t>
      </w:r>
      <w:r w:rsidR="00A11D27" w:rsidRPr="003A3A18">
        <w:t xml:space="preserve">the </w:t>
      </w:r>
      <w:r w:rsidR="00D31DE9">
        <w:t xml:space="preserve">complainant </w:t>
      </w:r>
      <w:r w:rsidR="00A11D27" w:rsidRPr="003A3A18">
        <w:t xml:space="preserve">provided </w:t>
      </w:r>
      <w:r w:rsidR="001D2EE2" w:rsidRPr="003A3A18">
        <w:t>only</w:t>
      </w:r>
      <w:r w:rsidR="001D2EE2">
        <w:t xml:space="preserve"> </w:t>
      </w:r>
      <w:r w:rsidR="00D57D99" w:rsidRPr="00D31DE9">
        <w:t>a medical report</w:t>
      </w:r>
      <w:r w:rsidR="00FB1FDB">
        <w:t>,</w:t>
      </w:r>
      <w:r w:rsidR="00D57D99" w:rsidRPr="00D31DE9">
        <w:t xml:space="preserve"> which was </w:t>
      </w:r>
      <w:r w:rsidR="00FB1FDB">
        <w:t>il</w:t>
      </w:r>
      <w:r w:rsidR="00D57D99" w:rsidRPr="00D31DE9">
        <w:t>legible</w:t>
      </w:r>
      <w:r w:rsidR="00FB1FDB">
        <w:t>,</w:t>
      </w:r>
      <w:r w:rsidR="00D57D99" w:rsidRPr="00D31DE9">
        <w:t xml:space="preserve"> and the above</w:t>
      </w:r>
      <w:r w:rsidR="00FB1FDB">
        <w:t>-</w:t>
      </w:r>
      <w:r w:rsidR="00D57D99" w:rsidRPr="00D31DE9">
        <w:t xml:space="preserve">mentioned release bond. </w:t>
      </w:r>
      <w:r w:rsidR="00FB1FDB">
        <w:t>Moreover,</w:t>
      </w:r>
      <w:r w:rsidR="00D57D99" w:rsidRPr="00D31DE9">
        <w:t xml:space="preserve"> the </w:t>
      </w:r>
      <w:r w:rsidR="00FB1FDB" w:rsidRPr="005C629A">
        <w:t>Refugee Protection Division</w:t>
      </w:r>
      <w:r w:rsidR="00D57D99" w:rsidRPr="00D31DE9">
        <w:t xml:space="preserve"> official </w:t>
      </w:r>
      <w:r w:rsidR="00FB1FDB">
        <w:t>found that</w:t>
      </w:r>
      <w:r w:rsidR="00D57D99" w:rsidRPr="00D31DE9">
        <w:t xml:space="preserve"> the medical re</w:t>
      </w:r>
      <w:r w:rsidR="00FB1FDB">
        <w:t>port</w:t>
      </w:r>
      <w:r w:rsidR="00D57D99" w:rsidRPr="00D31DE9">
        <w:t xml:space="preserve"> indicated that the complainant was attacked by anti-gay protestors, not by the police.</w:t>
      </w:r>
      <w:r w:rsidR="00130EA7">
        <w:t xml:space="preserve"> </w:t>
      </w:r>
      <w:r w:rsidRPr="00D16DEE">
        <w:t xml:space="preserve">In addition, the </w:t>
      </w:r>
      <w:r w:rsidR="00A11D27">
        <w:t xml:space="preserve">State party argues that the </w:t>
      </w:r>
      <w:r w:rsidRPr="00D16DEE">
        <w:t xml:space="preserve">complainant did not submit any recent documents to substantiate his allegation that he is currently at risk of being arrested and tortured by </w:t>
      </w:r>
      <w:r w:rsidR="004164D2">
        <w:t>th</w:t>
      </w:r>
      <w:r w:rsidR="005972BD">
        <w:t>e</w:t>
      </w:r>
      <w:r w:rsidR="004164D2">
        <w:t xml:space="preserve"> </w:t>
      </w:r>
      <w:r w:rsidRPr="00D16DEE">
        <w:t>Ugandan authorities. The most recent documents he submitted are dated within a month of the decision rejecting his claim for refugee protection in October 2012. The complainant did not provide even a recent letter from his family or from friends living in Uganda to attest to a</w:t>
      </w:r>
      <w:r w:rsidR="00A82C83">
        <w:t xml:space="preserve"> </w:t>
      </w:r>
      <w:r w:rsidR="00A82C83" w:rsidRPr="00A82C83">
        <w:rPr>
          <w:rStyle w:val="SingleTxtGChar"/>
        </w:rPr>
        <w:t>real and f</w:t>
      </w:r>
      <w:r w:rsidR="004164D2">
        <w:rPr>
          <w:rStyle w:val="SingleTxtGChar"/>
        </w:rPr>
        <w:t>uture</w:t>
      </w:r>
      <w:r w:rsidR="00A82C83" w:rsidRPr="00A82C83">
        <w:rPr>
          <w:rStyle w:val="SingleTxtGChar"/>
        </w:rPr>
        <w:t xml:space="preserve"> risk. </w:t>
      </w:r>
    </w:p>
    <w:p w14:paraId="11C3164D" w14:textId="77777777" w:rsidR="00A82C83" w:rsidRPr="00A82C83" w:rsidRDefault="00A82C83" w:rsidP="003F4762">
      <w:pPr>
        <w:pStyle w:val="SingleTxtG"/>
      </w:pPr>
      <w:r w:rsidRPr="00A82C83">
        <w:t>5.4</w:t>
      </w:r>
      <w:r w:rsidRPr="00A82C83">
        <w:tab/>
        <w:t>Regarding the new documentation submitted by the complainant before the Committee</w:t>
      </w:r>
      <w:r w:rsidR="004164D2">
        <w:t xml:space="preserve"> (see para. 2.8 above)</w:t>
      </w:r>
      <w:r w:rsidRPr="00A82C83">
        <w:t>, the State party notes that th</w:t>
      </w:r>
      <w:r w:rsidR="004164D2">
        <w:t>e same</w:t>
      </w:r>
      <w:r w:rsidRPr="00A82C83">
        <w:t xml:space="preserve"> documentation was also submitted in the </w:t>
      </w:r>
      <w:r w:rsidR="004164D2" w:rsidRPr="005C629A">
        <w:t>pre-removal risk assessment</w:t>
      </w:r>
      <w:r w:rsidRPr="00A82C83">
        <w:t xml:space="preserve"> application dated 11 March 2014, and was considered by </w:t>
      </w:r>
      <w:r w:rsidR="004164D2">
        <w:t xml:space="preserve">the </w:t>
      </w:r>
      <w:r w:rsidRPr="00A82C83">
        <w:t xml:space="preserve">domestic authorities. </w:t>
      </w:r>
      <w:r w:rsidRPr="00931C58">
        <w:t xml:space="preserve">The </w:t>
      </w:r>
      <w:r w:rsidR="004164D2">
        <w:t>assessment</w:t>
      </w:r>
      <w:r w:rsidRPr="00931C58">
        <w:t xml:space="preserve"> </w:t>
      </w:r>
      <w:r w:rsidR="004164D2">
        <w:t>o</w:t>
      </w:r>
      <w:r w:rsidRPr="00931C58">
        <w:t>fficer found that th</w:t>
      </w:r>
      <w:r w:rsidR="004164D2">
        <w:t>o</w:t>
      </w:r>
      <w:r w:rsidRPr="00931C58">
        <w:t xml:space="preserve">se documents should be given little weight because they </w:t>
      </w:r>
      <w:r w:rsidRPr="00BF6976">
        <w:t>were copies rather than original</w:t>
      </w:r>
      <w:r w:rsidR="004164D2">
        <w:t xml:space="preserve">s, </w:t>
      </w:r>
      <w:r w:rsidRPr="00BF6976">
        <w:t xml:space="preserve">contained critical typographical errors and were all dated within one month of the complainant’s receipt of his negative </w:t>
      </w:r>
      <w:r w:rsidR="004164D2" w:rsidRPr="005C629A">
        <w:t>Refugee Protection Division</w:t>
      </w:r>
      <w:r w:rsidRPr="00BF6976">
        <w:t xml:space="preserve"> decision on 19 October 2012.</w:t>
      </w:r>
      <w:r w:rsidR="004164D2">
        <w:t xml:space="preserve"> </w:t>
      </w:r>
      <w:r w:rsidRPr="00A82C83">
        <w:t xml:space="preserve">The complainant did not submit any more recent documents either in his </w:t>
      </w:r>
      <w:r w:rsidR="005972BD" w:rsidRPr="005C629A">
        <w:t xml:space="preserve">pre-removal risk </w:t>
      </w:r>
      <w:r w:rsidR="004164D2">
        <w:t>assessment</w:t>
      </w:r>
      <w:r w:rsidRPr="00A82C83">
        <w:t xml:space="preserve"> application or to the Committee. </w:t>
      </w:r>
    </w:p>
    <w:p w14:paraId="043B4A4A" w14:textId="77777777" w:rsidR="00A82C83" w:rsidRPr="00A82C83" w:rsidRDefault="00A82C83" w:rsidP="003F4762">
      <w:pPr>
        <w:pStyle w:val="SingleTxtG"/>
      </w:pPr>
      <w:r w:rsidRPr="00A82C83">
        <w:t>5.5</w:t>
      </w:r>
      <w:r w:rsidRPr="00A82C83">
        <w:tab/>
        <w:t>The State party submits that it is not plausible that the Ugandan authorities would be more interested in the complainant now than when he was still living in Uganda, and that if they were really concerned about him, they would not have released him after only a few days of detention in 2007, and would not have allowed him to leave the country in 2008. The complainant has not explained why the Ugandan authorities suddenly started actively look</w:t>
      </w:r>
      <w:r w:rsidR="003F4762">
        <w:t>ing</w:t>
      </w:r>
      <w:r w:rsidRPr="00A82C83">
        <w:t xml:space="preserve"> for him at the end of October 2012, two years after he had left the country and five years after he was allegedly arrested and released by the police in Kampala. The State party considers that it is simply not believable that the Ugandan authorities would continue to have an interest in him some five years after his initial arrest and release. Moreover, the complainant waited four months to make his claim for protection in Canada, a delay which is not compatible with a genuine fear of serious harm in another country.</w:t>
      </w:r>
    </w:p>
    <w:p w14:paraId="719DA2D7" w14:textId="77777777" w:rsidR="00A82C83" w:rsidRPr="00A82C83" w:rsidRDefault="00A82C83" w:rsidP="001D2EE2">
      <w:pPr>
        <w:pStyle w:val="SingleTxtG"/>
      </w:pPr>
      <w:r w:rsidRPr="00A82C83">
        <w:t>5.6</w:t>
      </w:r>
      <w:r w:rsidRPr="00A82C83">
        <w:tab/>
        <w:t xml:space="preserve">The State party refers to the significant discrepancies between the story told by the complainant at his </w:t>
      </w:r>
      <w:r w:rsidR="003F4762">
        <w:t>p</w:t>
      </w:r>
      <w:r w:rsidRPr="00A82C83">
        <w:t xml:space="preserve">ort of </w:t>
      </w:r>
      <w:r w:rsidR="003F4762">
        <w:t>e</w:t>
      </w:r>
      <w:r w:rsidRPr="00A82C83">
        <w:t xml:space="preserve">ntry interview and his testimony at the </w:t>
      </w:r>
      <w:r w:rsidR="003F4762" w:rsidRPr="005C629A">
        <w:t>Refugee Protection Division</w:t>
      </w:r>
      <w:r w:rsidRPr="00A82C83">
        <w:t xml:space="preserve"> hearing and </w:t>
      </w:r>
      <w:r w:rsidR="003F4762">
        <w:t>o</w:t>
      </w:r>
      <w:r w:rsidRPr="00A82C83">
        <w:t xml:space="preserve">n his </w:t>
      </w:r>
      <w:r w:rsidR="003F4762">
        <w:t>personal information form</w:t>
      </w:r>
      <w:r w:rsidRPr="00A82C83">
        <w:t xml:space="preserve">. For instance, in the interview at the </w:t>
      </w:r>
      <w:r w:rsidR="003F4762">
        <w:t>p</w:t>
      </w:r>
      <w:r w:rsidRPr="00A82C83">
        <w:t xml:space="preserve">ort of </w:t>
      </w:r>
      <w:r w:rsidR="003F4762">
        <w:t>e</w:t>
      </w:r>
      <w:r w:rsidRPr="00A82C83">
        <w:t xml:space="preserve">ntry, the complainant explained that his wife had left him because he had no money. However, </w:t>
      </w:r>
      <w:r w:rsidR="003F4762">
        <w:t>o</w:t>
      </w:r>
      <w:r w:rsidRPr="00A82C83">
        <w:t xml:space="preserve">n his </w:t>
      </w:r>
      <w:r w:rsidR="003F4762">
        <w:t>form</w:t>
      </w:r>
      <w:r w:rsidRPr="00A82C83">
        <w:t xml:space="preserve"> and at the hearing, the complainant explained that his wife left him when she became aware of his homosexuality. Moreover, in his </w:t>
      </w:r>
      <w:r w:rsidR="003F4762">
        <w:t>p</w:t>
      </w:r>
      <w:r w:rsidRPr="00A82C83">
        <w:t xml:space="preserve">ort of </w:t>
      </w:r>
      <w:r w:rsidR="003F4762">
        <w:t>e</w:t>
      </w:r>
      <w:r w:rsidRPr="00A82C83">
        <w:t xml:space="preserve">ntry interview, the complainant claimed that a newspaper had published pictures of him and other gay individuals in Kampala. However, when questioned at the hearing as to why he had not disclosed the pictures </w:t>
      </w:r>
      <w:r w:rsidR="003F4762">
        <w:t>t</w:t>
      </w:r>
      <w:r w:rsidRPr="00A82C83">
        <w:t>o the D</w:t>
      </w:r>
      <w:r w:rsidR="003F4762">
        <w:t>ivision</w:t>
      </w:r>
      <w:r w:rsidRPr="00A82C83">
        <w:t xml:space="preserve">, he claimed that his picture was not published in the newspaper, and he could not offer any credible explanation as to why he had said so at the interview. </w:t>
      </w:r>
    </w:p>
    <w:p w14:paraId="477D0785" w14:textId="77777777" w:rsidR="00A82C83" w:rsidRPr="005C629A" w:rsidRDefault="00A82C83">
      <w:pPr>
        <w:pStyle w:val="SingleTxtG"/>
      </w:pPr>
      <w:r w:rsidRPr="00A82C83">
        <w:t>5.</w:t>
      </w:r>
      <w:r w:rsidR="0055799C">
        <w:t>7</w:t>
      </w:r>
      <w:r w:rsidRPr="00A82C83">
        <w:tab/>
        <w:t xml:space="preserve">The State party considers that, while the situation of </w:t>
      </w:r>
      <w:r w:rsidR="004F049C">
        <w:t>l</w:t>
      </w:r>
      <w:r w:rsidR="004F049C" w:rsidRPr="005C629A">
        <w:t xml:space="preserve">esbian, </w:t>
      </w:r>
      <w:r w:rsidR="004F049C">
        <w:t>g</w:t>
      </w:r>
      <w:r w:rsidR="004F049C" w:rsidRPr="005C629A">
        <w:t xml:space="preserve">ay, </w:t>
      </w:r>
      <w:r w:rsidR="004F049C">
        <w:t>b</w:t>
      </w:r>
      <w:r w:rsidR="004F049C" w:rsidRPr="005C629A">
        <w:t>isexual</w:t>
      </w:r>
      <w:r w:rsidR="001D2EE2">
        <w:t>,</w:t>
      </w:r>
      <w:r w:rsidR="004F049C" w:rsidRPr="005C629A">
        <w:t xml:space="preserve"> </w:t>
      </w:r>
      <w:r w:rsidR="004F049C">
        <w:t>t</w:t>
      </w:r>
      <w:r w:rsidR="004F049C" w:rsidRPr="005C629A">
        <w:t xml:space="preserve">ransgender </w:t>
      </w:r>
      <w:r w:rsidR="004F049C">
        <w:t>and intersex</w:t>
      </w:r>
      <w:r w:rsidRPr="00A82C83">
        <w:t xml:space="preserve"> persons in Uganda is problematic and has worsened </w:t>
      </w:r>
      <w:r w:rsidR="009235B8">
        <w:t>as a result of</w:t>
      </w:r>
      <w:r w:rsidRPr="00A82C83">
        <w:t xml:space="preserve"> the new Anti-Homosexuality </w:t>
      </w:r>
      <w:r w:rsidR="001539CD">
        <w:t>Act</w:t>
      </w:r>
      <w:r w:rsidRPr="00A82C83">
        <w:t>, although there have been arrests in the past under section 145 of the Penal Code for homosexual acts in Uganda, thus far, there ha</w:t>
      </w:r>
      <w:r w:rsidR="009235B8">
        <w:t>ve</w:t>
      </w:r>
      <w:r w:rsidRPr="00A82C83">
        <w:t xml:space="preserve"> been </w:t>
      </w:r>
      <w:r w:rsidR="009235B8">
        <w:t>no</w:t>
      </w:r>
      <w:r w:rsidRPr="00A82C83">
        <w:t xml:space="preserve"> reported case</w:t>
      </w:r>
      <w:r w:rsidR="009235B8">
        <w:t>s</w:t>
      </w:r>
      <w:r w:rsidRPr="00A82C83">
        <w:t xml:space="preserve"> of conviction or prosecution under the new Law.</w:t>
      </w:r>
      <w:r>
        <w:rPr>
          <w:rStyle w:val="FootnoteReference"/>
        </w:rPr>
        <w:footnoteReference w:id="14"/>
      </w:r>
      <w:r w:rsidRPr="00A82C83">
        <w:t xml:space="preserve"> The State</w:t>
      </w:r>
      <w:r>
        <w:t xml:space="preserve"> </w:t>
      </w:r>
      <w:r w:rsidRPr="005C629A">
        <w:t xml:space="preserve">party submits that </w:t>
      </w:r>
      <w:r w:rsidR="00793FBB">
        <w:t>the</w:t>
      </w:r>
      <w:r w:rsidRPr="005C629A">
        <w:t xml:space="preserve"> </w:t>
      </w:r>
      <w:r w:rsidRPr="00426200">
        <w:t xml:space="preserve">criminalization of homosexuality </w:t>
      </w:r>
      <w:r w:rsidR="00793FBB" w:rsidRPr="00426200">
        <w:t xml:space="preserve">alone </w:t>
      </w:r>
      <w:r w:rsidRPr="00426200">
        <w:t xml:space="preserve">is </w:t>
      </w:r>
      <w:r w:rsidR="00793FBB" w:rsidRPr="00426200">
        <w:t xml:space="preserve">an </w:t>
      </w:r>
      <w:r w:rsidRPr="00426200">
        <w:t xml:space="preserve">insufficient ground </w:t>
      </w:r>
      <w:r w:rsidR="00793FBB" w:rsidRPr="00426200">
        <w:t xml:space="preserve">for </w:t>
      </w:r>
      <w:r w:rsidRPr="00426200">
        <w:t>a finding of a personal</w:t>
      </w:r>
      <w:r w:rsidRPr="005C629A">
        <w:t xml:space="preserve"> risk of torture. The State party refers to the Committee’s jurisprudence in </w:t>
      </w:r>
      <w:r w:rsidRPr="005C629A">
        <w:rPr>
          <w:i/>
        </w:rPr>
        <w:t>K.S.Y.</w:t>
      </w:r>
      <w:r w:rsidRPr="004F049C">
        <w:rPr>
          <w:i/>
          <w:iCs/>
        </w:rPr>
        <w:t xml:space="preserve"> v. </w:t>
      </w:r>
      <w:r w:rsidRPr="005C629A">
        <w:rPr>
          <w:i/>
        </w:rPr>
        <w:t>The Netherlands</w:t>
      </w:r>
      <w:r w:rsidRPr="005C629A">
        <w:t xml:space="preserve">, </w:t>
      </w:r>
      <w:r w:rsidR="00793FBB">
        <w:t xml:space="preserve">in </w:t>
      </w:r>
      <w:r w:rsidRPr="005C629A">
        <w:t>wh</w:t>
      </w:r>
      <w:r w:rsidR="00793FBB">
        <w:t>ich</w:t>
      </w:r>
      <w:r w:rsidRPr="005C629A">
        <w:t xml:space="preserve"> it found that the return of an individual claiming to be homosexual to Iran would not violate article 3 of the Convention, noting “a number of contradictions and inconsistencies in his account of past abuses at the hands of the Iranian authorities, as well as the fact that part of his account has not been adequately sub</w:t>
      </w:r>
      <w:r w:rsidR="00211DA5">
        <w:t>stantiated or lacks credibility</w:t>
      </w:r>
      <w:r w:rsidRPr="005C629A">
        <w:t>”</w:t>
      </w:r>
      <w:r w:rsidR="00211DA5">
        <w:t>.</w:t>
      </w:r>
      <w:r>
        <w:rPr>
          <w:rStyle w:val="FootnoteReference"/>
        </w:rPr>
        <w:footnoteReference w:id="15"/>
      </w:r>
      <w:r w:rsidRPr="005C629A">
        <w:t xml:space="preserve"> The State party distinguishes the complainant’s circumstances from those </w:t>
      </w:r>
      <w:r w:rsidR="005F218E">
        <w:t xml:space="preserve">of the complainant </w:t>
      </w:r>
      <w:r w:rsidRPr="005C629A">
        <w:t xml:space="preserve">in </w:t>
      </w:r>
      <w:r w:rsidRPr="005C629A">
        <w:rPr>
          <w:i/>
        </w:rPr>
        <w:t>Mondal</w:t>
      </w:r>
      <w:r w:rsidRPr="004F049C">
        <w:rPr>
          <w:i/>
          <w:iCs/>
        </w:rPr>
        <w:t xml:space="preserve"> v. </w:t>
      </w:r>
      <w:r w:rsidRPr="005C629A">
        <w:rPr>
          <w:i/>
        </w:rPr>
        <w:t>Sweden</w:t>
      </w:r>
      <w:r w:rsidRPr="005C629A">
        <w:t xml:space="preserve">, in which the Committee considered that the return </w:t>
      </w:r>
      <w:r w:rsidR="00CE54D0" w:rsidRPr="005C629A">
        <w:t>to Bangladesh</w:t>
      </w:r>
      <w:r w:rsidR="00CE54D0">
        <w:t xml:space="preserve"> </w:t>
      </w:r>
      <w:r w:rsidRPr="005C629A">
        <w:t>of an individual alleging to be homosexual</w:t>
      </w:r>
      <w:r w:rsidR="005F218E">
        <w:t xml:space="preserve"> </w:t>
      </w:r>
      <w:r w:rsidR="005F218E" w:rsidRPr="00590F79">
        <w:t>would constitute a breach of article 3 of the Convention</w:t>
      </w:r>
      <w:r w:rsidRPr="005C629A">
        <w:t xml:space="preserve">, because a death fatwa </w:t>
      </w:r>
      <w:r w:rsidR="005F218E">
        <w:t xml:space="preserve">had been </w:t>
      </w:r>
      <w:r w:rsidRPr="005C629A">
        <w:t xml:space="preserve">issued against him and </w:t>
      </w:r>
      <w:r w:rsidR="005F218E">
        <w:t xml:space="preserve">he </w:t>
      </w:r>
      <w:r w:rsidRPr="005C629A">
        <w:t>had provided credible evidence of past persecution and pursuit by the police.</w:t>
      </w:r>
      <w:r>
        <w:rPr>
          <w:rStyle w:val="FootnoteReference"/>
        </w:rPr>
        <w:footnoteReference w:id="16"/>
      </w:r>
      <w:r w:rsidRPr="005C629A">
        <w:t xml:space="preserve"> The general </w:t>
      </w:r>
      <w:r w:rsidR="005F218E" w:rsidRPr="005C629A">
        <w:t>situation</w:t>
      </w:r>
      <w:r w:rsidR="005F218E">
        <w:t xml:space="preserve"> of </w:t>
      </w:r>
      <w:r w:rsidRPr="005C629A">
        <w:t xml:space="preserve">human rights in Uganda is insufficient by itself to substantiate the complainant’s allegations that he would personally be at risk if returned there. </w:t>
      </w:r>
    </w:p>
    <w:p w14:paraId="22964512" w14:textId="77777777" w:rsidR="00A82C83" w:rsidRDefault="00A82C83" w:rsidP="00A82C83">
      <w:pPr>
        <w:pStyle w:val="SingleTxtG"/>
      </w:pPr>
      <w:r w:rsidRPr="005C629A">
        <w:t>5.</w:t>
      </w:r>
      <w:r w:rsidR="0055799C">
        <w:t>8</w:t>
      </w:r>
      <w:r w:rsidRPr="005C629A">
        <w:tab/>
        <w:t>The State party concludes that the application is unfounded and requests the Rapporteur for new complaints and interim measures to lift the interim measures.</w:t>
      </w:r>
    </w:p>
    <w:p w14:paraId="79E48F83" w14:textId="77777777" w:rsidR="00FE55DD" w:rsidRPr="00FE55DD" w:rsidRDefault="00E960E7" w:rsidP="004F049C">
      <w:pPr>
        <w:pStyle w:val="H23G"/>
        <w:rPr>
          <w:snapToGrid w:val="0"/>
        </w:rPr>
      </w:pPr>
      <w:r>
        <w:rPr>
          <w:snapToGrid w:val="0"/>
        </w:rPr>
        <w:tab/>
      </w:r>
      <w:r>
        <w:rPr>
          <w:snapToGrid w:val="0"/>
        </w:rPr>
        <w:tab/>
      </w:r>
      <w:r w:rsidR="00FE55DD" w:rsidRPr="00FE55DD">
        <w:rPr>
          <w:snapToGrid w:val="0"/>
        </w:rPr>
        <w:t xml:space="preserve">Complainant’s comments on the State party’s observations on admissibility and </w:t>
      </w:r>
      <w:r w:rsidR="00D05A61">
        <w:rPr>
          <w:snapToGrid w:val="0"/>
        </w:rPr>
        <w:t xml:space="preserve">the </w:t>
      </w:r>
      <w:r w:rsidR="00FE55DD" w:rsidRPr="00FE55DD">
        <w:rPr>
          <w:snapToGrid w:val="0"/>
        </w:rPr>
        <w:t>merits</w:t>
      </w:r>
    </w:p>
    <w:p w14:paraId="50629BD6" w14:textId="77777777" w:rsidR="00FE55DD" w:rsidRPr="00FE55DD" w:rsidRDefault="00FE55DD" w:rsidP="005F218E">
      <w:pPr>
        <w:pStyle w:val="SingleTxtG"/>
      </w:pPr>
      <w:r w:rsidRPr="00FE55DD">
        <w:t>6.1</w:t>
      </w:r>
      <w:r w:rsidRPr="00FE55DD">
        <w:tab/>
        <w:t xml:space="preserve">In his comments dated 22 September 2014, the complainant contests the State party’s assertion that he has not exhausted domestic remedies. He asserts that he was ineligible to file a </w:t>
      </w:r>
      <w:r w:rsidR="00793FBB">
        <w:t>humanitarian and compassionate</w:t>
      </w:r>
      <w:r w:rsidRPr="00FE55DD">
        <w:t xml:space="preserve"> application for a one-year period after 19 October 2012, and that his deportation was scheduled for 7 October 2013, before the one-year period expired. He maintains that he is still ineligible to file a </w:t>
      </w:r>
      <w:r w:rsidR="001323C4">
        <w:t>humanitarian and compassionate</w:t>
      </w:r>
      <w:r w:rsidRPr="00FE55DD">
        <w:t xml:space="preserve"> application because the first step of the </w:t>
      </w:r>
      <w:r w:rsidR="001323C4">
        <w:t>humanitarian and compassionate</w:t>
      </w:r>
      <w:r w:rsidRPr="00FE55DD">
        <w:t xml:space="preserve"> application process, which lasts 28 months, does not allow for a stay of removal. </w:t>
      </w:r>
      <w:r w:rsidR="005F218E">
        <w:t>Moreover, h</w:t>
      </w:r>
      <w:r w:rsidRPr="00FE55DD">
        <w:t xml:space="preserve">e </w:t>
      </w:r>
      <w:r w:rsidR="005F218E">
        <w:t>maintains</w:t>
      </w:r>
      <w:r w:rsidRPr="00FE55DD">
        <w:t xml:space="preserve"> that </w:t>
      </w:r>
      <w:r w:rsidRPr="00FE55DD">
        <w:rPr>
          <w:snapToGrid w:val="0"/>
        </w:rPr>
        <w:t xml:space="preserve">under </w:t>
      </w:r>
      <w:r w:rsidR="005F218E" w:rsidRPr="00FE55DD">
        <w:rPr>
          <w:snapToGrid w:val="0"/>
        </w:rPr>
        <w:t>the State party</w:t>
      </w:r>
      <w:r w:rsidR="005F218E">
        <w:rPr>
          <w:snapToGrid w:val="0"/>
        </w:rPr>
        <w:t>’s</w:t>
      </w:r>
      <w:r w:rsidRPr="00FE55DD">
        <w:rPr>
          <w:snapToGrid w:val="0"/>
        </w:rPr>
        <w:t xml:space="preserve"> current legislation, </w:t>
      </w:r>
      <w:r w:rsidR="005F218E" w:rsidRPr="00FE55DD">
        <w:rPr>
          <w:snapToGrid w:val="0"/>
        </w:rPr>
        <w:t>the Canadian Immigration authorities</w:t>
      </w:r>
      <w:r w:rsidR="005F218E">
        <w:rPr>
          <w:snapToGrid w:val="0"/>
        </w:rPr>
        <w:t xml:space="preserve"> are unable to take into consideration the</w:t>
      </w:r>
      <w:r w:rsidRPr="00FE55DD">
        <w:rPr>
          <w:snapToGrid w:val="0"/>
        </w:rPr>
        <w:t xml:space="preserve"> risk </w:t>
      </w:r>
      <w:r w:rsidR="005F218E">
        <w:rPr>
          <w:snapToGrid w:val="0"/>
        </w:rPr>
        <w:t>at which he would be if returned to</w:t>
      </w:r>
      <w:r w:rsidRPr="00FE55DD">
        <w:rPr>
          <w:snapToGrid w:val="0"/>
        </w:rPr>
        <w:t xml:space="preserve"> Uganda based on the fact that he is gay and that he is wanted by the Ugandan authorities</w:t>
      </w:r>
      <w:r w:rsidR="005F218E">
        <w:rPr>
          <w:snapToGrid w:val="0"/>
        </w:rPr>
        <w:t>. He therefore maintains</w:t>
      </w:r>
      <w:r w:rsidRPr="00FE55DD">
        <w:rPr>
          <w:snapToGrid w:val="0"/>
        </w:rPr>
        <w:t xml:space="preserve"> that his application under humanitarian and compassionate grounds would most certainly be rejected.</w:t>
      </w:r>
      <w:r>
        <w:rPr>
          <w:rStyle w:val="FootnoteReference"/>
          <w:snapToGrid w:val="0"/>
        </w:rPr>
        <w:footnoteReference w:id="17"/>
      </w:r>
    </w:p>
    <w:p w14:paraId="72013555" w14:textId="77777777" w:rsidR="000C2318" w:rsidRDefault="00FE55DD" w:rsidP="007F0C49">
      <w:pPr>
        <w:pStyle w:val="SingleTxtG"/>
        <w:rPr>
          <w:sz w:val="22"/>
          <w:szCs w:val="22"/>
        </w:rPr>
      </w:pPr>
      <w:r w:rsidRPr="00FE55DD">
        <w:t>6.2</w:t>
      </w:r>
      <w:r w:rsidRPr="00FE55DD">
        <w:tab/>
        <w:t xml:space="preserve">In additional comments dated 3 October 2014, the complainant expresses his disagreement with the State party’s comment that the decision of the Federal </w:t>
      </w:r>
      <w:r w:rsidR="00EE2E35">
        <w:t>C</w:t>
      </w:r>
      <w:r w:rsidRPr="00FE55DD">
        <w:t xml:space="preserve">ourt reinforces its position that there is no evidence that the complainant would face a personal and real risk of torture in Uganda. </w:t>
      </w:r>
      <w:r w:rsidR="00EE2E35">
        <w:t>H</w:t>
      </w:r>
      <w:r w:rsidRPr="00FE55DD">
        <w:t>e refers to the Committee’s jurisprudence according to which (a) judicial review of a negative refugee protection decision or the pre-removal risk assessment do not provide an effective remedy; and (b) “</w:t>
      </w:r>
      <w:r w:rsidR="007F0C49">
        <w:t>the State party</w:t>
      </w:r>
      <w:r w:rsidRPr="00FE55DD">
        <w:t xml:space="preserve"> should provide for judicial review of the merits, rather </w:t>
      </w:r>
      <w:r w:rsidR="007F0C49">
        <w:t xml:space="preserve">than </w:t>
      </w:r>
      <w:r w:rsidRPr="00FE55DD">
        <w:t>merely of the reasonableness, of decisions to expel an individual where there are substantial grounds for believing that the person faces a risk of torture”</w:t>
      </w:r>
      <w:r w:rsidR="007F0C49">
        <w:t>.</w:t>
      </w:r>
      <w:r w:rsidR="00EE2E35">
        <w:rPr>
          <w:rStyle w:val="FootnoteReference"/>
        </w:rPr>
        <w:footnoteReference w:id="18"/>
      </w:r>
      <w:r w:rsidR="0061721B">
        <w:t xml:space="preserve"> </w:t>
      </w:r>
      <w:r w:rsidRPr="00FE55DD">
        <w:t xml:space="preserve">The complainant argues that the Federal </w:t>
      </w:r>
      <w:r w:rsidR="00EE2E35">
        <w:t>C</w:t>
      </w:r>
      <w:r w:rsidRPr="00FE55DD">
        <w:t xml:space="preserve">ourt did not assess his case on its merits, refused to hear him, and that the same Federal </w:t>
      </w:r>
      <w:r w:rsidR="00EE2E35">
        <w:t xml:space="preserve">Court </w:t>
      </w:r>
      <w:r w:rsidRPr="00FE55DD">
        <w:t>judge rejected his judicial review application without giving any reasons in March 2013 and August 2014</w:t>
      </w:r>
      <w:r w:rsidRPr="00FE55DD">
        <w:rPr>
          <w:sz w:val="22"/>
          <w:szCs w:val="22"/>
        </w:rPr>
        <w:t>.</w:t>
      </w:r>
    </w:p>
    <w:p w14:paraId="336800DB" w14:textId="77777777" w:rsidR="00464DAE" w:rsidRPr="00464DAE" w:rsidRDefault="00E960E7" w:rsidP="00D05A61">
      <w:pPr>
        <w:pStyle w:val="H23G"/>
        <w:rPr>
          <w:snapToGrid w:val="0"/>
        </w:rPr>
      </w:pPr>
      <w:r>
        <w:rPr>
          <w:snapToGrid w:val="0"/>
        </w:rPr>
        <w:tab/>
      </w:r>
      <w:r>
        <w:rPr>
          <w:snapToGrid w:val="0"/>
        </w:rPr>
        <w:tab/>
      </w:r>
      <w:r w:rsidR="00D05A61" w:rsidRPr="00464DAE">
        <w:rPr>
          <w:snapToGrid w:val="0"/>
        </w:rPr>
        <w:t>State party</w:t>
      </w:r>
      <w:r w:rsidR="00D05A61">
        <w:rPr>
          <w:snapToGrid w:val="0"/>
        </w:rPr>
        <w:t>’s a</w:t>
      </w:r>
      <w:r w:rsidR="00464DAE" w:rsidRPr="00464DAE">
        <w:rPr>
          <w:snapToGrid w:val="0"/>
        </w:rPr>
        <w:t xml:space="preserve">dditional </w:t>
      </w:r>
      <w:r w:rsidR="00D05A61">
        <w:rPr>
          <w:snapToGrid w:val="0"/>
        </w:rPr>
        <w:t>observations</w:t>
      </w:r>
    </w:p>
    <w:p w14:paraId="37F59884" w14:textId="77777777" w:rsidR="00464DAE" w:rsidRPr="00464DAE" w:rsidRDefault="00464DAE" w:rsidP="00843521">
      <w:pPr>
        <w:pStyle w:val="SingleTxtG"/>
        <w:rPr>
          <w:snapToGrid w:val="0"/>
        </w:rPr>
      </w:pPr>
      <w:r w:rsidRPr="00464DAE">
        <w:rPr>
          <w:snapToGrid w:val="0"/>
        </w:rPr>
        <w:t>7.1</w:t>
      </w:r>
      <w:r w:rsidRPr="00464DAE">
        <w:rPr>
          <w:snapToGrid w:val="0"/>
        </w:rPr>
        <w:tab/>
      </w:r>
      <w:r w:rsidR="007F0C49">
        <w:rPr>
          <w:snapToGrid w:val="0"/>
        </w:rPr>
        <w:t>I</w:t>
      </w:r>
      <w:r w:rsidRPr="00464DAE">
        <w:rPr>
          <w:snapToGrid w:val="0"/>
        </w:rPr>
        <w:t xml:space="preserve">n </w:t>
      </w:r>
      <w:r w:rsidR="007F0C49">
        <w:rPr>
          <w:snapToGrid w:val="0"/>
        </w:rPr>
        <w:t xml:space="preserve">a submission dated </w:t>
      </w:r>
      <w:r w:rsidRPr="00464DAE">
        <w:rPr>
          <w:snapToGrid w:val="0"/>
        </w:rPr>
        <w:t xml:space="preserve">7 November 2014, the State party reiterates that the Federal </w:t>
      </w:r>
      <w:r w:rsidR="00EE2E35">
        <w:rPr>
          <w:snapToGrid w:val="0"/>
        </w:rPr>
        <w:t>C</w:t>
      </w:r>
      <w:r w:rsidRPr="00464DAE">
        <w:rPr>
          <w:snapToGrid w:val="0"/>
        </w:rPr>
        <w:t xml:space="preserve">ourt’s decision denying leave reinforces its position that there is no evidence that the author would face a personal and real risk of torture in Uganda, and that the author’s claim is inadmissible </w:t>
      </w:r>
      <w:r w:rsidR="00843521">
        <w:rPr>
          <w:snapToGrid w:val="0"/>
        </w:rPr>
        <w:t>on the ground of</w:t>
      </w:r>
      <w:r w:rsidRPr="00464DAE">
        <w:rPr>
          <w:snapToGrid w:val="0"/>
        </w:rPr>
        <w:t xml:space="preserve"> non-exhaustion of domestic remedies because he failed to apply for permanent residence on the basis of </w:t>
      </w:r>
      <w:r w:rsidR="001323C4">
        <w:rPr>
          <w:snapToGrid w:val="0"/>
        </w:rPr>
        <w:t>humanitarian and compassionate</w:t>
      </w:r>
      <w:r w:rsidRPr="00464DAE">
        <w:rPr>
          <w:snapToGrid w:val="0"/>
        </w:rPr>
        <w:t xml:space="preserve"> considerations.</w:t>
      </w:r>
    </w:p>
    <w:p w14:paraId="63E8DA51" w14:textId="77777777" w:rsidR="00464DAE" w:rsidRPr="00464DAE" w:rsidRDefault="00464DAE" w:rsidP="00712CA5">
      <w:pPr>
        <w:spacing w:after="120"/>
        <w:ind w:left="1134" w:right="1134"/>
        <w:jc w:val="both"/>
        <w:rPr>
          <w:rStyle w:val="SingleTxtGChar"/>
        </w:rPr>
      </w:pPr>
      <w:r w:rsidRPr="00AF2C3C">
        <w:rPr>
          <w:snapToGrid w:val="0"/>
        </w:rPr>
        <w:t>7</w:t>
      </w:r>
      <w:r w:rsidRPr="00814C63">
        <w:rPr>
          <w:rStyle w:val="SingleTxtGChar"/>
        </w:rPr>
        <w:t>.2</w:t>
      </w:r>
      <w:r w:rsidRPr="00464DAE">
        <w:rPr>
          <w:rStyle w:val="SingleTxtGChar"/>
        </w:rPr>
        <w:tab/>
        <w:t xml:space="preserve">The State party argues that a </w:t>
      </w:r>
      <w:r w:rsidR="001323C4">
        <w:rPr>
          <w:rStyle w:val="SingleTxtGChar"/>
        </w:rPr>
        <w:t>humanitarian and compassionate</w:t>
      </w:r>
      <w:r w:rsidRPr="00464DAE">
        <w:rPr>
          <w:rStyle w:val="SingleTxtGChar"/>
        </w:rPr>
        <w:t xml:space="preserve"> application consists of a broad, discretionary review by an officer to determine whether a person should be granted permanent residency in Canada for humanitarian and compassionate reasons. The test is whether the applicant would suffer unusual, undeserved or disproportionate hardship if he or she had to apply for a permanent resident visa from outside Canada, “according to the general rule”. The assessing officer</w:t>
      </w:r>
      <w:r w:rsidRPr="00464DAE">
        <w:rPr>
          <w:snapToGrid w:val="0"/>
          <w:sz w:val="22"/>
          <w:szCs w:val="22"/>
        </w:rPr>
        <w:t xml:space="preserve"> </w:t>
      </w:r>
      <w:r w:rsidRPr="00464DAE">
        <w:rPr>
          <w:rStyle w:val="SingleTxtGChar"/>
        </w:rPr>
        <w:t>considers all the relevant evidence and information, including the applicant’s written submissions.</w:t>
      </w:r>
    </w:p>
    <w:p w14:paraId="770C3182" w14:textId="77777777" w:rsidR="00464DAE" w:rsidRPr="00464DAE" w:rsidRDefault="00464DAE" w:rsidP="00843521">
      <w:pPr>
        <w:pStyle w:val="SingleTxtG"/>
        <w:rPr>
          <w:snapToGrid w:val="0"/>
        </w:rPr>
      </w:pPr>
      <w:r w:rsidRPr="00464DAE">
        <w:rPr>
          <w:snapToGrid w:val="0"/>
        </w:rPr>
        <w:t>7.3</w:t>
      </w:r>
      <w:r w:rsidRPr="00464DAE">
        <w:rPr>
          <w:snapToGrid w:val="0"/>
        </w:rPr>
        <w:tab/>
        <w:t xml:space="preserve">Until 2010, the </w:t>
      </w:r>
      <w:r w:rsidR="001323C4">
        <w:rPr>
          <w:snapToGrid w:val="0"/>
        </w:rPr>
        <w:t>humanitarian and compassionate</w:t>
      </w:r>
      <w:r w:rsidRPr="00464DAE">
        <w:rPr>
          <w:snapToGrid w:val="0"/>
        </w:rPr>
        <w:t xml:space="preserve"> consideration also included a risk component. Following the legislative reform of the refugee and protection system in 2012, </w:t>
      </w:r>
      <w:r w:rsidR="001323C4">
        <w:rPr>
          <w:snapToGrid w:val="0"/>
        </w:rPr>
        <w:t>humanitarian and compassionate</w:t>
      </w:r>
      <w:r w:rsidRPr="00464DAE">
        <w:rPr>
          <w:snapToGrid w:val="0"/>
        </w:rPr>
        <w:t xml:space="preserve"> applications are no longer based on risks assessed within the refugee determination or </w:t>
      </w:r>
      <w:r w:rsidR="00843521" w:rsidRPr="005C629A">
        <w:t>pre-removal risk assessment</w:t>
      </w:r>
      <w:r w:rsidRPr="00464DAE">
        <w:rPr>
          <w:snapToGrid w:val="0"/>
        </w:rPr>
        <w:t xml:space="preserve"> processes, such as </w:t>
      </w:r>
      <w:r w:rsidR="00843521">
        <w:rPr>
          <w:snapToGrid w:val="0"/>
        </w:rPr>
        <w:t xml:space="preserve">the </w:t>
      </w:r>
      <w:r w:rsidRPr="00464DAE">
        <w:rPr>
          <w:snapToGrid w:val="0"/>
        </w:rPr>
        <w:t>risk of torture. Nevertheless, hardship potentially faced by the applicants in their country of origin remains a relevant consideration. Examples of such hardship include a lack of critical medical or health care and adverse country conditions that have a direct, negative impact on the applicant, such as war, natural disasters, unfair treatment of minorities, political instability, lack of employment and widespread violence.</w:t>
      </w:r>
      <w:r>
        <w:rPr>
          <w:rStyle w:val="FootnoteReference"/>
          <w:snapToGrid w:val="0"/>
        </w:rPr>
        <w:footnoteReference w:id="19"/>
      </w:r>
      <w:r w:rsidRPr="00464DAE">
        <w:rPr>
          <w:snapToGrid w:val="0"/>
        </w:rPr>
        <w:t xml:space="preserve"> Decisions on </w:t>
      </w:r>
      <w:r w:rsidR="001323C4">
        <w:rPr>
          <w:snapToGrid w:val="0"/>
        </w:rPr>
        <w:t>humanitarian and compassionate</w:t>
      </w:r>
      <w:r w:rsidRPr="00464DAE">
        <w:rPr>
          <w:snapToGrid w:val="0"/>
        </w:rPr>
        <w:t xml:space="preserve"> applications are also reviewable, with leave, on judicial review by the Federal Court of Canada.</w:t>
      </w:r>
    </w:p>
    <w:p w14:paraId="29D4517F" w14:textId="77777777" w:rsidR="00464DAE" w:rsidRPr="00464DAE" w:rsidRDefault="00464DAE" w:rsidP="00843521">
      <w:pPr>
        <w:spacing w:after="120"/>
        <w:ind w:left="1134" w:right="1134"/>
        <w:jc w:val="both"/>
        <w:rPr>
          <w:snapToGrid w:val="0"/>
          <w:sz w:val="22"/>
          <w:szCs w:val="22"/>
        </w:rPr>
      </w:pPr>
      <w:r w:rsidRPr="00464DAE">
        <w:rPr>
          <w:rStyle w:val="SingleTxtGChar"/>
        </w:rPr>
        <w:t>7.4</w:t>
      </w:r>
      <w:r w:rsidRPr="00464DAE">
        <w:rPr>
          <w:rStyle w:val="SingleTxtGChar"/>
        </w:rPr>
        <w:tab/>
        <w:t>The State party in</w:t>
      </w:r>
      <w:r w:rsidR="00843521">
        <w:rPr>
          <w:rStyle w:val="SingleTxtGChar"/>
        </w:rPr>
        <w:t>dicates</w:t>
      </w:r>
      <w:r w:rsidRPr="00464DAE">
        <w:rPr>
          <w:rStyle w:val="SingleTxtGChar"/>
        </w:rPr>
        <w:t xml:space="preserve"> that</w:t>
      </w:r>
      <w:r w:rsidR="00843521">
        <w:rPr>
          <w:rStyle w:val="SingleTxtGChar"/>
        </w:rPr>
        <w:t>,</w:t>
      </w:r>
      <w:r w:rsidRPr="00464DAE">
        <w:rPr>
          <w:rStyle w:val="SingleTxtGChar"/>
        </w:rPr>
        <w:t xml:space="preserve"> subject to certain exceptions, applicants must wait twelve months from their last negative decision from the Immigration and Refugee Protection Board before submitting a </w:t>
      </w:r>
      <w:r w:rsidR="001323C4">
        <w:rPr>
          <w:rStyle w:val="SingleTxtGChar"/>
        </w:rPr>
        <w:t>humanitarian and compassionate</w:t>
      </w:r>
      <w:r w:rsidRPr="00464DAE">
        <w:rPr>
          <w:rStyle w:val="SingleTxtGChar"/>
        </w:rPr>
        <w:t xml:space="preserve"> application. In the present case, the Refugee Protection Division of the Immigration and Refugee Protection Board determined that the author was not a Convention refugee by </w:t>
      </w:r>
      <w:r w:rsidR="00843521">
        <w:rPr>
          <w:rStyle w:val="SingleTxtGChar"/>
        </w:rPr>
        <w:t xml:space="preserve">a </w:t>
      </w:r>
      <w:r w:rsidRPr="00464DAE">
        <w:rPr>
          <w:rStyle w:val="SingleTxtGChar"/>
        </w:rPr>
        <w:t xml:space="preserve">decision dated 19 October 2012. Therefore, the complainant has been able to apply for permanent residence on </w:t>
      </w:r>
      <w:r w:rsidR="001323C4">
        <w:rPr>
          <w:rStyle w:val="SingleTxtGChar"/>
        </w:rPr>
        <w:t>humanitarian and compassionate</w:t>
      </w:r>
      <w:r w:rsidRPr="00464DAE">
        <w:rPr>
          <w:rStyle w:val="SingleTxtGChar"/>
        </w:rPr>
        <w:t xml:space="preserve"> grounds since 19 October 2013. If the complainant were to apply </w:t>
      </w:r>
      <w:r w:rsidR="00843521">
        <w:rPr>
          <w:rStyle w:val="SingleTxtGChar"/>
        </w:rPr>
        <w:t xml:space="preserve">for </w:t>
      </w:r>
      <w:r w:rsidRPr="00464DAE">
        <w:rPr>
          <w:rStyle w:val="SingleTxtGChar"/>
        </w:rPr>
        <w:t>and be granted permanent residence on th</w:t>
      </w:r>
      <w:r w:rsidR="00843521">
        <w:rPr>
          <w:rStyle w:val="SingleTxtGChar"/>
        </w:rPr>
        <w:t>at</w:t>
      </w:r>
      <w:r w:rsidRPr="00464DAE">
        <w:rPr>
          <w:rStyle w:val="SingleTxtGChar"/>
        </w:rPr>
        <w:t xml:space="preserve"> basis, his complaint before the Committee would be rendered moot as the author would be able to remain in Canada. The State party refers to the jurisprudence of the Committee in </w:t>
      </w:r>
      <w:r w:rsidRPr="004F049C">
        <w:rPr>
          <w:rStyle w:val="SingleTxtGChar"/>
          <w:i/>
          <w:iCs/>
        </w:rPr>
        <w:t>P.S.S. v</w:t>
      </w:r>
      <w:r w:rsidR="00E960E7">
        <w:rPr>
          <w:rStyle w:val="SingleTxtGChar"/>
          <w:i/>
          <w:iCs/>
        </w:rPr>
        <w:t>.</w:t>
      </w:r>
      <w:r w:rsidRPr="004F049C">
        <w:rPr>
          <w:rStyle w:val="SingleTxtGChar"/>
          <w:i/>
          <w:iCs/>
        </w:rPr>
        <w:t xml:space="preserve"> Canada</w:t>
      </w:r>
      <w:r w:rsidRPr="00464DAE">
        <w:rPr>
          <w:rStyle w:val="SingleTxtGChar"/>
        </w:rPr>
        <w:t xml:space="preserve">, according to which the possibility of making an application for permanent residence on </w:t>
      </w:r>
      <w:r w:rsidR="001323C4">
        <w:rPr>
          <w:rStyle w:val="SingleTxtGChar"/>
        </w:rPr>
        <w:t>humanitarian and compassionate</w:t>
      </w:r>
      <w:r w:rsidRPr="00464DAE">
        <w:rPr>
          <w:rStyle w:val="SingleTxtGChar"/>
        </w:rPr>
        <w:t xml:space="preserve"> grounds was identified among the domestic remedies available to bring effective relief to the complainant, and where the Committee consequently found that the communication was inadmissible for failure to exhaust domestic remedies</w:t>
      </w:r>
      <w:r w:rsidRPr="00464DAE">
        <w:rPr>
          <w:snapToGrid w:val="0"/>
          <w:sz w:val="22"/>
          <w:szCs w:val="22"/>
        </w:rPr>
        <w:t>.</w:t>
      </w:r>
      <w:r w:rsidR="00F9266F">
        <w:rPr>
          <w:rStyle w:val="FootnoteReference"/>
          <w:snapToGrid w:val="0"/>
          <w:szCs w:val="22"/>
        </w:rPr>
        <w:footnoteReference w:id="20"/>
      </w:r>
    </w:p>
    <w:p w14:paraId="514745FC" w14:textId="77777777" w:rsidR="00464DAE" w:rsidRDefault="00464DAE" w:rsidP="00464DAE">
      <w:pPr>
        <w:pStyle w:val="SingleTxtG"/>
        <w:rPr>
          <w:snapToGrid w:val="0"/>
        </w:rPr>
      </w:pPr>
      <w:r w:rsidRPr="00464DAE">
        <w:rPr>
          <w:snapToGrid w:val="0"/>
        </w:rPr>
        <w:t xml:space="preserve">7.5 </w:t>
      </w:r>
      <w:r>
        <w:rPr>
          <w:snapToGrid w:val="0"/>
        </w:rPr>
        <w:tab/>
      </w:r>
      <w:r w:rsidRPr="00464DAE">
        <w:rPr>
          <w:snapToGrid w:val="0"/>
        </w:rPr>
        <w:t>The State party concludes that the communication should be held inadmissible or, should the Committee consider any part of the communication admissible, that it is wholly without merit.</w:t>
      </w:r>
    </w:p>
    <w:p w14:paraId="3654AE03" w14:textId="77777777" w:rsidR="007F1DA4" w:rsidRPr="007F1DA4" w:rsidRDefault="00DC175E" w:rsidP="006B5665">
      <w:pPr>
        <w:pStyle w:val="H23G"/>
        <w:spacing w:before="120"/>
        <w:rPr>
          <w:snapToGrid w:val="0"/>
        </w:rPr>
      </w:pPr>
      <w:r>
        <w:rPr>
          <w:snapToGrid w:val="0"/>
        </w:rPr>
        <w:tab/>
      </w:r>
      <w:r>
        <w:rPr>
          <w:snapToGrid w:val="0"/>
        </w:rPr>
        <w:tab/>
      </w:r>
      <w:r w:rsidR="000C641B">
        <w:rPr>
          <w:snapToGrid w:val="0"/>
        </w:rPr>
        <w:t>C</w:t>
      </w:r>
      <w:r w:rsidR="000C641B" w:rsidRPr="000C641B">
        <w:rPr>
          <w:snapToGrid w:val="0"/>
        </w:rPr>
        <w:t>omplainant</w:t>
      </w:r>
      <w:r w:rsidR="000C641B">
        <w:rPr>
          <w:snapToGrid w:val="0"/>
        </w:rPr>
        <w:t xml:space="preserve">’s </w:t>
      </w:r>
      <w:r w:rsidR="007F1DA4" w:rsidRPr="000C641B">
        <w:rPr>
          <w:snapToGrid w:val="0"/>
        </w:rPr>
        <w:t>comments o</w:t>
      </w:r>
      <w:r w:rsidR="000C641B">
        <w:rPr>
          <w:snapToGrid w:val="0"/>
        </w:rPr>
        <w:t>n</w:t>
      </w:r>
      <w:r w:rsidR="007F1DA4" w:rsidRPr="000C641B">
        <w:rPr>
          <w:snapToGrid w:val="0"/>
        </w:rPr>
        <w:t xml:space="preserve"> the State party’s </w:t>
      </w:r>
      <w:r w:rsidR="000C641B">
        <w:rPr>
          <w:snapToGrid w:val="0"/>
        </w:rPr>
        <w:t>a</w:t>
      </w:r>
      <w:r w:rsidR="000C641B" w:rsidRPr="000C641B">
        <w:rPr>
          <w:snapToGrid w:val="0"/>
        </w:rPr>
        <w:t xml:space="preserve">dditional </w:t>
      </w:r>
      <w:r w:rsidR="007F1DA4" w:rsidRPr="000C641B">
        <w:rPr>
          <w:snapToGrid w:val="0"/>
        </w:rPr>
        <w:t>observations</w:t>
      </w:r>
    </w:p>
    <w:p w14:paraId="69A47E48" w14:textId="77777777" w:rsidR="007F1DA4" w:rsidRPr="007F1DA4" w:rsidRDefault="007F1DA4" w:rsidP="00226100">
      <w:pPr>
        <w:pStyle w:val="SingleTxtG"/>
      </w:pPr>
      <w:r w:rsidRPr="007F1DA4">
        <w:rPr>
          <w:snapToGrid w:val="0"/>
        </w:rPr>
        <w:t>8.1</w:t>
      </w:r>
      <w:r w:rsidRPr="007F1DA4">
        <w:rPr>
          <w:snapToGrid w:val="0"/>
        </w:rPr>
        <w:tab/>
      </w:r>
      <w:r w:rsidR="00843521">
        <w:rPr>
          <w:snapToGrid w:val="0"/>
        </w:rPr>
        <w:t>In his</w:t>
      </w:r>
      <w:r w:rsidRPr="007F1DA4">
        <w:rPr>
          <w:snapToGrid w:val="0"/>
        </w:rPr>
        <w:t xml:space="preserve"> additional comments on </w:t>
      </w:r>
      <w:r w:rsidR="00843521">
        <w:rPr>
          <w:snapToGrid w:val="0"/>
        </w:rPr>
        <w:t xml:space="preserve">the </w:t>
      </w:r>
      <w:r w:rsidRPr="007F1DA4">
        <w:rPr>
          <w:snapToGrid w:val="0"/>
        </w:rPr>
        <w:t>State party’s observations</w:t>
      </w:r>
      <w:r w:rsidR="00843521">
        <w:rPr>
          <w:snapToGrid w:val="0"/>
        </w:rPr>
        <w:t>, dated</w:t>
      </w:r>
      <w:r w:rsidR="00843521" w:rsidRPr="007F1DA4">
        <w:rPr>
          <w:snapToGrid w:val="0"/>
        </w:rPr>
        <w:t xml:space="preserve"> 29 January 2015</w:t>
      </w:r>
      <w:r w:rsidR="00843521">
        <w:rPr>
          <w:snapToGrid w:val="0"/>
        </w:rPr>
        <w:t>, the complain</w:t>
      </w:r>
      <w:r w:rsidR="00226100">
        <w:rPr>
          <w:snapToGrid w:val="0"/>
        </w:rPr>
        <w:t>a</w:t>
      </w:r>
      <w:r w:rsidR="00843521">
        <w:rPr>
          <w:snapToGrid w:val="0"/>
        </w:rPr>
        <w:t>nt</w:t>
      </w:r>
      <w:r w:rsidRPr="007F1DA4">
        <w:rPr>
          <w:snapToGrid w:val="0"/>
        </w:rPr>
        <w:t xml:space="preserve"> reiterat</w:t>
      </w:r>
      <w:r w:rsidR="00843521">
        <w:rPr>
          <w:snapToGrid w:val="0"/>
        </w:rPr>
        <w:t>es</w:t>
      </w:r>
      <w:r w:rsidRPr="007F1DA4">
        <w:rPr>
          <w:snapToGrid w:val="0"/>
        </w:rPr>
        <w:t xml:space="preserve"> the arguments presented in his previous submissions</w:t>
      </w:r>
      <w:r w:rsidR="00226100">
        <w:rPr>
          <w:snapToGrid w:val="0"/>
        </w:rPr>
        <w:t xml:space="preserve"> and</w:t>
      </w:r>
      <w:r w:rsidRPr="007F1DA4">
        <w:rPr>
          <w:snapToGrid w:val="0"/>
        </w:rPr>
        <w:t xml:space="preserve"> refers to the Committee’s jurisprudence according to which </w:t>
      </w:r>
      <w:r w:rsidR="001323C4">
        <w:rPr>
          <w:snapToGrid w:val="0"/>
        </w:rPr>
        <w:t>humanitarian and compassionate</w:t>
      </w:r>
      <w:r w:rsidRPr="007F1DA4">
        <w:rPr>
          <w:snapToGrid w:val="0"/>
        </w:rPr>
        <w:t xml:space="preserve"> applications are not remedies that must be exhausted for the purpose of admissibility.</w:t>
      </w:r>
      <w:r>
        <w:rPr>
          <w:rStyle w:val="FootnoteReference"/>
          <w:snapToGrid w:val="0"/>
          <w:szCs w:val="22"/>
        </w:rPr>
        <w:footnoteReference w:id="21"/>
      </w:r>
      <w:r w:rsidRPr="007F1DA4">
        <w:rPr>
          <w:snapToGrid w:val="0"/>
        </w:rPr>
        <w:t xml:space="preserve"> </w:t>
      </w:r>
    </w:p>
    <w:p w14:paraId="668D7E26" w14:textId="77777777" w:rsidR="007F1DA4" w:rsidRDefault="007F1DA4" w:rsidP="00226100">
      <w:pPr>
        <w:pStyle w:val="SingleTxtG"/>
        <w:rPr>
          <w:snapToGrid w:val="0"/>
        </w:rPr>
      </w:pPr>
      <w:r w:rsidRPr="007F1DA4">
        <w:rPr>
          <w:snapToGrid w:val="0"/>
        </w:rPr>
        <w:t>8.2</w:t>
      </w:r>
      <w:r w:rsidRPr="007F1DA4">
        <w:rPr>
          <w:snapToGrid w:val="0"/>
        </w:rPr>
        <w:tab/>
        <w:t xml:space="preserve">The author argues that the earliest date on which he could have </w:t>
      </w:r>
      <w:r w:rsidR="00226100">
        <w:rPr>
          <w:snapToGrid w:val="0"/>
        </w:rPr>
        <w:t>filed</w:t>
      </w:r>
      <w:r w:rsidRPr="007F1DA4">
        <w:rPr>
          <w:snapToGrid w:val="0"/>
        </w:rPr>
        <w:t xml:space="preserve"> a </w:t>
      </w:r>
      <w:r w:rsidR="001323C4">
        <w:rPr>
          <w:snapToGrid w:val="0"/>
        </w:rPr>
        <w:t>humanitarian and compassionate</w:t>
      </w:r>
      <w:r w:rsidRPr="007F1DA4">
        <w:rPr>
          <w:snapToGrid w:val="0"/>
        </w:rPr>
        <w:t xml:space="preserve"> application was after the date of his deportation to Uganda, which would have prevented him from applying. He adds that the </w:t>
      </w:r>
      <w:r w:rsidR="001323C4">
        <w:rPr>
          <w:snapToGrid w:val="0"/>
        </w:rPr>
        <w:t>humanitarian and compassionate</w:t>
      </w:r>
      <w:r w:rsidRPr="007F1DA4">
        <w:rPr>
          <w:snapToGrid w:val="0"/>
        </w:rPr>
        <w:t xml:space="preserve"> application is a two-step process, and that the first step takes approximately 28 months</w:t>
      </w:r>
      <w:r w:rsidR="00226100">
        <w:rPr>
          <w:snapToGrid w:val="0"/>
        </w:rPr>
        <w:t>,</w:t>
      </w:r>
      <w:r w:rsidRPr="007F1DA4">
        <w:rPr>
          <w:snapToGrid w:val="0"/>
        </w:rPr>
        <w:t xml:space="preserve"> during which there is no stay of removal. </w:t>
      </w:r>
    </w:p>
    <w:p w14:paraId="5D2D6A85" w14:textId="77777777" w:rsidR="007F1DA4" w:rsidRPr="007F1DA4" w:rsidRDefault="007F1DA4" w:rsidP="006B5665">
      <w:pPr>
        <w:pStyle w:val="H23G"/>
        <w:spacing w:before="120"/>
        <w:rPr>
          <w:rFonts w:eastAsia="Cambria"/>
          <w:snapToGrid w:val="0"/>
        </w:rPr>
      </w:pPr>
      <w:r>
        <w:rPr>
          <w:snapToGrid w:val="0"/>
        </w:rPr>
        <w:tab/>
      </w:r>
      <w:r>
        <w:rPr>
          <w:snapToGrid w:val="0"/>
        </w:rPr>
        <w:tab/>
      </w:r>
      <w:r w:rsidRPr="007F1DA4">
        <w:rPr>
          <w:rFonts w:eastAsia="Cambria"/>
          <w:snapToGrid w:val="0"/>
        </w:rPr>
        <w:t>Issues and proceedings before the Committee</w:t>
      </w:r>
    </w:p>
    <w:p w14:paraId="325C4DAE" w14:textId="77777777" w:rsidR="007F1DA4" w:rsidRPr="007F1DA4" w:rsidRDefault="00DC175E" w:rsidP="00712CA5">
      <w:pPr>
        <w:pStyle w:val="H4G"/>
        <w:rPr>
          <w:sz w:val="22"/>
          <w:szCs w:val="22"/>
        </w:rPr>
      </w:pPr>
      <w:r>
        <w:tab/>
      </w:r>
      <w:r>
        <w:tab/>
      </w:r>
      <w:r w:rsidR="007F1DA4" w:rsidRPr="007F1DA4">
        <w:t>Consideration of admissibility</w:t>
      </w:r>
    </w:p>
    <w:p w14:paraId="1A1CCC21" w14:textId="77777777" w:rsidR="007F1DA4" w:rsidRPr="007F1DA4" w:rsidRDefault="007F1DA4" w:rsidP="000C641B">
      <w:pPr>
        <w:pStyle w:val="SingleTxtG"/>
      </w:pPr>
      <w:r w:rsidRPr="007F1DA4">
        <w:t>9.1</w:t>
      </w:r>
      <w:r w:rsidRPr="007F1DA4">
        <w:tab/>
        <w:t xml:space="preserve">Before considering any claim </w:t>
      </w:r>
      <w:r w:rsidR="000C641B">
        <w:t>submitted</w:t>
      </w:r>
      <w:r w:rsidRPr="007F1DA4">
        <w:t xml:space="preserve"> in a communication, the Committee must decide whether it is admissible under article 22 of the Convention.</w:t>
      </w:r>
      <w:r w:rsidR="0061721B">
        <w:t xml:space="preserve"> </w:t>
      </w:r>
      <w:r w:rsidRPr="007F1DA4">
        <w:t xml:space="preserve">The Committee has ascertained, as it is required to do under article 22 </w:t>
      </w:r>
      <w:r w:rsidR="000C641B">
        <w:t>(</w:t>
      </w:r>
      <w:r w:rsidRPr="007F1DA4">
        <w:t>5</w:t>
      </w:r>
      <w:r w:rsidR="000C641B">
        <w:t>)</w:t>
      </w:r>
      <w:r w:rsidRPr="007F1DA4">
        <w:t xml:space="preserve"> (a) of the Convention</w:t>
      </w:r>
      <w:r w:rsidR="000C641B">
        <w:t>,</w:t>
      </w:r>
      <w:r w:rsidRPr="007F1DA4">
        <w:t xml:space="preserve"> that the same matter has not been and is not being examined under another procedure of international investigation or settlement. </w:t>
      </w:r>
    </w:p>
    <w:p w14:paraId="5DCFBF24" w14:textId="77777777" w:rsidR="007F1DA4" w:rsidRPr="007F1DA4" w:rsidRDefault="007F1DA4" w:rsidP="00712CA5">
      <w:pPr>
        <w:spacing w:after="120"/>
        <w:ind w:left="1134" w:right="1134"/>
        <w:jc w:val="both"/>
        <w:rPr>
          <w:sz w:val="22"/>
          <w:szCs w:val="22"/>
        </w:rPr>
      </w:pPr>
      <w:r w:rsidRPr="007F1DA4">
        <w:t>9.2</w:t>
      </w:r>
      <w:r w:rsidRPr="007F1DA4">
        <w:tab/>
      </w:r>
      <w:r w:rsidR="008D22B8" w:rsidRPr="00C3638E">
        <w:t>The Committee notes that the complainant</w:t>
      </w:r>
      <w:r w:rsidR="00D53353" w:rsidRPr="00C3638E">
        <w:t xml:space="preserve">’s application for leave seeking judicial review of the </w:t>
      </w:r>
      <w:r w:rsidR="00843521" w:rsidRPr="00C3638E">
        <w:t>pre-removal risk assessment</w:t>
      </w:r>
      <w:r w:rsidR="00226100" w:rsidRPr="00C3638E">
        <w:t>,</w:t>
      </w:r>
      <w:r w:rsidR="00843521" w:rsidRPr="00C3638E">
        <w:t xml:space="preserve"> </w:t>
      </w:r>
      <w:r w:rsidR="00D53353" w:rsidRPr="00C3638E">
        <w:t>issued on 9 April 2014</w:t>
      </w:r>
      <w:r w:rsidR="00226100" w:rsidRPr="00C3638E">
        <w:t>,</w:t>
      </w:r>
      <w:r w:rsidR="00D53353" w:rsidRPr="00C3638E">
        <w:t xml:space="preserve"> was rejected by the</w:t>
      </w:r>
      <w:r w:rsidR="00D53353">
        <w:t xml:space="preserve"> Federal Court</w:t>
      </w:r>
      <w:r w:rsidR="00D53353" w:rsidRPr="00D53353">
        <w:t xml:space="preserve"> </w:t>
      </w:r>
      <w:r w:rsidR="00D53353">
        <w:t>on 23 July 2014. The Committee also notes</w:t>
      </w:r>
      <w:r w:rsidR="00EA46D2">
        <w:t xml:space="preserve"> that,</w:t>
      </w:r>
      <w:r w:rsidR="00EA46D2" w:rsidRPr="00521AD7">
        <w:t xml:space="preserve"> </w:t>
      </w:r>
      <w:r w:rsidR="00EA46D2">
        <w:t>after the Federal Court issued its decision,</w:t>
      </w:r>
      <w:r w:rsidR="00D53353">
        <w:t xml:space="preserve"> the State party </w:t>
      </w:r>
      <w:r w:rsidR="00521AD7">
        <w:t>deci</w:t>
      </w:r>
      <w:r w:rsidR="00EA46D2">
        <w:t>ded</w:t>
      </w:r>
      <w:r w:rsidR="00521AD7" w:rsidRPr="00521AD7">
        <w:t xml:space="preserve"> to withdraw </w:t>
      </w:r>
      <w:r w:rsidR="008317B6">
        <w:t>the</w:t>
      </w:r>
      <w:r w:rsidR="00C3638E">
        <w:t xml:space="preserve"> claim of </w:t>
      </w:r>
      <w:r w:rsidR="00521AD7" w:rsidRPr="00521AD7">
        <w:t xml:space="preserve">inadmissibility </w:t>
      </w:r>
      <w:r w:rsidR="008317B6">
        <w:t xml:space="preserve">that it had made </w:t>
      </w:r>
      <w:r w:rsidR="00BC7875">
        <w:t>on the ground that</w:t>
      </w:r>
      <w:r w:rsidR="00521AD7" w:rsidRPr="00521AD7">
        <w:t xml:space="preserve"> the </w:t>
      </w:r>
      <w:r w:rsidR="00843521" w:rsidRPr="005C629A">
        <w:t>pre-removal risk assessment</w:t>
      </w:r>
      <w:r w:rsidR="00521AD7" w:rsidRPr="00521AD7">
        <w:t xml:space="preserve"> </w:t>
      </w:r>
      <w:r w:rsidR="00BC7875">
        <w:t>was</w:t>
      </w:r>
      <w:r w:rsidR="00521AD7" w:rsidRPr="00521AD7">
        <w:t xml:space="preserve"> pending review by the Federal Court</w:t>
      </w:r>
      <w:r w:rsidR="00521AD7">
        <w:t>.</w:t>
      </w:r>
      <w:r w:rsidR="0061721B">
        <w:t xml:space="preserve"> </w:t>
      </w:r>
      <w:r w:rsidRPr="007F1DA4">
        <w:t xml:space="preserve">The Committee </w:t>
      </w:r>
      <w:r w:rsidR="00C3638E">
        <w:t>further</w:t>
      </w:r>
      <w:r w:rsidR="005038F3">
        <w:t xml:space="preserve"> </w:t>
      </w:r>
      <w:r w:rsidRPr="007F1DA4">
        <w:t xml:space="preserve">notes the State party’s argument that the complainant failed to apply for </w:t>
      </w:r>
      <w:r w:rsidRPr="007F1DA4">
        <w:rPr>
          <w:snapToGrid w:val="0"/>
        </w:rPr>
        <w:t xml:space="preserve">permanent residence on the basis of </w:t>
      </w:r>
      <w:r w:rsidR="001323C4">
        <w:rPr>
          <w:snapToGrid w:val="0"/>
        </w:rPr>
        <w:t>humanitarian and compassionate</w:t>
      </w:r>
      <w:r w:rsidRPr="007F1DA4">
        <w:rPr>
          <w:snapToGrid w:val="0"/>
        </w:rPr>
        <w:t xml:space="preserve"> considerations, and that his complaint is therefore inadmissible </w:t>
      </w:r>
      <w:r w:rsidRPr="007F1DA4">
        <w:t xml:space="preserve">for </w:t>
      </w:r>
      <w:r w:rsidR="00161E2D">
        <w:t>failure to</w:t>
      </w:r>
      <w:r w:rsidRPr="007F1DA4">
        <w:t xml:space="preserve"> exhaust domestic remedies. With regard to the State party’s observations concerning the effectiveness of th</w:t>
      </w:r>
      <w:r w:rsidR="00161E2D">
        <w:t>at</w:t>
      </w:r>
      <w:r w:rsidRPr="007F1DA4">
        <w:t xml:space="preserve"> remedy, the Committee recalls its jurisprudence </w:t>
      </w:r>
      <w:r w:rsidRPr="007F1DA4">
        <w:rPr>
          <w:snapToGrid w:val="0"/>
        </w:rPr>
        <w:t>according</w:t>
      </w:r>
      <w:r w:rsidRPr="007F1DA4">
        <w:t xml:space="preserve"> to which, although the right to assistance on humanitarian grounds may be a remedy under the law, such assistance is granted by a minister on purely humanitarian grounds, rather than on a legal basis, and is thus ex gratia in nature. The Committee has also observed that when an application for judicial review is approved, the Federal Court returns the file to the body that took the original decision or to another decision-making body and does not itself conduct the review of the case or hand down any decision.</w:t>
      </w:r>
      <w:r>
        <w:rPr>
          <w:rStyle w:val="FootnoteReference"/>
        </w:rPr>
        <w:footnoteReference w:id="22"/>
      </w:r>
      <w:r w:rsidRPr="007F1DA4">
        <w:t xml:space="preserve"> Rather, the decision depends on the discretionary authority of a minister and, thus, of the executive. Based on th</w:t>
      </w:r>
      <w:r w:rsidR="00EA46D2">
        <w:t>o</w:t>
      </w:r>
      <w:r w:rsidRPr="007F1DA4">
        <w:t>se considerations, the Committee concludes that, in</w:t>
      </w:r>
      <w:r>
        <w:t xml:space="preserve"> </w:t>
      </w:r>
      <w:r w:rsidRPr="003A3A18">
        <w:t>the present case, the possible failure to exhaust th</w:t>
      </w:r>
      <w:r w:rsidR="00EA46D2">
        <w:t>at</w:t>
      </w:r>
      <w:r w:rsidRPr="003A3A18">
        <w:t xml:space="preserve"> remedy does not constitute an obstacle to the admissibility of the complaint</w:t>
      </w:r>
      <w:r w:rsidRPr="007F1DA4">
        <w:rPr>
          <w:sz w:val="22"/>
          <w:szCs w:val="22"/>
        </w:rPr>
        <w:t>.</w:t>
      </w:r>
      <w:r>
        <w:rPr>
          <w:rStyle w:val="FootnoteReference"/>
          <w:szCs w:val="22"/>
        </w:rPr>
        <w:footnoteReference w:id="23"/>
      </w:r>
    </w:p>
    <w:p w14:paraId="05E4A7EA" w14:textId="77777777" w:rsidR="007F1DA4" w:rsidRPr="007F1DA4" w:rsidRDefault="007F1DA4" w:rsidP="006B5665">
      <w:pPr>
        <w:pStyle w:val="SingleTxtG"/>
      </w:pPr>
      <w:r w:rsidRPr="007F1DA4">
        <w:t>9.3</w:t>
      </w:r>
      <w:r w:rsidRPr="007F1DA4">
        <w:tab/>
      </w:r>
      <w:r w:rsidRPr="007F1DA4">
        <w:rPr>
          <w:lang w:eastAsia="en-GB"/>
        </w:rPr>
        <w:t xml:space="preserve">The State party submits that the complaint is inadmissible as manifestly unfounded. The Committee considers, however, that the arguments put forward by the complainant raise substantive issues </w:t>
      </w:r>
      <w:r w:rsidR="00001E84">
        <w:rPr>
          <w:lang w:eastAsia="en-GB"/>
        </w:rPr>
        <w:t>that</w:t>
      </w:r>
      <w:r w:rsidRPr="007F1DA4">
        <w:rPr>
          <w:lang w:eastAsia="en-GB"/>
        </w:rPr>
        <w:t xml:space="preserve"> should be dealt with on the merits. Accordingly, the Committee finds no obstacles to the admissibility and declares the communication admissible. </w:t>
      </w:r>
    </w:p>
    <w:p w14:paraId="300A7BB3" w14:textId="77777777" w:rsidR="007F1DA4" w:rsidRPr="008354A6" w:rsidRDefault="00AC63A7" w:rsidP="008317B6">
      <w:pPr>
        <w:pStyle w:val="H4G"/>
        <w:rPr>
          <w:lang w:eastAsia="en-GB"/>
        </w:rPr>
      </w:pPr>
      <w:r>
        <w:rPr>
          <w:lang w:eastAsia="en-GB"/>
        </w:rPr>
        <w:tab/>
      </w:r>
      <w:r>
        <w:rPr>
          <w:lang w:eastAsia="en-GB"/>
        </w:rPr>
        <w:tab/>
      </w:r>
      <w:r w:rsidR="007F1DA4" w:rsidRPr="008354A6">
        <w:rPr>
          <w:lang w:eastAsia="en-GB"/>
        </w:rPr>
        <w:t xml:space="preserve">Consideration of the merits </w:t>
      </w:r>
    </w:p>
    <w:p w14:paraId="1D3844A4" w14:textId="77777777" w:rsidR="007F1DA4" w:rsidRPr="004F049C" w:rsidRDefault="007F1DA4" w:rsidP="000C641B">
      <w:pPr>
        <w:pStyle w:val="SingleTxtG"/>
      </w:pPr>
      <w:r w:rsidRPr="007F1DA4">
        <w:rPr>
          <w:lang w:eastAsia="en-GB"/>
        </w:rPr>
        <w:t>10.1</w:t>
      </w:r>
      <w:r w:rsidRPr="007F1DA4">
        <w:rPr>
          <w:lang w:eastAsia="en-GB"/>
        </w:rPr>
        <w:tab/>
        <w:t>In accordance with article 22</w:t>
      </w:r>
      <w:r w:rsidR="000C641B">
        <w:rPr>
          <w:lang w:eastAsia="en-GB"/>
        </w:rPr>
        <w:t xml:space="preserve"> (</w:t>
      </w:r>
      <w:r w:rsidRPr="007F1DA4">
        <w:rPr>
          <w:lang w:eastAsia="en-GB"/>
        </w:rPr>
        <w:t>4</w:t>
      </w:r>
      <w:r w:rsidR="000C641B">
        <w:rPr>
          <w:lang w:eastAsia="en-GB"/>
        </w:rPr>
        <w:t>)</w:t>
      </w:r>
      <w:r w:rsidRPr="007F1DA4">
        <w:rPr>
          <w:lang w:eastAsia="en-GB"/>
        </w:rPr>
        <w:t xml:space="preserve"> of the Convention, the Committee has considered the com</w:t>
      </w:r>
      <w:r w:rsidR="000C641B">
        <w:rPr>
          <w:lang w:eastAsia="en-GB"/>
        </w:rPr>
        <w:t>munication</w:t>
      </w:r>
      <w:r w:rsidRPr="007F1DA4">
        <w:rPr>
          <w:lang w:eastAsia="en-GB"/>
        </w:rPr>
        <w:t xml:space="preserve"> in the light of all </w:t>
      </w:r>
      <w:r w:rsidR="000C641B">
        <w:rPr>
          <w:lang w:eastAsia="en-GB"/>
        </w:rPr>
        <w:t xml:space="preserve">the </w:t>
      </w:r>
      <w:r w:rsidRPr="007F1DA4">
        <w:rPr>
          <w:lang w:eastAsia="en-GB"/>
        </w:rPr>
        <w:t xml:space="preserve">information made available to it by the parties. </w:t>
      </w:r>
    </w:p>
    <w:p w14:paraId="12AE0D6A" w14:textId="77777777" w:rsidR="007F1DA4" w:rsidRPr="00AC63A7" w:rsidRDefault="007F1DA4" w:rsidP="00712CA5">
      <w:pPr>
        <w:pStyle w:val="SingleTxtG"/>
      </w:pPr>
      <w:r w:rsidRPr="007F1DA4">
        <w:rPr>
          <w:lang w:eastAsia="en-GB"/>
        </w:rPr>
        <w:t>10.2</w:t>
      </w:r>
      <w:r w:rsidRPr="007F1DA4">
        <w:rPr>
          <w:lang w:eastAsia="en-GB"/>
        </w:rPr>
        <w:tab/>
        <w:t>The issue before the Committee is whether the expulsion of the complainant to Uganda would constitute a violation of the State party’s obligation under article 3 of the Convention not to expel or to return (refouler) a person to another State where there are substantial grounds for believing that he or she would be in danger of being subjected to torture. The Committee must evaluate whether there are substantial grounds for believing that he would be personally in danger of being subjected to torture upon return to Uganda.</w:t>
      </w:r>
      <w:r>
        <w:rPr>
          <w:rStyle w:val="FootnoteReference"/>
          <w:lang w:eastAsia="en-GB"/>
        </w:rPr>
        <w:footnoteReference w:id="24"/>
      </w:r>
      <w:r w:rsidRPr="007F1DA4">
        <w:rPr>
          <w:lang w:eastAsia="en-GB"/>
        </w:rPr>
        <w:t xml:space="preserve"> In assessing th</w:t>
      </w:r>
      <w:r w:rsidR="000C641B">
        <w:rPr>
          <w:lang w:eastAsia="en-GB"/>
        </w:rPr>
        <w:t>at</w:t>
      </w:r>
      <w:r w:rsidRPr="007F1DA4">
        <w:rPr>
          <w:lang w:eastAsia="en-GB"/>
        </w:rPr>
        <w:t xml:space="preserve"> risk, the Committee must take into account all relevant considerations, pursuant to article 3 </w:t>
      </w:r>
      <w:r w:rsidR="000C641B">
        <w:rPr>
          <w:lang w:eastAsia="en-GB"/>
        </w:rPr>
        <w:t>(</w:t>
      </w:r>
      <w:r w:rsidRPr="007F1DA4">
        <w:rPr>
          <w:lang w:eastAsia="en-GB"/>
        </w:rPr>
        <w:t>2</w:t>
      </w:r>
      <w:r w:rsidR="000C641B">
        <w:rPr>
          <w:lang w:eastAsia="en-GB"/>
        </w:rPr>
        <w:t>)</w:t>
      </w:r>
      <w:r w:rsidRPr="007F1DA4">
        <w:rPr>
          <w:lang w:eastAsia="en-GB"/>
        </w:rPr>
        <w:t xml:space="preserve"> of the Convention, including the existence of a consistent pattern of gross, flagrant or mass violations of human rights. However, the Committee recalls that the existence of a pattern of </w:t>
      </w:r>
      <w:r w:rsidR="000C641B">
        <w:rPr>
          <w:lang w:val="en-US"/>
        </w:rPr>
        <w:t>gross, flagrant or mass</w:t>
      </w:r>
      <w:r w:rsidRPr="007F1DA4">
        <w:rPr>
          <w:lang w:eastAsia="en-GB"/>
        </w:rPr>
        <w:t xml:space="preserve"> violations </w:t>
      </w:r>
      <w:r w:rsidR="000C641B">
        <w:rPr>
          <w:lang w:val="en-US"/>
        </w:rPr>
        <w:t xml:space="preserve">of human rights in a country </w:t>
      </w:r>
      <w:r w:rsidRPr="007F1DA4">
        <w:rPr>
          <w:lang w:eastAsia="en-GB"/>
        </w:rPr>
        <w:t>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 to torture in his or her specific circumstances.</w:t>
      </w:r>
      <w:r w:rsidR="00B5549A">
        <w:rPr>
          <w:rStyle w:val="FootnoteReference"/>
          <w:lang w:eastAsia="en-GB"/>
        </w:rPr>
        <w:footnoteReference w:id="25"/>
      </w:r>
      <w:r w:rsidRPr="007F1DA4">
        <w:rPr>
          <w:lang w:eastAsia="en-GB"/>
        </w:rPr>
        <w:t xml:space="preserve"> </w:t>
      </w:r>
    </w:p>
    <w:p w14:paraId="3A455A13" w14:textId="77777777" w:rsidR="004E7003" w:rsidRPr="00AC63A7" w:rsidRDefault="00026872" w:rsidP="00C4309F">
      <w:pPr>
        <w:pStyle w:val="SingleTxtG"/>
      </w:pPr>
      <w:r w:rsidRPr="005705EF">
        <w:rPr>
          <w:color w:val="000000"/>
          <w:lang w:eastAsia="en-GB"/>
        </w:rPr>
        <w:t>10.</w:t>
      </w:r>
      <w:r w:rsidR="00EA40E4">
        <w:rPr>
          <w:color w:val="000000"/>
          <w:lang w:eastAsia="en-GB"/>
        </w:rPr>
        <w:t>3</w:t>
      </w:r>
      <w:r>
        <w:rPr>
          <w:color w:val="000000"/>
          <w:lang w:eastAsia="en-GB"/>
        </w:rPr>
        <w:tab/>
      </w:r>
      <w:r w:rsidRPr="005705EF">
        <w:rPr>
          <w:color w:val="000000"/>
          <w:lang w:eastAsia="en-GB"/>
        </w:rPr>
        <w:t>In the pre</w:t>
      </w:r>
      <w:r w:rsidR="008354A6">
        <w:rPr>
          <w:color w:val="000000"/>
          <w:lang w:eastAsia="en-GB"/>
        </w:rPr>
        <w:t xml:space="preserve">sent case, the Committee notes </w:t>
      </w:r>
      <w:r w:rsidRPr="005705EF">
        <w:t xml:space="preserve">the argument of the State party that the complainant has failed to substantiate that he faces a real and personal risk of torture in Uganda. </w:t>
      </w:r>
      <w:r w:rsidR="00B92722">
        <w:t>The Committee also notes the State party’s argument that the complainant’s allegations were not credible regarding central aspects of his claim related to the risk</w:t>
      </w:r>
      <w:r w:rsidR="00D961AC">
        <w:t>s</w:t>
      </w:r>
      <w:r w:rsidR="00B92722">
        <w:t xml:space="preserve"> </w:t>
      </w:r>
      <w:r w:rsidR="00D961AC">
        <w:t xml:space="preserve">he would be exposed to if </w:t>
      </w:r>
      <w:r w:rsidR="00B92722">
        <w:t xml:space="preserve">returned to Uganda </w:t>
      </w:r>
      <w:r w:rsidR="00C4309F">
        <w:t>owing</w:t>
      </w:r>
      <w:r w:rsidR="00B92722">
        <w:t xml:space="preserve"> to his sexual orientation, including his allegations related </w:t>
      </w:r>
      <w:r w:rsidR="00D961AC">
        <w:t>to his</w:t>
      </w:r>
      <w:r w:rsidR="00B92722">
        <w:t xml:space="preserve"> arrest and torture </w:t>
      </w:r>
      <w:r w:rsidR="00D90312">
        <w:t>inflict</w:t>
      </w:r>
      <w:r w:rsidR="00B92722">
        <w:t xml:space="preserve">ed in 2007, as well as the allegations related to the recent interest shown by the Ugandan authorities regarding </w:t>
      </w:r>
      <w:r w:rsidR="00D961AC">
        <w:t xml:space="preserve">his whereabouts in relation to </w:t>
      </w:r>
      <w:r w:rsidR="00B92722">
        <w:t>the charges brought against him for</w:t>
      </w:r>
      <w:r w:rsidR="0061721B">
        <w:t xml:space="preserve"> </w:t>
      </w:r>
      <w:r w:rsidR="00B92722">
        <w:t>“having carnal knowledge against nature”.</w:t>
      </w:r>
      <w:r w:rsidR="00C677B8" w:rsidRPr="00C677B8">
        <w:t xml:space="preserve"> The Committee notes the complainant’s </w:t>
      </w:r>
      <w:r w:rsidR="00C677B8">
        <w:t xml:space="preserve">argument that </w:t>
      </w:r>
      <w:r w:rsidR="007601CB">
        <w:t xml:space="preserve">the Canadian authorities did not </w:t>
      </w:r>
      <w:r w:rsidR="00FC7069">
        <w:t>give suffic</w:t>
      </w:r>
      <w:r w:rsidR="007C7D05">
        <w:t xml:space="preserve">ient </w:t>
      </w:r>
      <w:r w:rsidR="00C4309F">
        <w:t>consideration to or</w:t>
      </w:r>
      <w:r w:rsidR="007C7D05">
        <w:t xml:space="preserve"> </w:t>
      </w:r>
      <w:r w:rsidR="007601CB">
        <w:t>properly analyse his claims,</w:t>
      </w:r>
      <w:r w:rsidR="00D90312">
        <w:t xml:space="preserve"> including </w:t>
      </w:r>
      <w:r w:rsidR="007601CB">
        <w:t>the n</w:t>
      </w:r>
      <w:r w:rsidR="00054F61">
        <w:t>ew pieces of evidence related to the criminal procedures against him based on charges related to his sexual orientation.</w:t>
      </w:r>
      <w:r w:rsidR="0061721B">
        <w:t xml:space="preserve"> </w:t>
      </w:r>
    </w:p>
    <w:p w14:paraId="119D5815" w14:textId="77777777" w:rsidR="00931C58" w:rsidRDefault="004E7003" w:rsidP="00C4309F">
      <w:pPr>
        <w:pStyle w:val="SingleTxtG"/>
        <w:rPr>
          <w:lang w:val="en-AU"/>
        </w:rPr>
      </w:pPr>
      <w:r>
        <w:t>10.4</w:t>
      </w:r>
      <w:r>
        <w:tab/>
      </w:r>
      <w:r w:rsidR="00FC7069">
        <w:t xml:space="preserve">The Committee </w:t>
      </w:r>
      <w:r w:rsidR="005038F3">
        <w:rPr>
          <w:lang w:val="en-AU"/>
        </w:rPr>
        <w:t>recalls</w:t>
      </w:r>
      <w:r w:rsidR="00FC7069" w:rsidRPr="00FC7069">
        <w:rPr>
          <w:lang w:val="en-AU"/>
        </w:rPr>
        <w:t xml:space="preserve"> its jurisprudence that complete accuracy is seldom to be expected from victims of torture.</w:t>
      </w:r>
      <w:r w:rsidR="00D66ED4">
        <w:rPr>
          <w:rStyle w:val="FootnoteReference"/>
          <w:lang w:val="en-AU"/>
        </w:rPr>
        <w:footnoteReference w:id="26"/>
      </w:r>
      <w:r w:rsidR="00FC7069" w:rsidRPr="00FC7069">
        <w:rPr>
          <w:lang w:val="en-AU"/>
        </w:rPr>
        <w:t xml:space="preserve"> The Committee finds it impossible to verify the authenticity of some of the documents provided by the compl</w:t>
      </w:r>
      <w:r w:rsidR="00B62B36">
        <w:rPr>
          <w:lang w:val="en-AU"/>
        </w:rPr>
        <w:t xml:space="preserve">ainant. </w:t>
      </w:r>
      <w:r w:rsidR="00FC7069" w:rsidRPr="00FC7069">
        <w:rPr>
          <w:lang w:val="en-AU"/>
        </w:rPr>
        <w:t>However, in view of the reliable documentation he has provided, including a support</w:t>
      </w:r>
      <w:r w:rsidR="00C4309F">
        <w:rPr>
          <w:lang w:val="en-AU"/>
        </w:rPr>
        <w:t>ing</w:t>
      </w:r>
      <w:r w:rsidR="00FC7069" w:rsidRPr="00FC7069">
        <w:rPr>
          <w:lang w:val="en-AU"/>
        </w:rPr>
        <w:t xml:space="preserve"> letter from</w:t>
      </w:r>
      <w:r>
        <w:rPr>
          <w:lang w:val="en-AU"/>
        </w:rPr>
        <w:t xml:space="preserve"> the Uganda Human Rights Commission</w:t>
      </w:r>
      <w:r w:rsidR="00931C58">
        <w:rPr>
          <w:lang w:val="en-AU"/>
        </w:rPr>
        <w:t>, the Local Council of Kafero Zone</w:t>
      </w:r>
      <w:r w:rsidR="00296814">
        <w:rPr>
          <w:lang w:val="en-AU"/>
        </w:rPr>
        <w:t>,</w:t>
      </w:r>
      <w:r w:rsidR="00FC7069" w:rsidRPr="00FC7069">
        <w:rPr>
          <w:lang w:val="en-AU"/>
        </w:rPr>
        <w:t xml:space="preserve"> an attestation from the</w:t>
      </w:r>
      <w:r>
        <w:rPr>
          <w:lang w:val="en-AU"/>
        </w:rPr>
        <w:t xml:space="preserve"> Gay and Lesbian Association in Uganda</w:t>
      </w:r>
      <w:r w:rsidR="00296814">
        <w:rPr>
          <w:lang w:val="en-AU"/>
        </w:rPr>
        <w:t xml:space="preserve"> and a medical report</w:t>
      </w:r>
      <w:r w:rsidR="008354A6">
        <w:rPr>
          <w:lang w:val="en-AU"/>
        </w:rPr>
        <w:t>,</w:t>
      </w:r>
      <w:r w:rsidR="00FC7069" w:rsidRPr="00FC7069">
        <w:rPr>
          <w:lang w:val="en-AU"/>
        </w:rPr>
        <w:t xml:space="preserve"> the</w:t>
      </w:r>
      <w:r w:rsidR="005038F3">
        <w:rPr>
          <w:lang w:val="en-AU"/>
        </w:rPr>
        <w:t xml:space="preserve"> Committee considers that the</w:t>
      </w:r>
      <w:r w:rsidR="00FC7069" w:rsidRPr="00FC7069">
        <w:rPr>
          <w:lang w:val="en-AU"/>
        </w:rPr>
        <w:t xml:space="preserve"> complainant has provided sufficient reliable information for the burden of proof to shift.</w:t>
      </w:r>
      <w:r w:rsidR="00BF6976">
        <w:rPr>
          <w:rStyle w:val="FootnoteReference"/>
          <w:lang w:val="en-AU"/>
        </w:rPr>
        <w:footnoteReference w:id="27"/>
      </w:r>
      <w:r w:rsidR="0061721B">
        <w:rPr>
          <w:lang w:val="en-AU"/>
        </w:rPr>
        <w:t xml:space="preserve"> </w:t>
      </w:r>
    </w:p>
    <w:p w14:paraId="5C48D48D" w14:textId="77777777" w:rsidR="00026872" w:rsidRPr="0090625D" w:rsidRDefault="00931C58" w:rsidP="00712CA5">
      <w:pPr>
        <w:pStyle w:val="SingleTxtG"/>
        <w:rPr>
          <w:lang w:val="en-AU"/>
        </w:rPr>
      </w:pPr>
      <w:r>
        <w:rPr>
          <w:lang w:val="en-AU"/>
        </w:rPr>
        <w:t>10.5</w:t>
      </w:r>
      <w:r>
        <w:rPr>
          <w:lang w:val="en-AU"/>
        </w:rPr>
        <w:tab/>
      </w:r>
      <w:r w:rsidR="00BF6976">
        <w:rPr>
          <w:lang w:val="en-AU"/>
        </w:rPr>
        <w:t>T</w:t>
      </w:r>
      <w:r>
        <w:rPr>
          <w:lang w:val="en-AU"/>
        </w:rPr>
        <w:t>he Committee</w:t>
      </w:r>
      <w:r w:rsidR="00D708F8">
        <w:rPr>
          <w:lang w:val="en-AU"/>
        </w:rPr>
        <w:t xml:space="preserve"> </w:t>
      </w:r>
      <w:r>
        <w:rPr>
          <w:lang w:val="en-AU"/>
        </w:rPr>
        <w:t xml:space="preserve">notes </w:t>
      </w:r>
      <w:r w:rsidR="00BF6976">
        <w:rPr>
          <w:lang w:val="en-AU"/>
        </w:rPr>
        <w:t xml:space="preserve">that </w:t>
      </w:r>
      <w:r>
        <w:rPr>
          <w:lang w:val="en-AU"/>
        </w:rPr>
        <w:t>the State party</w:t>
      </w:r>
      <w:r w:rsidR="00BF6976">
        <w:rPr>
          <w:lang w:val="en-AU"/>
        </w:rPr>
        <w:t xml:space="preserve"> has acknowledge</w:t>
      </w:r>
      <w:r w:rsidR="005D7F9F">
        <w:rPr>
          <w:lang w:val="en-AU"/>
        </w:rPr>
        <w:t>d</w:t>
      </w:r>
      <w:r w:rsidR="00BF6976">
        <w:rPr>
          <w:lang w:val="en-AU"/>
        </w:rPr>
        <w:t xml:space="preserve"> that the situation of </w:t>
      </w:r>
      <w:r w:rsidR="004F049C">
        <w:t>l</w:t>
      </w:r>
      <w:r w:rsidR="004F049C" w:rsidRPr="005C629A">
        <w:t xml:space="preserve">esbian, </w:t>
      </w:r>
      <w:r w:rsidR="004F049C">
        <w:t>g</w:t>
      </w:r>
      <w:r w:rsidR="004F049C" w:rsidRPr="005C629A">
        <w:t xml:space="preserve">ay, </w:t>
      </w:r>
      <w:r w:rsidR="004F049C">
        <w:t>b</w:t>
      </w:r>
      <w:r w:rsidR="004F049C" w:rsidRPr="005C629A">
        <w:t>isexual</w:t>
      </w:r>
      <w:r w:rsidR="00712CA5">
        <w:t>,</w:t>
      </w:r>
      <w:r w:rsidR="004F049C" w:rsidRPr="005C629A">
        <w:t xml:space="preserve"> </w:t>
      </w:r>
      <w:r w:rsidR="004F049C">
        <w:t>t</w:t>
      </w:r>
      <w:r w:rsidR="004F049C" w:rsidRPr="005C629A">
        <w:t xml:space="preserve">ransgender </w:t>
      </w:r>
      <w:r w:rsidR="004F049C">
        <w:t>and intersex</w:t>
      </w:r>
      <w:r w:rsidR="00BF6976">
        <w:rPr>
          <w:lang w:val="en-AU"/>
        </w:rPr>
        <w:t xml:space="preserve"> pe</w:t>
      </w:r>
      <w:r w:rsidR="005D7F9F">
        <w:rPr>
          <w:lang w:val="en-AU"/>
        </w:rPr>
        <w:t xml:space="preserve">rsons in Uganda is problematic </w:t>
      </w:r>
      <w:r w:rsidR="00BF6976">
        <w:rPr>
          <w:lang w:val="en-AU"/>
        </w:rPr>
        <w:t>a</w:t>
      </w:r>
      <w:r w:rsidR="005D7F9F">
        <w:rPr>
          <w:lang w:val="en-AU"/>
        </w:rPr>
        <w:t>n</w:t>
      </w:r>
      <w:r w:rsidR="00BF6976">
        <w:rPr>
          <w:lang w:val="en-AU"/>
        </w:rPr>
        <w:t xml:space="preserve">d </w:t>
      </w:r>
      <w:r w:rsidR="005D7F9F">
        <w:rPr>
          <w:lang w:val="en-AU"/>
        </w:rPr>
        <w:t xml:space="preserve">that it </w:t>
      </w:r>
      <w:r w:rsidR="00BF6976">
        <w:rPr>
          <w:lang w:val="en-AU"/>
        </w:rPr>
        <w:t xml:space="preserve">worsened after </w:t>
      </w:r>
      <w:r w:rsidR="005D7F9F">
        <w:rPr>
          <w:lang w:val="en-AU"/>
        </w:rPr>
        <w:t xml:space="preserve">the Anti-Homosexuality </w:t>
      </w:r>
      <w:r w:rsidR="001539CD">
        <w:rPr>
          <w:lang w:val="en-AU"/>
        </w:rPr>
        <w:t>Act</w:t>
      </w:r>
      <w:r w:rsidR="005D7F9F">
        <w:rPr>
          <w:lang w:val="en-AU"/>
        </w:rPr>
        <w:t xml:space="preserve"> was adopted. </w:t>
      </w:r>
      <w:r w:rsidR="00C4309F">
        <w:rPr>
          <w:lang w:val="en-AU"/>
        </w:rPr>
        <w:t>T</w:t>
      </w:r>
      <w:r w:rsidR="00D03FD1">
        <w:rPr>
          <w:lang w:val="en-AU"/>
        </w:rPr>
        <w:t xml:space="preserve">he Committee </w:t>
      </w:r>
      <w:r w:rsidR="00C4309F">
        <w:rPr>
          <w:lang w:val="en-AU"/>
        </w:rPr>
        <w:t xml:space="preserve">also </w:t>
      </w:r>
      <w:r w:rsidR="00D03FD1">
        <w:rPr>
          <w:lang w:val="en-AU"/>
        </w:rPr>
        <w:t>notes that</w:t>
      </w:r>
      <w:r w:rsidR="00C4309F">
        <w:rPr>
          <w:lang w:val="en-AU"/>
        </w:rPr>
        <w:t>,</w:t>
      </w:r>
      <w:r w:rsidR="00D03FD1">
        <w:rPr>
          <w:lang w:val="en-AU"/>
        </w:rPr>
        <w:t xml:space="preserve"> </w:t>
      </w:r>
      <w:r w:rsidR="006E43F9">
        <w:t xml:space="preserve">despite the fact that the Anti-Homosexuality </w:t>
      </w:r>
      <w:r w:rsidR="001539CD">
        <w:t>Act</w:t>
      </w:r>
      <w:r w:rsidR="006E43F9">
        <w:t xml:space="preserve"> was nullified by the Constitutional Court in August 2014, the Court</w:t>
      </w:r>
      <w:r w:rsidR="0051566A">
        <w:t xml:space="preserve"> </w:t>
      </w:r>
      <w:r w:rsidR="006E43F9">
        <w:t xml:space="preserve">based its decision on a procedural issue </w:t>
      </w:r>
      <w:r w:rsidR="001539CD">
        <w:t>(</w:t>
      </w:r>
      <w:r w:rsidR="006E43F9">
        <w:t>the law was adopted without the necessary quorum</w:t>
      </w:r>
      <w:r w:rsidR="001539CD">
        <w:t>)</w:t>
      </w:r>
      <w:r w:rsidR="007E7705">
        <w:t xml:space="preserve"> </w:t>
      </w:r>
      <w:r w:rsidR="006E43F9">
        <w:rPr>
          <w:lang w:val="en-AU"/>
        </w:rPr>
        <w:t xml:space="preserve">and </w:t>
      </w:r>
      <w:r w:rsidR="001539CD">
        <w:rPr>
          <w:lang w:val="en-AU"/>
        </w:rPr>
        <w:t>the Act</w:t>
      </w:r>
      <w:r w:rsidR="006E43F9">
        <w:rPr>
          <w:lang w:val="en-AU"/>
        </w:rPr>
        <w:t xml:space="preserve"> can be brought before the Parliament </w:t>
      </w:r>
      <w:r w:rsidR="008D13F6">
        <w:rPr>
          <w:lang w:val="en-AU"/>
        </w:rPr>
        <w:t xml:space="preserve">again </w:t>
      </w:r>
      <w:r w:rsidR="006E43F9">
        <w:rPr>
          <w:lang w:val="en-AU"/>
        </w:rPr>
        <w:t xml:space="preserve">at any time. The Committee </w:t>
      </w:r>
      <w:r w:rsidR="00C4309F">
        <w:rPr>
          <w:lang w:val="en-AU"/>
        </w:rPr>
        <w:t>further</w:t>
      </w:r>
      <w:r w:rsidR="006E43F9">
        <w:rPr>
          <w:lang w:val="en-AU"/>
        </w:rPr>
        <w:t xml:space="preserve"> notes that</w:t>
      </w:r>
      <w:r w:rsidR="00CF5226">
        <w:rPr>
          <w:lang w:val="en-AU"/>
        </w:rPr>
        <w:t>,</w:t>
      </w:r>
      <w:r w:rsidR="006E43F9">
        <w:rPr>
          <w:lang w:val="en-AU"/>
        </w:rPr>
        <w:t xml:space="preserve"> according to </w:t>
      </w:r>
      <w:r w:rsidR="006E43F9" w:rsidRPr="006E43F9">
        <w:t>publicly available information,</w:t>
      </w:r>
      <w:r w:rsidR="006E43F9">
        <w:t xml:space="preserve"> </w:t>
      </w:r>
      <w:r w:rsidR="00B73E7F">
        <w:t>after the adoption of th</w:t>
      </w:r>
      <w:r w:rsidR="00CF5226">
        <w:t>e</w:t>
      </w:r>
      <w:r w:rsidR="008D13F6">
        <w:t xml:space="preserve"> </w:t>
      </w:r>
      <w:r w:rsidR="00BA5D12">
        <w:t>Act</w:t>
      </w:r>
      <w:r w:rsidR="008D13F6">
        <w:t xml:space="preserve">, </w:t>
      </w:r>
      <w:r w:rsidR="00CF5226">
        <w:t xml:space="preserve">there was an increase in the number of </w:t>
      </w:r>
      <w:r w:rsidR="001539CD">
        <w:t xml:space="preserve">cases of </w:t>
      </w:r>
      <w:r w:rsidR="008D13F6">
        <w:t>arbitrary arrest, police extortion, eviction</w:t>
      </w:r>
      <w:r w:rsidR="00CF5226">
        <w:t xml:space="preserve"> and</w:t>
      </w:r>
      <w:r w:rsidR="008D13F6">
        <w:t xml:space="preserve"> attacks o</w:t>
      </w:r>
      <w:r w:rsidR="00C4309F">
        <w:t>n</w:t>
      </w:r>
      <w:r w:rsidR="008D13F6">
        <w:t xml:space="preserve"> the reputation </w:t>
      </w:r>
      <w:r w:rsidR="008D13F6" w:rsidRPr="00CF5226">
        <w:t xml:space="preserve">of </w:t>
      </w:r>
      <w:r w:rsidR="00CF5226" w:rsidRPr="00CF5226">
        <w:t>lesbian</w:t>
      </w:r>
      <w:r w:rsidR="00CF5226" w:rsidRPr="005C629A">
        <w:t xml:space="preserve">, </w:t>
      </w:r>
      <w:r w:rsidR="00CF5226">
        <w:t>g</w:t>
      </w:r>
      <w:r w:rsidR="00CF5226" w:rsidRPr="005C629A">
        <w:t xml:space="preserve">ay, </w:t>
      </w:r>
      <w:r w:rsidR="00CF5226">
        <w:t>b</w:t>
      </w:r>
      <w:r w:rsidR="00CF5226" w:rsidRPr="005C629A">
        <w:t>isexual</w:t>
      </w:r>
      <w:r w:rsidR="00712CA5">
        <w:t>,</w:t>
      </w:r>
      <w:r w:rsidR="00CF5226" w:rsidRPr="005C629A">
        <w:t xml:space="preserve"> </w:t>
      </w:r>
      <w:r w:rsidR="00CF5226">
        <w:t>t</w:t>
      </w:r>
      <w:r w:rsidR="00CF5226" w:rsidRPr="005C629A">
        <w:t xml:space="preserve">ransgender </w:t>
      </w:r>
      <w:r w:rsidR="00CF5226">
        <w:t>and intersex pe</w:t>
      </w:r>
      <w:r w:rsidR="00712CA5">
        <w:t>rsons</w:t>
      </w:r>
      <w:r w:rsidR="008D13F6">
        <w:t xml:space="preserve"> </w:t>
      </w:r>
      <w:r w:rsidR="00CF5226">
        <w:t xml:space="preserve">and in the number who became </w:t>
      </w:r>
      <w:r w:rsidR="00CF5226" w:rsidRPr="00CF5226">
        <w:t>homeless</w:t>
      </w:r>
      <w:r w:rsidR="008D13F6">
        <w:t>.</w:t>
      </w:r>
      <w:r w:rsidR="00087B00">
        <w:rPr>
          <w:rStyle w:val="FootnoteReference"/>
        </w:rPr>
        <w:footnoteReference w:id="28"/>
      </w:r>
      <w:r w:rsidR="0061721B">
        <w:t xml:space="preserve"> </w:t>
      </w:r>
      <w:r w:rsidR="00D708F8">
        <w:t xml:space="preserve">Furthermore, </w:t>
      </w:r>
      <w:r w:rsidR="00776651">
        <w:t>the Committee notes that there</w:t>
      </w:r>
      <w:r w:rsidR="004E5456">
        <w:t xml:space="preserve"> a</w:t>
      </w:r>
      <w:r w:rsidR="00087B00">
        <w:t xml:space="preserve">re reports </w:t>
      </w:r>
      <w:r w:rsidR="00741FBC">
        <w:t xml:space="preserve">indicating </w:t>
      </w:r>
      <w:r w:rsidR="00087B00">
        <w:t xml:space="preserve">that </w:t>
      </w:r>
      <w:r w:rsidR="00D708F8">
        <w:t>s</w:t>
      </w:r>
      <w:r w:rsidR="00D708F8" w:rsidRPr="00D708F8">
        <w:t xml:space="preserve">ome </w:t>
      </w:r>
      <w:r w:rsidR="004F049C">
        <w:t>l</w:t>
      </w:r>
      <w:r w:rsidR="004F049C" w:rsidRPr="005C629A">
        <w:t xml:space="preserve">esbian, </w:t>
      </w:r>
      <w:r w:rsidR="004F049C">
        <w:t>g</w:t>
      </w:r>
      <w:r w:rsidR="004F049C" w:rsidRPr="005C629A">
        <w:t xml:space="preserve">ay, </w:t>
      </w:r>
      <w:r w:rsidR="004F049C">
        <w:t>b</w:t>
      </w:r>
      <w:r w:rsidR="004F049C" w:rsidRPr="005C629A">
        <w:t>isexual</w:t>
      </w:r>
      <w:r w:rsidR="00712CA5">
        <w:t>,</w:t>
      </w:r>
      <w:r w:rsidR="004F049C" w:rsidRPr="005C629A">
        <w:t xml:space="preserve"> </w:t>
      </w:r>
      <w:r w:rsidR="004F049C">
        <w:t>t</w:t>
      </w:r>
      <w:r w:rsidR="004F049C" w:rsidRPr="005C629A">
        <w:t xml:space="preserve">ransgender </w:t>
      </w:r>
      <w:r w:rsidR="004F049C">
        <w:t>and intersex</w:t>
      </w:r>
      <w:r w:rsidR="0051566A">
        <w:t xml:space="preserve"> pe</w:t>
      </w:r>
      <w:r w:rsidR="00712CA5">
        <w:t>rsons</w:t>
      </w:r>
      <w:r w:rsidR="0051566A">
        <w:t xml:space="preserve"> </w:t>
      </w:r>
      <w:r w:rsidR="004E5456">
        <w:t>have been</w:t>
      </w:r>
      <w:r w:rsidR="00D708F8" w:rsidRPr="00D708F8">
        <w:t xml:space="preserve"> beaten and groped by police and detainees </w:t>
      </w:r>
      <w:r w:rsidR="00087B00">
        <w:t xml:space="preserve">while </w:t>
      </w:r>
      <w:r w:rsidR="00D708F8" w:rsidRPr="00D708F8">
        <w:t>in custody.</w:t>
      </w:r>
      <w:r w:rsidR="00B73E7F">
        <w:rPr>
          <w:rStyle w:val="FootnoteReference"/>
        </w:rPr>
        <w:footnoteReference w:id="29"/>
      </w:r>
      <w:r w:rsidR="00087B00">
        <w:t xml:space="preserve"> </w:t>
      </w:r>
      <w:r w:rsidR="008302D2">
        <w:t>T</w:t>
      </w:r>
      <w:r w:rsidR="004E5456">
        <w:t>he</w:t>
      </w:r>
      <w:r w:rsidR="0051566A" w:rsidRPr="0051566A">
        <w:t xml:space="preserve"> Committee </w:t>
      </w:r>
      <w:r w:rsidR="008302D2">
        <w:t xml:space="preserve">therefore considers that the author may be at risk of </w:t>
      </w:r>
      <w:r w:rsidR="0051566A" w:rsidRPr="0051566A">
        <w:t xml:space="preserve">torture </w:t>
      </w:r>
      <w:r w:rsidR="004E5456">
        <w:t>or ill</w:t>
      </w:r>
      <w:r w:rsidR="00EE6666">
        <w:t>-</w:t>
      </w:r>
      <w:r w:rsidR="004E5456">
        <w:t xml:space="preserve">treatment </w:t>
      </w:r>
      <w:r w:rsidR="0051566A" w:rsidRPr="0051566A">
        <w:t xml:space="preserve">if he is returned to </w:t>
      </w:r>
      <w:r w:rsidR="0051566A">
        <w:t>Uganda</w:t>
      </w:r>
      <w:r w:rsidR="008302D2">
        <w:t xml:space="preserve">, taking into account not only his sexual orientation, </w:t>
      </w:r>
      <w:r w:rsidR="00321384">
        <w:t xml:space="preserve">but also </w:t>
      </w:r>
      <w:r w:rsidR="008302D2">
        <w:t xml:space="preserve">his militancy in </w:t>
      </w:r>
      <w:r w:rsidR="004F049C">
        <w:t>l</w:t>
      </w:r>
      <w:r w:rsidR="004F049C" w:rsidRPr="005C629A">
        <w:t xml:space="preserve">esbian, </w:t>
      </w:r>
      <w:r w:rsidR="004F049C">
        <w:t>g</w:t>
      </w:r>
      <w:r w:rsidR="004F049C" w:rsidRPr="005C629A">
        <w:t xml:space="preserve">ay, </w:t>
      </w:r>
      <w:r w:rsidR="004F049C">
        <w:t>b</w:t>
      </w:r>
      <w:r w:rsidR="004F049C" w:rsidRPr="005C629A">
        <w:t>isexual</w:t>
      </w:r>
      <w:r w:rsidR="00712CA5">
        <w:t>,</w:t>
      </w:r>
      <w:r w:rsidR="004F049C" w:rsidRPr="005C629A">
        <w:t xml:space="preserve"> </w:t>
      </w:r>
      <w:r w:rsidR="004F049C">
        <w:t>t</w:t>
      </w:r>
      <w:r w:rsidR="004F049C" w:rsidRPr="005C629A">
        <w:t xml:space="preserve">ransgender </w:t>
      </w:r>
      <w:r w:rsidR="004F049C">
        <w:t>and intersex</w:t>
      </w:r>
      <w:r w:rsidR="008302D2">
        <w:t xml:space="preserve"> organization</w:t>
      </w:r>
      <w:r w:rsidR="00321384">
        <w:t xml:space="preserve">s and </w:t>
      </w:r>
      <w:r w:rsidR="008302D2">
        <w:t xml:space="preserve">the fact that he could be </w:t>
      </w:r>
      <w:r w:rsidR="0051566A" w:rsidRPr="0051566A">
        <w:t>detained pursuant to</w:t>
      </w:r>
      <w:r w:rsidR="0051566A">
        <w:t xml:space="preserve"> the criminal charges </w:t>
      </w:r>
      <w:r w:rsidR="005038F3">
        <w:t xml:space="preserve">brought </w:t>
      </w:r>
      <w:r w:rsidR="0051566A">
        <w:t>against him</w:t>
      </w:r>
      <w:r w:rsidR="00EE6666">
        <w:t xml:space="preserve"> (see para. 2.8 above)</w:t>
      </w:r>
      <w:r w:rsidR="0051566A">
        <w:t>.</w:t>
      </w:r>
      <w:r w:rsidR="004E5456">
        <w:rPr>
          <w:rStyle w:val="FootnoteReference"/>
        </w:rPr>
        <w:footnoteReference w:id="30"/>
      </w:r>
      <w:r w:rsidR="0051566A">
        <w:t xml:space="preserve"> </w:t>
      </w:r>
    </w:p>
    <w:p w14:paraId="710F0487" w14:textId="77777777" w:rsidR="00026872" w:rsidRDefault="006D4F30" w:rsidP="00156C79">
      <w:pPr>
        <w:pStyle w:val="SingleTxtG"/>
      </w:pPr>
      <w:r>
        <w:t>10.6</w:t>
      </w:r>
      <w:r w:rsidR="00026872" w:rsidRPr="00884C66">
        <w:t xml:space="preserve"> </w:t>
      </w:r>
      <w:r w:rsidR="00026872" w:rsidRPr="00884C66">
        <w:tab/>
      </w:r>
      <w:r w:rsidR="005D51B9" w:rsidRPr="00530B3B">
        <w:t xml:space="preserve">Accordingly, the Committee finds that, </w:t>
      </w:r>
      <w:r w:rsidR="005D51B9">
        <w:t>taking into account</w:t>
      </w:r>
      <w:r w:rsidR="005D51B9" w:rsidRPr="00530B3B">
        <w:t xml:space="preserve"> all the factors in th</w:t>
      </w:r>
      <w:r w:rsidR="00156C79">
        <w:t>e</w:t>
      </w:r>
      <w:r w:rsidR="005D51B9" w:rsidRPr="00530B3B">
        <w:t xml:space="preserve"> pr</w:t>
      </w:r>
      <w:r w:rsidR="00156C79">
        <w:t>esent</w:t>
      </w:r>
      <w:r w:rsidR="005D51B9" w:rsidRPr="00530B3B">
        <w:t xml:space="preserve"> case, </w:t>
      </w:r>
      <w:r w:rsidR="006257E9" w:rsidRPr="006257E9">
        <w:t xml:space="preserve">substantial grounds exist for believing that the complainant </w:t>
      </w:r>
      <w:r w:rsidR="005D51B9">
        <w:t>will be in danger of</w:t>
      </w:r>
      <w:r w:rsidR="006257E9" w:rsidRPr="006257E9">
        <w:t xml:space="preserve"> torture</w:t>
      </w:r>
      <w:r w:rsidR="000B1AA0">
        <w:t xml:space="preserve"> or ill</w:t>
      </w:r>
      <w:r w:rsidR="00156C79">
        <w:t>-</w:t>
      </w:r>
      <w:r w:rsidR="000B1AA0">
        <w:t>treatment</w:t>
      </w:r>
      <w:r w:rsidR="006257E9" w:rsidRPr="006257E9">
        <w:t xml:space="preserve"> if returned to</w:t>
      </w:r>
      <w:r w:rsidR="006257E9">
        <w:t xml:space="preserve"> Uganda. </w:t>
      </w:r>
    </w:p>
    <w:p w14:paraId="682DB10B" w14:textId="77777777" w:rsidR="009E5A6C" w:rsidRPr="004F049C" w:rsidRDefault="0090625D" w:rsidP="000072A8">
      <w:pPr>
        <w:pStyle w:val="SingleTxtG"/>
      </w:pPr>
      <w:r>
        <w:t>1</w:t>
      </w:r>
      <w:r w:rsidR="000072A8">
        <w:t>1</w:t>
      </w:r>
      <w:r>
        <w:t>.</w:t>
      </w:r>
      <w:r>
        <w:tab/>
      </w:r>
      <w:r w:rsidR="009E5A6C" w:rsidRPr="009E5A6C">
        <w:t xml:space="preserve">In the light of the above, the Committee, acting under article 22 </w:t>
      </w:r>
      <w:r w:rsidR="00B95883">
        <w:t>(</w:t>
      </w:r>
      <w:r w:rsidR="009E5A6C" w:rsidRPr="009E5A6C">
        <w:t>7</w:t>
      </w:r>
      <w:r w:rsidR="00B95883">
        <w:t>)</w:t>
      </w:r>
      <w:r w:rsidR="009E5A6C" w:rsidRPr="009E5A6C">
        <w:t xml:space="preserve"> of the Convention, concludes that the complainant</w:t>
      </w:r>
      <w:r w:rsidR="00B95883">
        <w:t>’s</w:t>
      </w:r>
      <w:r w:rsidR="009E5A6C" w:rsidRPr="009E5A6C">
        <w:t xml:space="preserve"> removal to </w:t>
      </w:r>
      <w:r w:rsidR="009E5A6C">
        <w:t xml:space="preserve">Uganda </w:t>
      </w:r>
      <w:r w:rsidR="009E5A6C" w:rsidRPr="009E5A6C">
        <w:t xml:space="preserve">by the State party would constitute a breach of article 3 of the Convention. </w:t>
      </w:r>
    </w:p>
    <w:p w14:paraId="3BEDD288" w14:textId="77777777" w:rsidR="00026872" w:rsidRPr="005C629A" w:rsidRDefault="009E5A6C" w:rsidP="006B5665">
      <w:pPr>
        <w:pStyle w:val="SingleTxtG"/>
        <w:spacing w:after="0"/>
        <w:rPr>
          <w:sz w:val="22"/>
          <w:szCs w:val="22"/>
        </w:rPr>
      </w:pPr>
      <w:r>
        <w:t>1</w:t>
      </w:r>
      <w:r w:rsidR="000072A8">
        <w:t>2</w:t>
      </w:r>
      <w:r>
        <w:t>.</w:t>
      </w:r>
      <w:r>
        <w:tab/>
      </w:r>
      <w:r w:rsidRPr="009E5A6C">
        <w:t xml:space="preserve">The Committee is of the view that the State party has an obligation, in accordance with article 3 of the Convention, to refrain from forcibly returning the complainant to </w:t>
      </w:r>
      <w:r>
        <w:t xml:space="preserve">Uganda </w:t>
      </w:r>
      <w:r w:rsidRPr="009E5A6C">
        <w:t>or to any other country where he runs a real risk of being expelled or returned to</w:t>
      </w:r>
      <w:r>
        <w:t xml:space="preserve"> Uganda</w:t>
      </w:r>
      <w:r w:rsidRPr="009E5A6C">
        <w:t>. Pursuant to rule 118, paragraph 5, of its rules of procedure, the Committee invites the State party to inform it, within 90 days from the date of the transmittal of th</w:t>
      </w:r>
      <w:r w:rsidR="00B95883">
        <w:t>e present</w:t>
      </w:r>
      <w:r w:rsidRPr="009E5A6C">
        <w:t xml:space="preserve"> decision, of the steps it has taken </w:t>
      </w:r>
      <w:r w:rsidR="00B95883">
        <w:t>to respond to</w:t>
      </w:r>
      <w:r w:rsidRPr="009E5A6C">
        <w:t xml:space="preserve"> the above observations.</w:t>
      </w:r>
      <w:r w:rsidRPr="004D5C23" w:rsidDel="00904473">
        <w:t xml:space="preserve"> </w:t>
      </w:r>
    </w:p>
    <w:p w14:paraId="2DB27596" w14:textId="77777777" w:rsidR="00026872" w:rsidRPr="00026872" w:rsidRDefault="00026872" w:rsidP="006B5665">
      <w:pPr>
        <w:pStyle w:val="SingleTxtG"/>
        <w:spacing w:before="240" w:after="0"/>
        <w:jc w:val="center"/>
      </w:pPr>
      <w:r w:rsidRPr="00D7595D">
        <w:rPr>
          <w:sz w:val="22"/>
          <w:szCs w:val="22"/>
          <w:u w:val="single"/>
        </w:rPr>
        <w:tab/>
      </w:r>
      <w:r w:rsidRPr="00D7595D">
        <w:rPr>
          <w:sz w:val="22"/>
          <w:szCs w:val="22"/>
          <w:u w:val="single"/>
        </w:rPr>
        <w:tab/>
      </w:r>
      <w:r w:rsidRPr="00D7595D">
        <w:rPr>
          <w:sz w:val="22"/>
          <w:szCs w:val="22"/>
          <w:u w:val="single"/>
        </w:rPr>
        <w:tab/>
      </w:r>
    </w:p>
    <w:sectPr w:rsidR="00026872" w:rsidRPr="00026872" w:rsidSect="00BB7756">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rt" w:date="2016-02-10T09:10:00Z" w:initials="Start">
    <w:p w14:paraId="48629374" w14:textId="77777777" w:rsidR="00BB7756" w:rsidRDefault="00BB775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NO&gt;&gt;N1602141E&lt;&lt;ODS JOB NO&gt;&gt;</w:t>
      </w:r>
    </w:p>
    <w:p w14:paraId="08BF9C04" w14:textId="77777777" w:rsidR="00BB7756" w:rsidRDefault="00BB7756">
      <w:pPr>
        <w:pStyle w:val="CommentText"/>
      </w:pPr>
      <w:r>
        <w:t>&lt;&lt;ODS DOC SYMBOL1&gt;&gt;CAT/C/56/D/562/2013&lt;&lt;ODS DOC SYMBOL1&gt;&gt;</w:t>
      </w:r>
    </w:p>
    <w:p w14:paraId="39D0F4E2" w14:textId="77777777" w:rsidR="00BB7756" w:rsidRDefault="00BB7756">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D0F4E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C287" w14:textId="77777777" w:rsidR="006231B8" w:rsidRDefault="006231B8"/>
  </w:endnote>
  <w:endnote w:type="continuationSeparator" w:id="0">
    <w:p w14:paraId="7C13193A" w14:textId="77777777" w:rsidR="006231B8" w:rsidRDefault="006231B8"/>
  </w:endnote>
  <w:endnote w:type="continuationNotice" w:id="1">
    <w:p w14:paraId="53370811" w14:textId="77777777" w:rsidR="006231B8" w:rsidRDefault="0062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FAC9" w14:textId="739F3018" w:rsidR="003F4762" w:rsidRPr="00503CE5" w:rsidRDefault="003F4762" w:rsidP="00503CE5">
    <w:pPr>
      <w:pStyle w:val="Footer"/>
      <w:tabs>
        <w:tab w:val="right" w:pos="9638"/>
      </w:tabs>
    </w:pPr>
    <w:r w:rsidRPr="00503CE5">
      <w:rPr>
        <w:b/>
        <w:sz w:val="18"/>
      </w:rPr>
      <w:fldChar w:fldCharType="begin"/>
    </w:r>
    <w:r w:rsidRPr="00503CE5">
      <w:rPr>
        <w:b/>
        <w:sz w:val="18"/>
      </w:rPr>
      <w:instrText xml:space="preserve"> PAGE  \* MERGEFORMAT </w:instrText>
    </w:r>
    <w:r w:rsidRPr="00503CE5">
      <w:rPr>
        <w:b/>
        <w:sz w:val="18"/>
      </w:rPr>
      <w:fldChar w:fldCharType="separate"/>
    </w:r>
    <w:r w:rsidR="00EB7FFE">
      <w:rPr>
        <w:b/>
        <w:noProof/>
        <w:sz w:val="18"/>
      </w:rPr>
      <w:t>2</w:t>
    </w:r>
    <w:r w:rsidRPr="00503CE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649D" w14:textId="77777777" w:rsidR="003F4762" w:rsidRPr="00503CE5" w:rsidRDefault="003F4762" w:rsidP="00503CE5">
    <w:pPr>
      <w:pStyle w:val="Footer"/>
      <w:tabs>
        <w:tab w:val="right" w:pos="9638"/>
      </w:tabs>
      <w:rPr>
        <w:b/>
        <w:sz w:val="18"/>
      </w:rPr>
    </w:pPr>
    <w:r>
      <w:tab/>
    </w:r>
    <w:r w:rsidRPr="00503CE5">
      <w:rPr>
        <w:b/>
        <w:sz w:val="18"/>
      </w:rPr>
      <w:fldChar w:fldCharType="begin"/>
    </w:r>
    <w:r w:rsidRPr="00503CE5">
      <w:rPr>
        <w:b/>
        <w:sz w:val="18"/>
      </w:rPr>
      <w:instrText xml:space="preserve"> PAGE  \* MERGEFORMAT </w:instrText>
    </w:r>
    <w:r w:rsidRPr="00503CE5">
      <w:rPr>
        <w:b/>
        <w:sz w:val="18"/>
      </w:rPr>
      <w:fldChar w:fldCharType="separate"/>
    </w:r>
    <w:r w:rsidR="001B76E6">
      <w:rPr>
        <w:b/>
        <w:noProof/>
        <w:sz w:val="18"/>
      </w:rPr>
      <w:t>11</w:t>
    </w:r>
    <w:r w:rsidRPr="00503CE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BB7756" w14:paraId="0312FFF2" w14:textId="77777777" w:rsidTr="00BB7756">
      <w:tc>
        <w:tcPr>
          <w:tcW w:w="3758" w:type="dxa"/>
          <w:shd w:val="clear" w:color="auto" w:fill="auto"/>
        </w:tcPr>
        <w:p w14:paraId="753BFCD8" w14:textId="77777777" w:rsidR="00BB7756" w:rsidRDefault="00BB7756" w:rsidP="00BB7756">
          <w:pPr>
            <w:pStyle w:val="Footer"/>
            <w:rPr>
              <w:sz w:val="20"/>
            </w:rPr>
          </w:pPr>
          <w:r>
            <w:rPr>
              <w:noProof/>
              <w:sz w:val="20"/>
              <w:lang w:val="en-US"/>
            </w:rPr>
            <w:drawing>
              <wp:anchor distT="0" distB="0" distL="114300" distR="114300" simplePos="0" relativeHeight="251658240" behindDoc="0" locked="0" layoutInCell="1" allowOverlap="1" wp14:anchorId="0C9C78BF" wp14:editId="69D0FB6B">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CAT/C/56/D/562/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62/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GE.16-01750(E)</w:t>
          </w:r>
        </w:p>
        <w:p w14:paraId="195FDE3C" w14:textId="77777777" w:rsidR="00BB7756" w:rsidRPr="00BB7756" w:rsidRDefault="00BB7756" w:rsidP="00BB7756">
          <w:pPr>
            <w:pStyle w:val="Footer"/>
            <w:rPr>
              <w:rFonts w:ascii="Barcode 3 of 9 by request" w:hAnsi="Barcode 3 of 9 by request"/>
              <w:sz w:val="24"/>
            </w:rPr>
          </w:pPr>
          <w:r>
            <w:rPr>
              <w:rFonts w:ascii="Barcode 3 of 9 by request" w:hAnsi="Barcode 3 of 9 by request"/>
              <w:sz w:val="24"/>
            </w:rPr>
            <w:t>*1601750*</w:t>
          </w:r>
        </w:p>
      </w:tc>
      <w:tc>
        <w:tcPr>
          <w:tcW w:w="4928" w:type="dxa"/>
          <w:shd w:val="clear" w:color="auto" w:fill="auto"/>
        </w:tcPr>
        <w:p w14:paraId="0DDD6FB4" w14:textId="77777777" w:rsidR="00BB7756" w:rsidRDefault="00BB7756" w:rsidP="00BB7756">
          <w:pPr>
            <w:pStyle w:val="Footer"/>
            <w:spacing w:line="240" w:lineRule="atLeast"/>
            <w:jc w:val="right"/>
            <w:rPr>
              <w:sz w:val="20"/>
            </w:rPr>
          </w:pPr>
          <w:r>
            <w:rPr>
              <w:noProof/>
              <w:sz w:val="20"/>
              <w:lang w:val="en-US"/>
            </w:rPr>
            <w:drawing>
              <wp:inline distT="0" distB="0" distL="0" distR="0" wp14:anchorId="114A3561" wp14:editId="66EE873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AF19932" w14:textId="77777777" w:rsidR="00BB7756" w:rsidRPr="00BB7756" w:rsidRDefault="00BB7756" w:rsidP="00BB7756">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7B8F" w14:textId="77777777" w:rsidR="006231B8" w:rsidRPr="000B175B" w:rsidRDefault="006231B8" w:rsidP="000B175B">
      <w:pPr>
        <w:tabs>
          <w:tab w:val="right" w:pos="2155"/>
        </w:tabs>
        <w:spacing w:after="80"/>
        <w:ind w:left="680"/>
        <w:rPr>
          <w:u w:val="single"/>
        </w:rPr>
      </w:pPr>
      <w:r>
        <w:rPr>
          <w:u w:val="single"/>
        </w:rPr>
        <w:tab/>
      </w:r>
    </w:p>
  </w:footnote>
  <w:footnote w:type="continuationSeparator" w:id="0">
    <w:p w14:paraId="099BF26A" w14:textId="77777777" w:rsidR="006231B8" w:rsidRPr="00FC68B7" w:rsidRDefault="006231B8" w:rsidP="00FC68B7">
      <w:pPr>
        <w:tabs>
          <w:tab w:val="left" w:pos="2155"/>
        </w:tabs>
        <w:spacing w:after="80"/>
        <w:ind w:left="680"/>
        <w:rPr>
          <w:u w:val="single"/>
        </w:rPr>
      </w:pPr>
      <w:r>
        <w:rPr>
          <w:u w:val="single"/>
        </w:rPr>
        <w:tab/>
      </w:r>
    </w:p>
  </w:footnote>
  <w:footnote w:type="continuationNotice" w:id="1">
    <w:p w14:paraId="6FF59F63" w14:textId="77777777" w:rsidR="006231B8" w:rsidRDefault="006231B8"/>
  </w:footnote>
  <w:footnote w:id="2">
    <w:p w14:paraId="67C6B6BA" w14:textId="77777777" w:rsidR="003F4762" w:rsidRDefault="003F4762" w:rsidP="00AC77DD">
      <w:pPr>
        <w:pStyle w:val="FootnoteText"/>
      </w:pPr>
      <w:r>
        <w:rPr>
          <w:rStyle w:val="FootnoteReference"/>
          <w:sz w:val="20"/>
        </w:rPr>
        <w:tab/>
      </w:r>
      <w:r w:rsidRPr="00414580">
        <w:rPr>
          <w:rStyle w:val="FootnoteReference"/>
          <w:sz w:val="20"/>
          <w:vertAlign w:val="baseline"/>
        </w:rPr>
        <w:t>*</w:t>
      </w:r>
      <w:bookmarkStart w:id="2" w:name="OLE_LINK2"/>
      <w:bookmarkStart w:id="3" w:name="OLE_LINK1"/>
      <w:r w:rsidRPr="00414580">
        <w:rPr>
          <w:rStyle w:val="FootnoteReference"/>
          <w:sz w:val="20"/>
          <w:vertAlign w:val="baseline"/>
        </w:rPr>
        <w:tab/>
      </w:r>
      <w:r>
        <w:t>The following members of the Committee participated in the examination of the present communication:</w:t>
      </w:r>
      <w:bookmarkEnd w:id="2"/>
      <w:bookmarkEnd w:id="3"/>
      <w:r>
        <w:t xml:space="preserve"> Essadia Belmir, Alessio Bruni, Satyabhoosun Gupt Domah, </w:t>
      </w:r>
      <w:r w:rsidRPr="00993704">
        <w:t xml:space="preserve">Abdoulaye Gaye, </w:t>
      </w:r>
      <w:r w:rsidRPr="00DB0240">
        <w:rPr>
          <w:bCs/>
        </w:rPr>
        <w:t>Jens</w:t>
      </w:r>
      <w:r>
        <w:rPr>
          <w:bCs/>
        </w:rPr>
        <w:t> </w:t>
      </w:r>
      <w:r w:rsidRPr="00DB0240">
        <w:rPr>
          <w:bCs/>
        </w:rPr>
        <w:t>Modvig,</w:t>
      </w:r>
      <w:r w:rsidRPr="00DB0240">
        <w:t xml:space="preserve"> </w:t>
      </w:r>
      <w:r w:rsidRPr="00993704">
        <w:t>Sapana Pradhan-Malla,</w:t>
      </w:r>
      <w:r>
        <w:t xml:space="preserve"> George Tugushi</w:t>
      </w:r>
      <w:r w:rsidRPr="00993704">
        <w:t xml:space="preserve"> </w:t>
      </w:r>
      <w:r>
        <w:t>and Kening Zhang.</w:t>
      </w:r>
    </w:p>
  </w:footnote>
  <w:footnote w:id="3">
    <w:p w14:paraId="4D5CE4AC" w14:textId="77777777" w:rsidR="003F4762" w:rsidRPr="00AF2C3C" w:rsidRDefault="003F4762">
      <w:pPr>
        <w:pStyle w:val="FootnoteText"/>
        <w:widowControl w:val="0"/>
        <w:tabs>
          <w:tab w:val="clear" w:pos="1021"/>
          <w:tab w:val="right" w:pos="1020"/>
        </w:tabs>
      </w:pPr>
      <w:r>
        <w:tab/>
      </w:r>
      <w:r>
        <w:rPr>
          <w:rStyle w:val="FootnoteReference"/>
        </w:rPr>
        <w:footnoteRef/>
      </w:r>
      <w:r>
        <w:tab/>
      </w:r>
      <w:r w:rsidRPr="005C629A">
        <w:rPr>
          <w:szCs w:val="18"/>
        </w:rPr>
        <w:t xml:space="preserve">The complainant provides a copy of his Gay and Lesbian Association membership card. He also provides a letter from </w:t>
      </w:r>
      <w:r>
        <w:rPr>
          <w:szCs w:val="18"/>
        </w:rPr>
        <w:t>R.</w:t>
      </w:r>
      <w:r w:rsidRPr="005C629A">
        <w:rPr>
          <w:szCs w:val="18"/>
        </w:rPr>
        <w:t>M</w:t>
      </w:r>
      <w:r>
        <w:rPr>
          <w:szCs w:val="18"/>
        </w:rPr>
        <w:t>.</w:t>
      </w:r>
      <w:r w:rsidRPr="005C629A">
        <w:rPr>
          <w:szCs w:val="18"/>
        </w:rPr>
        <w:t xml:space="preserve">, dated 10 October 2012, stating that the complainant was a loyal member </w:t>
      </w:r>
      <w:r w:rsidR="008317B6">
        <w:rPr>
          <w:szCs w:val="18"/>
        </w:rPr>
        <w:t>of</w:t>
      </w:r>
      <w:r w:rsidRPr="005C629A">
        <w:rPr>
          <w:szCs w:val="18"/>
        </w:rPr>
        <w:t xml:space="preserve"> the </w:t>
      </w:r>
      <w:r>
        <w:rPr>
          <w:szCs w:val="18"/>
        </w:rPr>
        <w:t>A</w:t>
      </w:r>
      <w:r w:rsidRPr="005C629A">
        <w:rPr>
          <w:szCs w:val="18"/>
        </w:rPr>
        <w:t>ssociation and fled Uganda out of fear for his life.</w:t>
      </w:r>
      <w:r>
        <w:rPr>
          <w:szCs w:val="18"/>
        </w:rPr>
        <w:t xml:space="preserve"> </w:t>
      </w:r>
    </w:p>
  </w:footnote>
  <w:footnote w:id="4">
    <w:p w14:paraId="7FBD71EC" w14:textId="77777777" w:rsidR="003F4762" w:rsidRPr="00AF2C3C" w:rsidRDefault="003F4762">
      <w:pPr>
        <w:pStyle w:val="FootnoteText"/>
        <w:widowControl w:val="0"/>
        <w:tabs>
          <w:tab w:val="clear" w:pos="1021"/>
          <w:tab w:val="right" w:pos="1020"/>
        </w:tabs>
      </w:pPr>
      <w:r>
        <w:tab/>
      </w:r>
      <w:r>
        <w:rPr>
          <w:rStyle w:val="FootnoteReference"/>
        </w:rPr>
        <w:footnoteRef/>
      </w:r>
      <w:r>
        <w:tab/>
      </w:r>
      <w:r w:rsidRPr="005C629A">
        <w:rPr>
          <w:szCs w:val="18"/>
        </w:rPr>
        <w:t xml:space="preserve">The complainant states that during the meetings, members discussed problems they were encountering, such as discrimination, torture, HIV/AIDS in the </w:t>
      </w:r>
      <w:r>
        <w:t>l</w:t>
      </w:r>
      <w:r w:rsidRPr="005C629A">
        <w:t xml:space="preserve">esbian, </w:t>
      </w:r>
      <w:r>
        <w:t>g</w:t>
      </w:r>
      <w:r w:rsidRPr="005C629A">
        <w:t xml:space="preserve">ay, </w:t>
      </w:r>
      <w:r>
        <w:t>b</w:t>
      </w:r>
      <w:r w:rsidRPr="005C629A">
        <w:t xml:space="preserve">isexual and </w:t>
      </w:r>
      <w:r>
        <w:t>t</w:t>
      </w:r>
      <w:r w:rsidRPr="005C629A">
        <w:t>ransgender</w:t>
      </w:r>
      <w:r w:rsidRPr="005C629A">
        <w:rPr>
          <w:szCs w:val="18"/>
        </w:rPr>
        <w:t xml:space="preserve"> community, equality for gays, and the struggle to make the </w:t>
      </w:r>
      <w:r>
        <w:rPr>
          <w:szCs w:val="18"/>
        </w:rPr>
        <w:t>G</w:t>
      </w:r>
      <w:r w:rsidRPr="005C629A">
        <w:rPr>
          <w:szCs w:val="18"/>
        </w:rPr>
        <w:t xml:space="preserve">overnment </w:t>
      </w:r>
      <w:r>
        <w:rPr>
          <w:szCs w:val="18"/>
        </w:rPr>
        <w:t xml:space="preserve">of </w:t>
      </w:r>
      <w:r w:rsidRPr="005C629A">
        <w:rPr>
          <w:szCs w:val="18"/>
        </w:rPr>
        <w:t>Uganda</w:t>
      </w:r>
      <w:r>
        <w:rPr>
          <w:szCs w:val="18"/>
        </w:rPr>
        <w:t xml:space="preserve"> </w:t>
      </w:r>
      <w:r w:rsidRPr="005C629A">
        <w:rPr>
          <w:szCs w:val="18"/>
        </w:rPr>
        <w:t xml:space="preserve">recognize </w:t>
      </w:r>
      <w:r>
        <w:t>l</w:t>
      </w:r>
      <w:r w:rsidRPr="005C629A">
        <w:t xml:space="preserve">esbian, </w:t>
      </w:r>
      <w:r>
        <w:t>g</w:t>
      </w:r>
      <w:r w:rsidRPr="005C629A">
        <w:t xml:space="preserve">ay, </w:t>
      </w:r>
      <w:r>
        <w:t>b</w:t>
      </w:r>
      <w:r w:rsidRPr="005C629A">
        <w:t xml:space="preserve">isexual and </w:t>
      </w:r>
      <w:r>
        <w:t>t</w:t>
      </w:r>
      <w:r w:rsidRPr="005C629A">
        <w:t>ransgender</w:t>
      </w:r>
      <w:r w:rsidRPr="005C629A">
        <w:rPr>
          <w:szCs w:val="18"/>
        </w:rPr>
        <w:t xml:space="preserve"> rights and same</w:t>
      </w:r>
      <w:r>
        <w:rPr>
          <w:szCs w:val="18"/>
        </w:rPr>
        <w:t>-</w:t>
      </w:r>
      <w:r w:rsidRPr="005C629A">
        <w:rPr>
          <w:szCs w:val="18"/>
        </w:rPr>
        <w:t>sex marriage.</w:t>
      </w:r>
      <w:r>
        <w:t xml:space="preserve"> </w:t>
      </w:r>
    </w:p>
  </w:footnote>
  <w:footnote w:id="5">
    <w:p w14:paraId="21C869F7" w14:textId="77777777" w:rsidR="003F4762" w:rsidRPr="00AF2C3C" w:rsidRDefault="003F4762" w:rsidP="00E33E39">
      <w:pPr>
        <w:pStyle w:val="FootnoteText"/>
        <w:widowControl w:val="0"/>
        <w:tabs>
          <w:tab w:val="clear" w:pos="1021"/>
          <w:tab w:val="right" w:pos="1020"/>
        </w:tabs>
      </w:pPr>
      <w:r>
        <w:tab/>
      </w:r>
      <w:r>
        <w:rPr>
          <w:rStyle w:val="FootnoteReference"/>
        </w:rPr>
        <w:footnoteRef/>
      </w:r>
      <w:r>
        <w:tab/>
      </w:r>
      <w:r w:rsidRPr="005C629A">
        <w:rPr>
          <w:rFonts w:eastAsia="Calibri"/>
          <w:szCs w:val="18"/>
        </w:rPr>
        <w:t xml:space="preserve">The complainant provides a copy of the </w:t>
      </w:r>
      <w:r>
        <w:rPr>
          <w:rFonts w:eastAsia="Calibri"/>
          <w:szCs w:val="18"/>
        </w:rPr>
        <w:t>r</w:t>
      </w:r>
      <w:r w:rsidRPr="005C629A">
        <w:rPr>
          <w:rFonts w:eastAsia="Calibri"/>
          <w:szCs w:val="18"/>
        </w:rPr>
        <w:t xml:space="preserve">elease </w:t>
      </w:r>
      <w:r>
        <w:rPr>
          <w:rFonts w:eastAsia="Calibri"/>
          <w:szCs w:val="18"/>
        </w:rPr>
        <w:t>b</w:t>
      </w:r>
      <w:r w:rsidRPr="005C629A">
        <w:rPr>
          <w:rFonts w:eastAsia="Calibri"/>
          <w:szCs w:val="18"/>
        </w:rPr>
        <w:t>ond, dated 24 August 2007.</w:t>
      </w:r>
      <w:r>
        <w:t xml:space="preserve"> </w:t>
      </w:r>
    </w:p>
  </w:footnote>
  <w:footnote w:id="6">
    <w:p w14:paraId="2095ECB1" w14:textId="77777777" w:rsidR="003F4762" w:rsidRPr="00AF2C3C" w:rsidRDefault="003F4762" w:rsidP="00712CA5">
      <w:pPr>
        <w:pStyle w:val="FootnoteText"/>
        <w:widowControl w:val="0"/>
        <w:tabs>
          <w:tab w:val="clear" w:pos="1021"/>
          <w:tab w:val="right" w:pos="1020"/>
        </w:tabs>
      </w:pPr>
      <w:r>
        <w:tab/>
      </w:r>
      <w:r>
        <w:rPr>
          <w:rStyle w:val="FootnoteReference"/>
        </w:rPr>
        <w:footnoteRef/>
      </w:r>
      <w:r>
        <w:tab/>
      </w:r>
      <w:r w:rsidRPr="00330333">
        <w:rPr>
          <w:rFonts w:eastAsia="Calibri"/>
          <w:szCs w:val="18"/>
        </w:rPr>
        <w:t xml:space="preserve">The complainant provides a medical </w:t>
      </w:r>
      <w:r w:rsidR="00712CA5">
        <w:rPr>
          <w:rFonts w:eastAsia="Calibri"/>
          <w:szCs w:val="18"/>
        </w:rPr>
        <w:t>report</w:t>
      </w:r>
      <w:r w:rsidRPr="00330333">
        <w:rPr>
          <w:rFonts w:eastAsia="Calibri"/>
          <w:szCs w:val="18"/>
        </w:rPr>
        <w:t xml:space="preserve"> from Asoka Medical Centre stating that he was treated for severe pain in the left arm</w:t>
      </w:r>
      <w:r w:rsidR="00843D92">
        <w:rPr>
          <w:rFonts w:eastAsia="Calibri"/>
          <w:szCs w:val="18"/>
        </w:rPr>
        <w:t xml:space="preserve"> and pain in his</w:t>
      </w:r>
      <w:r w:rsidRPr="00330333">
        <w:rPr>
          <w:rFonts w:eastAsia="Calibri"/>
          <w:szCs w:val="18"/>
        </w:rPr>
        <w:t xml:space="preserve"> chest and abdominal </w:t>
      </w:r>
      <w:r>
        <w:rPr>
          <w:rFonts w:eastAsia="Calibri"/>
          <w:szCs w:val="18"/>
        </w:rPr>
        <w:t>after having been</w:t>
      </w:r>
      <w:r w:rsidRPr="00330333">
        <w:rPr>
          <w:rFonts w:eastAsia="Calibri"/>
          <w:szCs w:val="18"/>
        </w:rPr>
        <w:t xml:space="preserve"> </w:t>
      </w:r>
      <w:r>
        <w:rPr>
          <w:rFonts w:eastAsia="Calibri"/>
          <w:szCs w:val="18"/>
        </w:rPr>
        <w:t>“attacked by anti-gay activists</w:t>
      </w:r>
      <w:r w:rsidRPr="00330333">
        <w:rPr>
          <w:rFonts w:eastAsia="Calibri"/>
          <w:szCs w:val="18"/>
        </w:rPr>
        <w:t>”</w:t>
      </w:r>
      <w:r>
        <w:rPr>
          <w:rFonts w:eastAsia="Calibri"/>
          <w:szCs w:val="18"/>
        </w:rPr>
        <w:t>.</w:t>
      </w:r>
      <w:r>
        <w:t xml:space="preserve"> </w:t>
      </w:r>
    </w:p>
  </w:footnote>
  <w:footnote w:id="7">
    <w:p w14:paraId="32A6127A" w14:textId="77777777" w:rsidR="003F4762" w:rsidRPr="00AF2C3C" w:rsidRDefault="003F4762" w:rsidP="008317B6">
      <w:pPr>
        <w:pStyle w:val="FootnoteText"/>
        <w:widowControl w:val="0"/>
        <w:tabs>
          <w:tab w:val="clear" w:pos="1021"/>
          <w:tab w:val="right" w:pos="1020"/>
        </w:tabs>
      </w:pPr>
      <w:r>
        <w:tab/>
      </w:r>
      <w:r>
        <w:rPr>
          <w:rStyle w:val="FootnoteReference"/>
        </w:rPr>
        <w:footnoteRef/>
      </w:r>
      <w:r>
        <w:tab/>
      </w:r>
      <w:r w:rsidRPr="005C629A">
        <w:rPr>
          <w:szCs w:val="18"/>
        </w:rPr>
        <w:t>The complainant provides a copy of an e-mail from P</w:t>
      </w:r>
      <w:r>
        <w:rPr>
          <w:szCs w:val="18"/>
        </w:rPr>
        <w:t>.</w:t>
      </w:r>
      <w:r w:rsidRPr="005C629A">
        <w:rPr>
          <w:szCs w:val="18"/>
        </w:rPr>
        <w:t>O</w:t>
      </w:r>
      <w:r w:rsidR="00BA5D12">
        <w:rPr>
          <w:szCs w:val="18"/>
        </w:rPr>
        <w:t>.</w:t>
      </w:r>
      <w:r w:rsidRPr="005C629A">
        <w:rPr>
          <w:szCs w:val="18"/>
        </w:rPr>
        <w:t>, dated 8 February 2011, containing threats and criticisms of the “selfish culture of sodomy”, and copies of a public notice published in a newspaper and of a “wanted” notice with a photo</w:t>
      </w:r>
      <w:r>
        <w:rPr>
          <w:szCs w:val="18"/>
        </w:rPr>
        <w:t>graph</w:t>
      </w:r>
      <w:r w:rsidRPr="005C629A">
        <w:rPr>
          <w:szCs w:val="18"/>
        </w:rPr>
        <w:t xml:space="preserve"> and the name of the author, indicating that he is one of the most wanted homosexual leader</w:t>
      </w:r>
      <w:r>
        <w:rPr>
          <w:szCs w:val="18"/>
        </w:rPr>
        <w:t>s</w:t>
      </w:r>
      <w:r w:rsidRPr="005C629A">
        <w:rPr>
          <w:szCs w:val="18"/>
        </w:rPr>
        <w:t xml:space="preserve"> in a group called Rainbow and is wanted by the Security Agency.</w:t>
      </w:r>
      <w:r>
        <w:t xml:space="preserve"> </w:t>
      </w:r>
    </w:p>
  </w:footnote>
  <w:footnote w:id="8">
    <w:p w14:paraId="281F936F" w14:textId="77777777" w:rsidR="003F4762" w:rsidRPr="00AF2C3C" w:rsidRDefault="003F4762">
      <w:pPr>
        <w:pStyle w:val="FootnoteText"/>
        <w:widowControl w:val="0"/>
        <w:tabs>
          <w:tab w:val="clear" w:pos="1021"/>
          <w:tab w:val="right" w:pos="1020"/>
        </w:tabs>
      </w:pPr>
      <w:r>
        <w:tab/>
      </w:r>
      <w:r>
        <w:rPr>
          <w:rStyle w:val="FootnoteReference"/>
        </w:rPr>
        <w:footnoteRef/>
      </w:r>
      <w:r>
        <w:tab/>
      </w:r>
      <w:r w:rsidRPr="005C629A">
        <w:rPr>
          <w:szCs w:val="18"/>
        </w:rPr>
        <w:t>No further details are provided on th</w:t>
      </w:r>
      <w:r>
        <w:rPr>
          <w:szCs w:val="18"/>
        </w:rPr>
        <w:t>e</w:t>
      </w:r>
      <w:r w:rsidRPr="005C629A">
        <w:rPr>
          <w:szCs w:val="18"/>
        </w:rPr>
        <w:t xml:space="preserve"> allegation.</w:t>
      </w:r>
      <w:r>
        <w:t xml:space="preserve"> </w:t>
      </w:r>
    </w:p>
  </w:footnote>
  <w:footnote w:id="9">
    <w:p w14:paraId="5E67DD3E" w14:textId="77777777" w:rsidR="003F4762" w:rsidRPr="00AF2C3C" w:rsidRDefault="003F4762">
      <w:pPr>
        <w:pStyle w:val="FootnoteText"/>
        <w:widowControl w:val="0"/>
        <w:tabs>
          <w:tab w:val="clear" w:pos="1021"/>
          <w:tab w:val="right" w:pos="1020"/>
        </w:tabs>
      </w:pPr>
      <w:r>
        <w:tab/>
      </w:r>
      <w:r>
        <w:rPr>
          <w:rStyle w:val="FootnoteReference"/>
        </w:rPr>
        <w:footnoteRef/>
      </w:r>
      <w:r>
        <w:tab/>
      </w:r>
      <w:r w:rsidRPr="005C629A">
        <w:rPr>
          <w:szCs w:val="18"/>
        </w:rPr>
        <w:t xml:space="preserve">The complainant provides a letter dated 13 February 2012 from </w:t>
      </w:r>
      <w:r>
        <w:rPr>
          <w:szCs w:val="18"/>
        </w:rPr>
        <w:t xml:space="preserve">the </w:t>
      </w:r>
      <w:r w:rsidRPr="005C629A">
        <w:rPr>
          <w:szCs w:val="18"/>
        </w:rPr>
        <w:t>Rainbow Resource Centre</w:t>
      </w:r>
      <w:r>
        <w:rPr>
          <w:szCs w:val="18"/>
        </w:rPr>
        <w:t>,</w:t>
      </w:r>
      <w:r w:rsidRPr="005C629A">
        <w:rPr>
          <w:szCs w:val="18"/>
        </w:rPr>
        <w:t xml:space="preserve"> located in Winnipeg, Canada</w:t>
      </w:r>
      <w:r>
        <w:rPr>
          <w:szCs w:val="18"/>
        </w:rPr>
        <w:t>,</w:t>
      </w:r>
      <w:r w:rsidRPr="005C629A">
        <w:rPr>
          <w:szCs w:val="18"/>
        </w:rPr>
        <w:t xml:space="preserve"> stating that his membership card is enclosed. A copy of the card is also provided. The Rainbow Resource Center letterhead states that it serves Manitoba’s gay, lesbian, bisexual, transgender, and two-spirit communities.</w:t>
      </w:r>
      <w:r>
        <w:t xml:space="preserve"> </w:t>
      </w:r>
    </w:p>
  </w:footnote>
  <w:footnote w:id="10">
    <w:p w14:paraId="519F7E25" w14:textId="77777777" w:rsidR="003F4762" w:rsidRPr="00AF2C3C" w:rsidRDefault="003F4762" w:rsidP="00337C14">
      <w:pPr>
        <w:pStyle w:val="FootnoteText"/>
        <w:widowControl w:val="0"/>
        <w:tabs>
          <w:tab w:val="clear" w:pos="1021"/>
          <w:tab w:val="right" w:pos="1020"/>
        </w:tabs>
      </w:pPr>
      <w:r>
        <w:tab/>
      </w:r>
      <w:r>
        <w:rPr>
          <w:rStyle w:val="FootnoteReference"/>
        </w:rPr>
        <w:footnoteRef/>
      </w:r>
      <w:r>
        <w:tab/>
      </w:r>
      <w:r w:rsidRPr="005C629A">
        <w:rPr>
          <w:szCs w:val="18"/>
        </w:rPr>
        <w:t xml:space="preserve">The complainant </w:t>
      </w:r>
      <w:r>
        <w:rPr>
          <w:szCs w:val="18"/>
        </w:rPr>
        <w:t xml:space="preserve">indicates that after his arrest, he contacted a friend and obtained a job as </w:t>
      </w:r>
      <w:r w:rsidR="00337C14">
        <w:rPr>
          <w:szCs w:val="18"/>
        </w:rPr>
        <w:t xml:space="preserve">a </w:t>
      </w:r>
      <w:r>
        <w:rPr>
          <w:szCs w:val="18"/>
        </w:rPr>
        <w:t xml:space="preserve">security guard in Iraq. </w:t>
      </w:r>
      <w:r w:rsidRPr="005C629A">
        <w:rPr>
          <w:szCs w:val="18"/>
        </w:rPr>
        <w:t xml:space="preserve">He does not specify </w:t>
      </w:r>
      <w:r w:rsidR="00337C14">
        <w:rPr>
          <w:szCs w:val="18"/>
        </w:rPr>
        <w:t>how much</w:t>
      </w:r>
      <w:r w:rsidRPr="005C629A">
        <w:rPr>
          <w:szCs w:val="18"/>
        </w:rPr>
        <w:t xml:space="preserve"> time elapsed between h</w:t>
      </w:r>
      <w:r>
        <w:rPr>
          <w:szCs w:val="18"/>
        </w:rPr>
        <w:t>is</w:t>
      </w:r>
      <w:r w:rsidRPr="005C629A">
        <w:rPr>
          <w:szCs w:val="18"/>
        </w:rPr>
        <w:t xml:space="preserve"> arrest and the </w:t>
      </w:r>
      <w:r>
        <w:rPr>
          <w:szCs w:val="18"/>
        </w:rPr>
        <w:t>date</w:t>
      </w:r>
      <w:r w:rsidRPr="005C629A">
        <w:rPr>
          <w:szCs w:val="18"/>
        </w:rPr>
        <w:t xml:space="preserve"> he left</w:t>
      </w:r>
      <w:r>
        <w:rPr>
          <w:szCs w:val="18"/>
        </w:rPr>
        <w:t xml:space="preserve"> Uganda</w:t>
      </w:r>
      <w:r w:rsidRPr="005C629A">
        <w:rPr>
          <w:szCs w:val="18"/>
        </w:rPr>
        <w:t>.</w:t>
      </w:r>
      <w:r>
        <w:t xml:space="preserve"> </w:t>
      </w:r>
    </w:p>
  </w:footnote>
  <w:footnote w:id="11">
    <w:p w14:paraId="6EB73D7C" w14:textId="77777777" w:rsidR="003F4762" w:rsidRPr="00AF2C3C" w:rsidRDefault="003F4762" w:rsidP="004F049C">
      <w:pPr>
        <w:pStyle w:val="FootnoteText"/>
        <w:widowControl w:val="0"/>
        <w:tabs>
          <w:tab w:val="clear" w:pos="1021"/>
          <w:tab w:val="right" w:pos="1020"/>
        </w:tabs>
      </w:pPr>
      <w:r>
        <w:tab/>
      </w:r>
      <w:r>
        <w:rPr>
          <w:rStyle w:val="FootnoteReference"/>
        </w:rPr>
        <w:footnoteRef/>
      </w:r>
      <w:r>
        <w:tab/>
      </w:r>
      <w:r w:rsidRPr="005C629A">
        <w:rPr>
          <w:szCs w:val="18"/>
        </w:rPr>
        <w:t>The complainant does not provide further details on the reasons for or circumstances behind his departure to Canada.</w:t>
      </w:r>
      <w:r>
        <w:t xml:space="preserve"> </w:t>
      </w:r>
    </w:p>
  </w:footnote>
  <w:footnote w:id="12">
    <w:p w14:paraId="06BEBB68" w14:textId="77777777" w:rsidR="003F4762" w:rsidRPr="00AF2C3C" w:rsidRDefault="003F4762" w:rsidP="004F049C">
      <w:pPr>
        <w:pStyle w:val="FootnoteText"/>
        <w:widowControl w:val="0"/>
        <w:tabs>
          <w:tab w:val="clear" w:pos="1021"/>
          <w:tab w:val="right" w:pos="1020"/>
        </w:tabs>
      </w:pPr>
      <w:r>
        <w:tab/>
      </w:r>
      <w:r>
        <w:rPr>
          <w:rStyle w:val="FootnoteReference"/>
        </w:rPr>
        <w:footnoteRef/>
      </w:r>
      <w:r>
        <w:tab/>
      </w:r>
      <w:r w:rsidRPr="00606F08">
        <w:rPr>
          <w:szCs w:val="18"/>
        </w:rPr>
        <w:t>The letter, which is signed “Your mummy Aida [illegible],” states, “Each and every day the security people are searching our house thinking you are hiding in there. I was one day taken and tortured so that I tell them your whereabouts. Even the local community have turned against you, saying that you have joined hands with the whites to spoil their cul</w:t>
      </w:r>
      <w:r>
        <w:rPr>
          <w:szCs w:val="18"/>
        </w:rPr>
        <w:t>ture by preaching homosexuality</w:t>
      </w:r>
      <w:r w:rsidRPr="00606F08">
        <w:rPr>
          <w:szCs w:val="18"/>
        </w:rPr>
        <w:t>”</w:t>
      </w:r>
      <w:r>
        <w:rPr>
          <w:szCs w:val="18"/>
        </w:rPr>
        <w:t>.</w:t>
      </w:r>
      <w:r>
        <w:t xml:space="preserve"> </w:t>
      </w:r>
    </w:p>
  </w:footnote>
  <w:footnote w:id="13">
    <w:p w14:paraId="5E2833E9" w14:textId="77777777" w:rsidR="003F4762" w:rsidRPr="00AF2C3C" w:rsidRDefault="003F4762">
      <w:pPr>
        <w:pStyle w:val="FootnoteText"/>
        <w:widowControl w:val="0"/>
        <w:tabs>
          <w:tab w:val="clear" w:pos="1021"/>
          <w:tab w:val="right" w:pos="1020"/>
        </w:tabs>
      </w:pPr>
      <w:r>
        <w:tab/>
      </w:r>
      <w:r>
        <w:rPr>
          <w:rStyle w:val="FootnoteReference"/>
        </w:rPr>
        <w:footnoteRef/>
      </w:r>
      <w:r>
        <w:tab/>
      </w:r>
      <w:r w:rsidRPr="005C629A">
        <w:rPr>
          <w:szCs w:val="18"/>
        </w:rPr>
        <w:t xml:space="preserve">In its submission dated 26 June 2014, the State party also considered that the communication was inadmissible on the basis of non-exhaustion of domestic remedies </w:t>
      </w:r>
      <w:r>
        <w:rPr>
          <w:szCs w:val="18"/>
        </w:rPr>
        <w:t>owing</w:t>
      </w:r>
      <w:r w:rsidRPr="005C629A">
        <w:rPr>
          <w:szCs w:val="18"/>
        </w:rPr>
        <w:t xml:space="preserve"> to a pending </w:t>
      </w:r>
      <w:r w:rsidRPr="005C629A">
        <w:t>pre-removal risk assessment</w:t>
      </w:r>
      <w:r w:rsidRPr="005C629A">
        <w:rPr>
          <w:szCs w:val="18"/>
        </w:rPr>
        <w:t>. However, in its submission dated 26 August 2014, the State party withdrew th</w:t>
      </w:r>
      <w:r>
        <w:rPr>
          <w:szCs w:val="18"/>
        </w:rPr>
        <w:t>at</w:t>
      </w:r>
      <w:r w:rsidRPr="005C629A">
        <w:rPr>
          <w:szCs w:val="18"/>
        </w:rPr>
        <w:t xml:space="preserve"> argument and informed </w:t>
      </w:r>
      <w:r>
        <w:rPr>
          <w:szCs w:val="18"/>
        </w:rPr>
        <w:t xml:space="preserve">the Committee </w:t>
      </w:r>
      <w:r w:rsidRPr="005C629A">
        <w:rPr>
          <w:szCs w:val="18"/>
        </w:rPr>
        <w:t xml:space="preserve">that the complainant’s </w:t>
      </w:r>
      <w:r w:rsidR="005972BD" w:rsidRPr="005C629A">
        <w:t>pre-removal risk assessment</w:t>
      </w:r>
      <w:r>
        <w:rPr>
          <w:szCs w:val="18"/>
        </w:rPr>
        <w:t xml:space="preserve"> </w:t>
      </w:r>
      <w:r w:rsidRPr="005C629A">
        <w:rPr>
          <w:szCs w:val="18"/>
        </w:rPr>
        <w:t>had been denied.</w:t>
      </w:r>
      <w:r>
        <w:rPr>
          <w:szCs w:val="18"/>
        </w:rPr>
        <w:t xml:space="preserve"> </w:t>
      </w:r>
    </w:p>
  </w:footnote>
  <w:footnote w:id="14">
    <w:p w14:paraId="475C5526" w14:textId="77777777" w:rsidR="003F4762" w:rsidRPr="00AF2C3C" w:rsidRDefault="003F4762" w:rsidP="00843521">
      <w:pPr>
        <w:pStyle w:val="FootnoteText"/>
        <w:widowControl w:val="0"/>
        <w:tabs>
          <w:tab w:val="clear" w:pos="1021"/>
          <w:tab w:val="right" w:pos="1020"/>
        </w:tabs>
      </w:pPr>
      <w:r>
        <w:tab/>
      </w:r>
      <w:r>
        <w:rPr>
          <w:rStyle w:val="FootnoteReference"/>
        </w:rPr>
        <w:footnoteRef/>
      </w:r>
      <w:r>
        <w:tab/>
      </w:r>
      <w:r w:rsidRPr="005C629A">
        <w:rPr>
          <w:szCs w:val="18"/>
        </w:rPr>
        <w:t xml:space="preserve">The State party cites </w:t>
      </w:r>
      <w:r w:rsidR="0085518B">
        <w:rPr>
          <w:szCs w:val="18"/>
        </w:rPr>
        <w:t xml:space="preserve">the </w:t>
      </w:r>
      <w:r w:rsidRPr="005C629A">
        <w:rPr>
          <w:szCs w:val="18"/>
        </w:rPr>
        <w:t xml:space="preserve">United States Department of State, </w:t>
      </w:r>
      <w:r w:rsidR="001D2EE2">
        <w:rPr>
          <w:szCs w:val="18"/>
        </w:rPr>
        <w:t>“</w:t>
      </w:r>
      <w:r w:rsidR="0085518B" w:rsidRPr="005C629A">
        <w:rPr>
          <w:szCs w:val="18"/>
        </w:rPr>
        <w:t>Uganda</w:t>
      </w:r>
      <w:r w:rsidR="0085518B">
        <w:rPr>
          <w:szCs w:val="18"/>
        </w:rPr>
        <w:t xml:space="preserve"> </w:t>
      </w:r>
      <w:r w:rsidRPr="005C629A">
        <w:rPr>
          <w:szCs w:val="18"/>
        </w:rPr>
        <w:t xml:space="preserve">2013 Human Rights </w:t>
      </w:r>
      <w:r w:rsidR="0085518B">
        <w:rPr>
          <w:szCs w:val="18"/>
        </w:rPr>
        <w:t>Report</w:t>
      </w:r>
      <w:r w:rsidR="001D2EE2">
        <w:rPr>
          <w:szCs w:val="18"/>
        </w:rPr>
        <w:t>”</w:t>
      </w:r>
      <w:r w:rsidR="0085518B">
        <w:rPr>
          <w:szCs w:val="18"/>
        </w:rPr>
        <w:t xml:space="preserve">, available at </w:t>
      </w:r>
      <w:r w:rsidR="0085518B" w:rsidRPr="0085518B">
        <w:rPr>
          <w:szCs w:val="18"/>
        </w:rPr>
        <w:t>www.state.gov/documents/organization/220383.pdf</w:t>
      </w:r>
      <w:r w:rsidR="0085518B">
        <w:rPr>
          <w:szCs w:val="18"/>
        </w:rPr>
        <w:t>,</w:t>
      </w:r>
      <w:r w:rsidR="009235B8">
        <w:rPr>
          <w:szCs w:val="18"/>
        </w:rPr>
        <w:t xml:space="preserve"> and</w:t>
      </w:r>
      <w:r w:rsidRPr="005C629A">
        <w:rPr>
          <w:szCs w:val="18"/>
        </w:rPr>
        <w:t xml:space="preserve"> Human Rights Watch, </w:t>
      </w:r>
      <w:r w:rsidRPr="005C629A">
        <w:rPr>
          <w:i/>
          <w:szCs w:val="18"/>
        </w:rPr>
        <w:t>Uganda: Anti-Homosexuality Act’s Heavy Toll</w:t>
      </w:r>
      <w:r w:rsidR="0085518B">
        <w:rPr>
          <w:iCs/>
          <w:szCs w:val="18"/>
        </w:rPr>
        <w:t>, available at</w:t>
      </w:r>
      <w:r w:rsidRPr="005C629A">
        <w:rPr>
          <w:i/>
          <w:szCs w:val="18"/>
        </w:rPr>
        <w:t xml:space="preserve"> </w:t>
      </w:r>
      <w:r w:rsidR="0085518B" w:rsidRPr="0085518B">
        <w:rPr>
          <w:szCs w:val="18"/>
        </w:rPr>
        <w:t>www.hrw.org/news/2014/05/14/uganda-anti-homosexuality-acts-heavy-toll</w:t>
      </w:r>
      <w:r w:rsidRPr="005C629A">
        <w:rPr>
          <w:szCs w:val="18"/>
        </w:rPr>
        <w:t>.</w:t>
      </w:r>
      <w:r>
        <w:t xml:space="preserve"> </w:t>
      </w:r>
    </w:p>
  </w:footnote>
  <w:footnote w:id="15">
    <w:p w14:paraId="3C3B7509" w14:textId="77777777" w:rsidR="003F4762" w:rsidRPr="00AF2C3C" w:rsidRDefault="003F4762" w:rsidP="00712CA5">
      <w:pPr>
        <w:pStyle w:val="FootnoteText"/>
        <w:widowControl w:val="0"/>
        <w:tabs>
          <w:tab w:val="clear" w:pos="1021"/>
          <w:tab w:val="right" w:pos="1020"/>
        </w:tabs>
      </w:pPr>
      <w:r>
        <w:tab/>
      </w:r>
      <w:r>
        <w:rPr>
          <w:rStyle w:val="FootnoteReference"/>
        </w:rPr>
        <w:footnoteRef/>
      </w:r>
      <w:r>
        <w:tab/>
      </w:r>
      <w:r w:rsidR="00132E10">
        <w:t xml:space="preserve">See </w:t>
      </w:r>
      <w:r w:rsidR="00132E10">
        <w:rPr>
          <w:szCs w:val="18"/>
        </w:rPr>
        <w:t>c</w:t>
      </w:r>
      <w:r w:rsidRPr="005C629A">
        <w:rPr>
          <w:szCs w:val="18"/>
        </w:rPr>
        <w:t>ommunication No.</w:t>
      </w:r>
      <w:r>
        <w:rPr>
          <w:szCs w:val="18"/>
        </w:rPr>
        <w:t xml:space="preserve"> </w:t>
      </w:r>
      <w:r w:rsidRPr="005C629A">
        <w:rPr>
          <w:szCs w:val="18"/>
        </w:rPr>
        <w:t xml:space="preserve">190/2001, </w:t>
      </w:r>
      <w:r w:rsidRPr="005C629A">
        <w:rPr>
          <w:i/>
          <w:szCs w:val="18"/>
        </w:rPr>
        <w:t>K.S.Y. v. The Netherlands</w:t>
      </w:r>
      <w:r w:rsidRPr="005C629A">
        <w:rPr>
          <w:szCs w:val="18"/>
        </w:rPr>
        <w:t xml:space="preserve">, </w:t>
      </w:r>
      <w:r>
        <w:rPr>
          <w:szCs w:val="18"/>
        </w:rPr>
        <w:t>decision</w:t>
      </w:r>
      <w:r w:rsidRPr="005C629A">
        <w:rPr>
          <w:szCs w:val="18"/>
        </w:rPr>
        <w:t xml:space="preserve"> adopted on 15 May 2003, para.</w:t>
      </w:r>
      <w:r>
        <w:rPr>
          <w:szCs w:val="18"/>
        </w:rPr>
        <w:t> </w:t>
      </w:r>
      <w:r w:rsidRPr="005C629A">
        <w:rPr>
          <w:szCs w:val="18"/>
        </w:rPr>
        <w:t>7.</w:t>
      </w:r>
      <w:r w:rsidR="00CE54D0">
        <w:rPr>
          <w:szCs w:val="18"/>
        </w:rPr>
        <w:t>3</w:t>
      </w:r>
      <w:r w:rsidRPr="005C629A">
        <w:rPr>
          <w:szCs w:val="18"/>
        </w:rPr>
        <w:t>.</w:t>
      </w:r>
    </w:p>
  </w:footnote>
  <w:footnote w:id="16">
    <w:p w14:paraId="5005B921" w14:textId="77777777" w:rsidR="003F4762" w:rsidRPr="00AF2C3C" w:rsidRDefault="003F4762" w:rsidP="006B5665">
      <w:pPr>
        <w:pStyle w:val="FootnoteText"/>
        <w:widowControl w:val="0"/>
        <w:tabs>
          <w:tab w:val="clear" w:pos="1021"/>
          <w:tab w:val="right" w:pos="1020"/>
        </w:tabs>
      </w:pPr>
      <w:r>
        <w:tab/>
      </w:r>
      <w:r>
        <w:rPr>
          <w:rStyle w:val="FootnoteReference"/>
        </w:rPr>
        <w:footnoteRef/>
      </w:r>
      <w:r>
        <w:tab/>
      </w:r>
      <w:r w:rsidR="00132E10">
        <w:t xml:space="preserve">See </w:t>
      </w:r>
      <w:r w:rsidR="00132E10">
        <w:rPr>
          <w:szCs w:val="18"/>
        </w:rPr>
        <w:t>c</w:t>
      </w:r>
      <w:r w:rsidRPr="005C629A">
        <w:rPr>
          <w:szCs w:val="18"/>
        </w:rPr>
        <w:t xml:space="preserve">ommunication No. 338/2008, </w:t>
      </w:r>
      <w:r w:rsidRPr="005C629A">
        <w:rPr>
          <w:i/>
          <w:szCs w:val="18"/>
        </w:rPr>
        <w:t>Mondal v. Sweden</w:t>
      </w:r>
      <w:r w:rsidRPr="005C629A">
        <w:rPr>
          <w:szCs w:val="18"/>
        </w:rPr>
        <w:t xml:space="preserve">, </w:t>
      </w:r>
      <w:r>
        <w:rPr>
          <w:szCs w:val="18"/>
        </w:rPr>
        <w:t>decision</w:t>
      </w:r>
      <w:r w:rsidRPr="005C629A">
        <w:rPr>
          <w:szCs w:val="18"/>
        </w:rPr>
        <w:t xml:space="preserve"> adopted on 23 May 2011.</w:t>
      </w:r>
      <w:r>
        <w:t xml:space="preserve"> </w:t>
      </w:r>
    </w:p>
  </w:footnote>
  <w:footnote w:id="17">
    <w:p w14:paraId="069BFF2F" w14:textId="77777777" w:rsidR="003F4762" w:rsidRPr="00EE2E35" w:rsidRDefault="003F4762" w:rsidP="00843521">
      <w:pPr>
        <w:pStyle w:val="FootnoteText"/>
        <w:widowControl w:val="0"/>
        <w:tabs>
          <w:tab w:val="clear" w:pos="1021"/>
          <w:tab w:val="right" w:pos="1020"/>
        </w:tabs>
      </w:pPr>
      <w:r>
        <w:tab/>
      </w:r>
      <w:r>
        <w:rPr>
          <w:rStyle w:val="FootnoteReference"/>
        </w:rPr>
        <w:footnoteRef/>
      </w:r>
      <w:r>
        <w:tab/>
      </w:r>
      <w:r w:rsidRPr="005C629A">
        <w:t>The author refers to the Citizenship and Immigration Canada website</w:t>
      </w:r>
      <w:r w:rsidR="00EE2E35">
        <w:t>,</w:t>
      </w:r>
      <w:r w:rsidRPr="005C629A">
        <w:t xml:space="preserve"> which </w:t>
      </w:r>
      <w:r w:rsidR="00EE2E35">
        <w:t xml:space="preserve">under the section entitled </w:t>
      </w:r>
      <w:r w:rsidRPr="005C629A">
        <w:t>“Limitation on assessment of risk in an in-Canada Application</w:t>
      </w:r>
      <w:r w:rsidR="00EE2E35">
        <w:t>”, indicates that</w:t>
      </w:r>
      <w:r w:rsidRPr="005C629A">
        <w:t xml:space="preserve"> </w:t>
      </w:r>
      <w:r w:rsidR="00EE2E35">
        <w:t>“</w:t>
      </w:r>
      <w:r w:rsidRPr="005C629A">
        <w:t xml:space="preserve">Section 25(1.3) </w:t>
      </w:r>
      <w:r w:rsidR="00EE2E35">
        <w:t>o</w:t>
      </w:r>
      <w:r w:rsidRPr="005C629A">
        <w:t xml:space="preserve">f </w:t>
      </w:r>
      <w:r w:rsidR="00EE2E35">
        <w:t>I</w:t>
      </w:r>
      <w:r w:rsidRPr="005C629A">
        <w:t xml:space="preserve">RPA states: </w:t>
      </w:r>
      <w:r w:rsidR="00EE2E35">
        <w:t>‘</w:t>
      </w:r>
      <w:r w:rsidRPr="005C629A">
        <w:t xml:space="preserve">… the Minister may not consider the factors that are taken into account in the determination of whether a person </w:t>
      </w:r>
      <w:r w:rsidR="00EE2E35">
        <w:t>i</w:t>
      </w:r>
      <w:r w:rsidRPr="005C629A">
        <w:t>s a Convention refugee under Section 96 or a person in need of protection under Subsection 97(1) but must consider elements related to the hardships that affect the foreign national</w:t>
      </w:r>
      <w:r w:rsidR="00EE2E35">
        <w:t>’</w:t>
      </w:r>
      <w:r w:rsidRPr="005C629A">
        <w:t>. This means that you must consider all the evidence using the hardship test but you do not conduct a risk assessment such as would be done by the IRB or in a Pre-removal risk assessment”.</w:t>
      </w:r>
      <w:r>
        <w:t xml:space="preserve"> </w:t>
      </w:r>
      <w:r w:rsidR="00EE2E35" w:rsidRPr="00EE2E35">
        <w:t>Available at</w:t>
      </w:r>
      <w:r w:rsidR="00EE2E35" w:rsidRPr="00156C79">
        <w:t xml:space="preserve"> </w:t>
      </w:r>
      <w:r w:rsidR="00EE2E35" w:rsidRPr="00EE2E35">
        <w:t>www.cic.gc.ca/english/resources/tools/perm/hc/processing/hardship.asp</w:t>
      </w:r>
      <w:r w:rsidR="00EE2E35">
        <w:t>.</w:t>
      </w:r>
    </w:p>
  </w:footnote>
  <w:footnote w:id="18">
    <w:p w14:paraId="29995989" w14:textId="77777777" w:rsidR="00EE2E35" w:rsidRPr="00AF2C3C" w:rsidRDefault="00EE2E35" w:rsidP="00843521">
      <w:pPr>
        <w:pStyle w:val="FootnoteText"/>
        <w:widowControl w:val="0"/>
        <w:tabs>
          <w:tab w:val="clear" w:pos="1021"/>
          <w:tab w:val="right" w:pos="1020"/>
        </w:tabs>
      </w:pPr>
      <w:r w:rsidRPr="00EE2E35">
        <w:tab/>
      </w:r>
      <w:r>
        <w:rPr>
          <w:rStyle w:val="FootnoteReference"/>
        </w:rPr>
        <w:footnoteRef/>
      </w:r>
      <w:r>
        <w:tab/>
      </w:r>
      <w:r w:rsidRPr="005C629A">
        <w:rPr>
          <w:szCs w:val="18"/>
        </w:rPr>
        <w:t xml:space="preserve">The author refers to communication No. 319/2007, </w:t>
      </w:r>
      <w:r w:rsidRPr="004F049C">
        <w:rPr>
          <w:i/>
          <w:iCs/>
          <w:szCs w:val="18"/>
        </w:rPr>
        <w:t>Singh v. Canada</w:t>
      </w:r>
      <w:r w:rsidRPr="005C629A">
        <w:rPr>
          <w:szCs w:val="18"/>
        </w:rPr>
        <w:t xml:space="preserve">, </w:t>
      </w:r>
      <w:r>
        <w:rPr>
          <w:szCs w:val="18"/>
        </w:rPr>
        <w:t>decision</w:t>
      </w:r>
      <w:r w:rsidRPr="005C629A">
        <w:rPr>
          <w:szCs w:val="18"/>
        </w:rPr>
        <w:t xml:space="preserve"> adopted on </w:t>
      </w:r>
      <w:r w:rsidR="007F0C49">
        <w:rPr>
          <w:szCs w:val="18"/>
        </w:rPr>
        <w:t>30</w:t>
      </w:r>
      <w:r w:rsidRPr="005C629A">
        <w:rPr>
          <w:szCs w:val="18"/>
        </w:rPr>
        <w:t xml:space="preserve"> </w:t>
      </w:r>
      <w:r w:rsidR="007F0C49">
        <w:rPr>
          <w:szCs w:val="18"/>
        </w:rPr>
        <w:t>May</w:t>
      </w:r>
      <w:r w:rsidRPr="005C629A">
        <w:rPr>
          <w:szCs w:val="18"/>
        </w:rPr>
        <w:t xml:space="preserve"> 2011</w:t>
      </w:r>
      <w:r w:rsidR="007F0C49">
        <w:rPr>
          <w:szCs w:val="18"/>
        </w:rPr>
        <w:t>, para. 8.9</w:t>
      </w:r>
      <w:r w:rsidRPr="005C629A">
        <w:rPr>
          <w:szCs w:val="18"/>
        </w:rPr>
        <w:t>.</w:t>
      </w:r>
      <w:r>
        <w:t xml:space="preserve"> </w:t>
      </w:r>
    </w:p>
  </w:footnote>
  <w:footnote w:id="19">
    <w:p w14:paraId="7B0C9DBB" w14:textId="77777777" w:rsidR="003F4762" w:rsidRPr="00AF2C3C" w:rsidRDefault="003F4762" w:rsidP="006B5665">
      <w:pPr>
        <w:pStyle w:val="FootnoteText"/>
        <w:widowControl w:val="0"/>
        <w:tabs>
          <w:tab w:val="clear" w:pos="1021"/>
          <w:tab w:val="right" w:pos="1020"/>
        </w:tabs>
      </w:pPr>
      <w:r>
        <w:tab/>
      </w:r>
      <w:r>
        <w:rPr>
          <w:rStyle w:val="FootnoteReference"/>
        </w:rPr>
        <w:footnoteRef/>
      </w:r>
      <w:r>
        <w:tab/>
      </w:r>
      <w:r w:rsidRPr="005C629A">
        <w:t xml:space="preserve">The State party refers to “The </w:t>
      </w:r>
      <w:r>
        <w:t>h</w:t>
      </w:r>
      <w:r w:rsidRPr="005C629A">
        <w:t>umanitarian and compassionate assessment: Hardship and the H&amp;C assessment”</w:t>
      </w:r>
      <w:r w:rsidR="00132E10">
        <w:t>.</w:t>
      </w:r>
      <w:r w:rsidRPr="005C629A">
        <w:t xml:space="preserve"> </w:t>
      </w:r>
      <w:r w:rsidR="00132E10">
        <w:t>A</w:t>
      </w:r>
      <w:r>
        <w:t>vailable at</w:t>
      </w:r>
      <w:r w:rsidRPr="005C629A">
        <w:t xml:space="preserve"> </w:t>
      </w:r>
      <w:hyperlink r:id="rId1" w:history="1">
        <w:r w:rsidRPr="001323C4">
          <w:rPr>
            <w:rStyle w:val="Hyperlink"/>
          </w:rPr>
          <w:t>www.cic.gc.ca/english/resources/tools/perm/hc/processing/hardship.asp</w:t>
        </w:r>
      </w:hyperlink>
      <w:r>
        <w:t>.</w:t>
      </w:r>
    </w:p>
  </w:footnote>
  <w:footnote w:id="20">
    <w:p w14:paraId="2E0BFB48" w14:textId="77777777" w:rsidR="003F4762" w:rsidRPr="00AF2C3C" w:rsidRDefault="003F4762" w:rsidP="006B5665">
      <w:pPr>
        <w:pStyle w:val="FootnoteText"/>
        <w:widowControl w:val="0"/>
        <w:tabs>
          <w:tab w:val="clear" w:pos="1021"/>
          <w:tab w:val="right" w:pos="1020"/>
        </w:tabs>
      </w:pPr>
      <w:r>
        <w:tab/>
      </w:r>
      <w:r>
        <w:rPr>
          <w:rStyle w:val="FootnoteReference"/>
        </w:rPr>
        <w:footnoteRef/>
      </w:r>
      <w:r>
        <w:tab/>
      </w:r>
      <w:r w:rsidR="00132E10">
        <w:t>See c</w:t>
      </w:r>
      <w:r w:rsidRPr="005C629A">
        <w:t xml:space="preserve">ommunication No. 66/1997, </w:t>
      </w:r>
      <w:r w:rsidRPr="005C629A">
        <w:rPr>
          <w:i/>
        </w:rPr>
        <w:t>P.S.S. v. Canada</w:t>
      </w:r>
      <w:r w:rsidRPr="005C629A">
        <w:t>,</w:t>
      </w:r>
      <w:r>
        <w:t xml:space="preserve"> d</w:t>
      </w:r>
      <w:r w:rsidRPr="005C629A">
        <w:t xml:space="preserve">ecision </w:t>
      </w:r>
      <w:r>
        <w:t>of i</w:t>
      </w:r>
      <w:r w:rsidRPr="005C629A">
        <w:t>nadmissibility adopted on 13 November 1998, para. 6.2.</w:t>
      </w:r>
      <w:r>
        <w:t xml:space="preserve"> </w:t>
      </w:r>
    </w:p>
  </w:footnote>
  <w:footnote w:id="21">
    <w:p w14:paraId="1CB3C5CF" w14:textId="77777777" w:rsidR="003F4762" w:rsidRPr="00AF2C3C" w:rsidRDefault="003F4762" w:rsidP="006B5665">
      <w:pPr>
        <w:pStyle w:val="FootnoteText"/>
        <w:widowControl w:val="0"/>
        <w:tabs>
          <w:tab w:val="clear" w:pos="1021"/>
          <w:tab w:val="right" w:pos="1020"/>
        </w:tabs>
      </w:pPr>
      <w:r>
        <w:tab/>
      </w:r>
      <w:r>
        <w:rPr>
          <w:rStyle w:val="FootnoteReference"/>
        </w:rPr>
        <w:footnoteRef/>
      </w:r>
      <w:r>
        <w:tab/>
      </w:r>
      <w:r w:rsidRPr="005C629A">
        <w:t xml:space="preserve">The author refers to </w:t>
      </w:r>
      <w:r w:rsidR="00EA46D2">
        <w:t>c</w:t>
      </w:r>
      <w:r w:rsidRPr="005C629A">
        <w:t>ommunication</w:t>
      </w:r>
      <w:r w:rsidR="00226100">
        <w:t>s</w:t>
      </w:r>
      <w:r w:rsidRPr="005C629A">
        <w:t xml:space="preserve"> No. 343/2008, </w:t>
      </w:r>
      <w:r w:rsidRPr="005C629A">
        <w:rPr>
          <w:i/>
        </w:rPr>
        <w:t>Kalonso v. Canada</w:t>
      </w:r>
      <w:r w:rsidRPr="005C629A">
        <w:t xml:space="preserve">, </w:t>
      </w:r>
      <w:r>
        <w:t>decision</w:t>
      </w:r>
      <w:r w:rsidRPr="005C629A">
        <w:t xml:space="preserve"> adopted on 18 May 2012, </w:t>
      </w:r>
      <w:r w:rsidR="00226100">
        <w:t>para. 8.3</w:t>
      </w:r>
      <w:r w:rsidR="00EA46D2">
        <w:t>;</w:t>
      </w:r>
      <w:r w:rsidR="00226100">
        <w:t xml:space="preserve"> </w:t>
      </w:r>
      <w:r w:rsidRPr="005C629A">
        <w:t xml:space="preserve">and No. 333/2007, </w:t>
      </w:r>
      <w:r w:rsidRPr="005C629A">
        <w:rPr>
          <w:i/>
        </w:rPr>
        <w:t>T.I. v. Canada</w:t>
      </w:r>
      <w:r w:rsidRPr="005C629A">
        <w:t xml:space="preserve">, </w:t>
      </w:r>
      <w:r>
        <w:t>decision</w:t>
      </w:r>
      <w:r w:rsidRPr="005C629A">
        <w:t xml:space="preserve"> adopted on 15 November 2010</w:t>
      </w:r>
      <w:r w:rsidR="00226100">
        <w:t>, para. 6.3</w:t>
      </w:r>
      <w:r w:rsidRPr="005C629A">
        <w:t>.</w:t>
      </w:r>
      <w:r>
        <w:t xml:space="preserve"> </w:t>
      </w:r>
    </w:p>
  </w:footnote>
  <w:footnote w:id="22">
    <w:p w14:paraId="37B86912" w14:textId="77777777" w:rsidR="003F4762" w:rsidRPr="00AF2C3C" w:rsidRDefault="003F4762" w:rsidP="00161E2D">
      <w:pPr>
        <w:pStyle w:val="FootnoteText"/>
        <w:widowControl w:val="0"/>
        <w:tabs>
          <w:tab w:val="clear" w:pos="1021"/>
          <w:tab w:val="right" w:pos="1020"/>
        </w:tabs>
      </w:pPr>
      <w:r>
        <w:tab/>
      </w:r>
      <w:r>
        <w:rPr>
          <w:rStyle w:val="FootnoteReference"/>
        </w:rPr>
        <w:footnoteRef/>
      </w:r>
      <w:r>
        <w:tab/>
      </w:r>
      <w:r w:rsidRPr="005C629A">
        <w:t xml:space="preserve">See communication No. 333/2007, </w:t>
      </w:r>
      <w:r w:rsidRPr="005C629A">
        <w:rPr>
          <w:i/>
        </w:rPr>
        <w:t>T.I. v. Canada</w:t>
      </w:r>
      <w:r w:rsidRPr="005C629A">
        <w:t>, para</w:t>
      </w:r>
      <w:r>
        <w:t>.</w:t>
      </w:r>
      <w:r w:rsidRPr="005C629A">
        <w:t xml:space="preserve"> 6.3.</w:t>
      </w:r>
      <w:r>
        <w:t xml:space="preserve"> </w:t>
      </w:r>
    </w:p>
  </w:footnote>
  <w:footnote w:id="23">
    <w:p w14:paraId="38A3AD55" w14:textId="77777777" w:rsidR="003F4762" w:rsidRPr="00AF2C3C" w:rsidRDefault="003F4762" w:rsidP="00161E2D">
      <w:pPr>
        <w:pStyle w:val="FootnoteText"/>
        <w:widowControl w:val="0"/>
        <w:tabs>
          <w:tab w:val="clear" w:pos="1021"/>
          <w:tab w:val="right" w:pos="1020"/>
        </w:tabs>
      </w:pPr>
      <w:r>
        <w:tab/>
      </w:r>
      <w:r>
        <w:rPr>
          <w:rStyle w:val="FootnoteReference"/>
        </w:rPr>
        <w:footnoteRef/>
      </w:r>
      <w:r w:rsidRPr="006B5665">
        <w:tab/>
      </w:r>
      <w:r w:rsidR="00161E2D">
        <w:t>See c</w:t>
      </w:r>
      <w:r w:rsidRPr="006B5665">
        <w:t xml:space="preserve">ommunication No. 343/2008, </w:t>
      </w:r>
      <w:r w:rsidRPr="006B5665">
        <w:rPr>
          <w:i/>
        </w:rPr>
        <w:t>Kalonso v. Canada</w:t>
      </w:r>
      <w:r w:rsidRPr="006B5665">
        <w:t xml:space="preserve">, para. </w:t>
      </w:r>
      <w:r w:rsidRPr="003A2016">
        <w:t>8.3.</w:t>
      </w:r>
      <w:r>
        <w:t xml:space="preserve"> </w:t>
      </w:r>
    </w:p>
  </w:footnote>
  <w:footnote w:id="24">
    <w:p w14:paraId="7A3D6EE4" w14:textId="77777777" w:rsidR="003F4762" w:rsidRPr="00AF2C3C" w:rsidRDefault="003F4762" w:rsidP="00712CA5">
      <w:pPr>
        <w:pStyle w:val="FootnoteText"/>
        <w:widowControl w:val="0"/>
        <w:tabs>
          <w:tab w:val="clear" w:pos="1021"/>
          <w:tab w:val="right" w:pos="1020"/>
        </w:tabs>
      </w:pPr>
      <w:r>
        <w:tab/>
      </w:r>
      <w:r>
        <w:rPr>
          <w:rStyle w:val="FootnoteReference"/>
        </w:rPr>
        <w:footnoteRef/>
      </w:r>
      <w:r>
        <w:tab/>
      </w:r>
      <w:r>
        <w:rPr>
          <w:szCs w:val="18"/>
        </w:rPr>
        <w:t xml:space="preserve">See, for example, communications No. 61/1996, </w:t>
      </w:r>
      <w:r>
        <w:rPr>
          <w:i/>
          <w:iCs/>
          <w:szCs w:val="18"/>
        </w:rPr>
        <w:t>X</w:t>
      </w:r>
      <w:r w:rsidR="00161E2D">
        <w:rPr>
          <w:i/>
          <w:iCs/>
          <w:szCs w:val="18"/>
        </w:rPr>
        <w:t xml:space="preserve">, </w:t>
      </w:r>
      <w:r>
        <w:rPr>
          <w:i/>
          <w:iCs/>
          <w:szCs w:val="18"/>
        </w:rPr>
        <w:t>Y and Z v. Sweden</w:t>
      </w:r>
      <w:r>
        <w:rPr>
          <w:szCs w:val="18"/>
        </w:rPr>
        <w:t>, decision adopted on 6 May 1998, para. 11.2</w:t>
      </w:r>
      <w:r w:rsidR="00712CA5">
        <w:rPr>
          <w:szCs w:val="18"/>
        </w:rPr>
        <w:t>;</w:t>
      </w:r>
      <w:r>
        <w:rPr>
          <w:szCs w:val="18"/>
        </w:rPr>
        <w:t xml:space="preserve"> and No. 435/2010, </w:t>
      </w:r>
      <w:r>
        <w:rPr>
          <w:i/>
          <w:iCs/>
          <w:szCs w:val="18"/>
        </w:rPr>
        <w:t xml:space="preserve">G.B.M. </w:t>
      </w:r>
      <w:r w:rsidRPr="004F049C">
        <w:rPr>
          <w:i/>
          <w:iCs/>
          <w:szCs w:val="18"/>
        </w:rPr>
        <w:t>v.</w:t>
      </w:r>
      <w:r>
        <w:rPr>
          <w:szCs w:val="18"/>
        </w:rPr>
        <w:t xml:space="preserve"> </w:t>
      </w:r>
      <w:r>
        <w:rPr>
          <w:i/>
          <w:iCs/>
          <w:szCs w:val="18"/>
        </w:rPr>
        <w:t xml:space="preserve">Sweden, </w:t>
      </w:r>
      <w:r>
        <w:rPr>
          <w:szCs w:val="18"/>
        </w:rPr>
        <w:t>decision of 14 November 2012, para. 7.7.</w:t>
      </w:r>
      <w:r>
        <w:t xml:space="preserve"> </w:t>
      </w:r>
    </w:p>
  </w:footnote>
  <w:footnote w:id="25">
    <w:p w14:paraId="21D418F1" w14:textId="77777777" w:rsidR="003F4762" w:rsidRPr="00AF2C3C" w:rsidRDefault="003F4762" w:rsidP="006B5665">
      <w:pPr>
        <w:pStyle w:val="FootnoteText"/>
        <w:widowControl w:val="0"/>
        <w:tabs>
          <w:tab w:val="clear" w:pos="1021"/>
          <w:tab w:val="right" w:pos="1020"/>
        </w:tabs>
      </w:pPr>
      <w:r>
        <w:tab/>
      </w:r>
      <w:r>
        <w:rPr>
          <w:rStyle w:val="FootnoteReference"/>
        </w:rPr>
        <w:footnoteRef/>
      </w:r>
      <w:r>
        <w:tab/>
        <w:t xml:space="preserve">See </w:t>
      </w:r>
      <w:r>
        <w:rPr>
          <w:szCs w:val="18"/>
        </w:rPr>
        <w:t xml:space="preserve">communications No. 426/2010, </w:t>
      </w:r>
      <w:r>
        <w:rPr>
          <w:i/>
          <w:iCs/>
          <w:szCs w:val="18"/>
        </w:rPr>
        <w:t xml:space="preserve">R.D. </w:t>
      </w:r>
      <w:r w:rsidRPr="004F049C">
        <w:rPr>
          <w:i/>
          <w:iCs/>
          <w:szCs w:val="18"/>
        </w:rPr>
        <w:t>v.</w:t>
      </w:r>
      <w:r>
        <w:rPr>
          <w:szCs w:val="18"/>
        </w:rPr>
        <w:t xml:space="preserve"> </w:t>
      </w:r>
      <w:r>
        <w:rPr>
          <w:i/>
          <w:iCs/>
          <w:szCs w:val="18"/>
        </w:rPr>
        <w:t xml:space="preserve">Switzerland, </w:t>
      </w:r>
      <w:r>
        <w:rPr>
          <w:szCs w:val="18"/>
        </w:rPr>
        <w:t>decision adopted on 8 November 2013, para. 9.2</w:t>
      </w:r>
      <w:r w:rsidR="00712CA5">
        <w:rPr>
          <w:szCs w:val="18"/>
        </w:rPr>
        <w:t>;</w:t>
      </w:r>
      <w:r>
        <w:rPr>
          <w:szCs w:val="18"/>
        </w:rPr>
        <w:t xml:space="preserve"> No. 344/2008, </w:t>
      </w:r>
      <w:r>
        <w:rPr>
          <w:i/>
          <w:iCs/>
          <w:szCs w:val="18"/>
        </w:rPr>
        <w:t xml:space="preserve">A.M.A. </w:t>
      </w:r>
      <w:r w:rsidRPr="004F049C">
        <w:rPr>
          <w:i/>
          <w:iCs/>
          <w:szCs w:val="18"/>
        </w:rPr>
        <w:t>v.</w:t>
      </w:r>
      <w:r>
        <w:rPr>
          <w:szCs w:val="18"/>
        </w:rPr>
        <w:t xml:space="preserve"> </w:t>
      </w:r>
      <w:r>
        <w:rPr>
          <w:i/>
          <w:iCs/>
          <w:szCs w:val="18"/>
        </w:rPr>
        <w:t xml:space="preserve">Switzerland, </w:t>
      </w:r>
      <w:r>
        <w:rPr>
          <w:szCs w:val="18"/>
        </w:rPr>
        <w:t>decision adopted on 12 November 2010, para. 7.2</w:t>
      </w:r>
      <w:r w:rsidR="00712CA5">
        <w:rPr>
          <w:szCs w:val="18"/>
        </w:rPr>
        <w:t>;</w:t>
      </w:r>
      <w:r>
        <w:rPr>
          <w:szCs w:val="18"/>
        </w:rPr>
        <w:t xml:space="preserve"> and No. 333/2007, </w:t>
      </w:r>
      <w:r w:rsidR="00161E2D" w:rsidRPr="005C629A">
        <w:rPr>
          <w:i/>
        </w:rPr>
        <w:t>T.I. v. Canada</w:t>
      </w:r>
      <w:r>
        <w:rPr>
          <w:szCs w:val="18"/>
        </w:rPr>
        <w:t xml:space="preserve">, para. 7.3. </w:t>
      </w:r>
    </w:p>
  </w:footnote>
  <w:footnote w:id="26">
    <w:p w14:paraId="60CD8F9E" w14:textId="77777777" w:rsidR="003F4762" w:rsidRPr="00D66ED4" w:rsidRDefault="003F4762" w:rsidP="00C4309F">
      <w:pPr>
        <w:pStyle w:val="FootnoteText"/>
      </w:pPr>
      <w:r>
        <w:tab/>
      </w:r>
      <w:r>
        <w:rPr>
          <w:rStyle w:val="FootnoteReference"/>
        </w:rPr>
        <w:footnoteRef/>
      </w:r>
      <w:r>
        <w:t xml:space="preserve"> </w:t>
      </w:r>
      <w:r>
        <w:tab/>
      </w:r>
      <w:r w:rsidRPr="003A3A18">
        <w:t xml:space="preserve">See </w:t>
      </w:r>
      <w:r>
        <w:t>c</w:t>
      </w:r>
      <w:r w:rsidRPr="00C83EE1">
        <w:t>ommunication</w:t>
      </w:r>
      <w:r>
        <w:t>s No.</w:t>
      </w:r>
      <w:r w:rsidRPr="00C83EE1">
        <w:t xml:space="preserve"> 416/2010, </w:t>
      </w:r>
      <w:r w:rsidRPr="003A3A18">
        <w:rPr>
          <w:i/>
        </w:rPr>
        <w:t>Ke Chun Rong v. Australia</w:t>
      </w:r>
      <w:r>
        <w:t xml:space="preserve">, decision adopted on </w:t>
      </w:r>
      <w:r w:rsidR="00C4309F">
        <w:t>5</w:t>
      </w:r>
      <w:r>
        <w:t xml:space="preserve"> </w:t>
      </w:r>
      <w:r w:rsidR="00C4309F">
        <w:t>November</w:t>
      </w:r>
      <w:r>
        <w:t xml:space="preserve"> 201</w:t>
      </w:r>
      <w:r w:rsidR="00C4309F">
        <w:t>2</w:t>
      </w:r>
      <w:r>
        <w:t>, para. 7.5</w:t>
      </w:r>
      <w:r w:rsidR="00712CA5">
        <w:t>;</w:t>
      </w:r>
      <w:r>
        <w:t xml:space="preserve"> and </w:t>
      </w:r>
      <w:r w:rsidRPr="00C83EE1">
        <w:t>No. 21/1995</w:t>
      </w:r>
      <w:r>
        <w:t xml:space="preserve"> </w:t>
      </w:r>
      <w:r w:rsidRPr="003A3A18">
        <w:rPr>
          <w:i/>
          <w:iCs/>
        </w:rPr>
        <w:t xml:space="preserve">Alan </w:t>
      </w:r>
      <w:r w:rsidRPr="004F049C">
        <w:rPr>
          <w:i/>
        </w:rPr>
        <w:t>v.</w:t>
      </w:r>
      <w:r w:rsidRPr="003A3A18">
        <w:rPr>
          <w:i/>
          <w:iCs/>
        </w:rPr>
        <w:t xml:space="preserve"> Switzerland</w:t>
      </w:r>
      <w:r w:rsidRPr="003A3A18">
        <w:t>,</w:t>
      </w:r>
      <w:r>
        <w:t xml:space="preserve"> decision</w:t>
      </w:r>
      <w:r w:rsidRPr="003A3A18">
        <w:t xml:space="preserve"> adopted on 8 May 1996, para. 11.3.</w:t>
      </w:r>
    </w:p>
  </w:footnote>
  <w:footnote w:id="27">
    <w:p w14:paraId="490B97D5" w14:textId="77777777" w:rsidR="003F4762" w:rsidRPr="00296814" w:rsidRDefault="003F4762">
      <w:pPr>
        <w:pStyle w:val="FootnoteText"/>
      </w:pPr>
      <w:r>
        <w:tab/>
      </w:r>
      <w:r>
        <w:rPr>
          <w:rStyle w:val="FootnoteReference"/>
        </w:rPr>
        <w:footnoteRef/>
      </w:r>
      <w:r>
        <w:t xml:space="preserve"> </w:t>
      </w:r>
      <w:r>
        <w:tab/>
        <w:t>See c</w:t>
      </w:r>
      <w:r w:rsidRPr="00C83EE1">
        <w:t>ommunication N</w:t>
      </w:r>
      <w:r>
        <w:t>o</w:t>
      </w:r>
      <w:r w:rsidRPr="00C83EE1">
        <w:t xml:space="preserve">. 185/2001, </w:t>
      </w:r>
      <w:r w:rsidRPr="003A3A18">
        <w:rPr>
          <w:i/>
        </w:rPr>
        <w:t xml:space="preserve">Karoui v. </w:t>
      </w:r>
      <w:r w:rsidR="00AA53C8">
        <w:rPr>
          <w:i/>
        </w:rPr>
        <w:t>Sweden</w:t>
      </w:r>
      <w:r>
        <w:t xml:space="preserve">, </w:t>
      </w:r>
      <w:r w:rsidR="00C4309F">
        <w:t>d</w:t>
      </w:r>
      <w:r>
        <w:t xml:space="preserve">ecision adopted on </w:t>
      </w:r>
      <w:r w:rsidR="00C4309F">
        <w:t>8</w:t>
      </w:r>
      <w:r>
        <w:t> May 2002</w:t>
      </w:r>
      <w:r w:rsidR="00C4309F">
        <w:t>, para. 10</w:t>
      </w:r>
      <w:r>
        <w:t xml:space="preserve">. </w:t>
      </w:r>
    </w:p>
  </w:footnote>
  <w:footnote w:id="28">
    <w:p w14:paraId="5CCCB4BF" w14:textId="77777777" w:rsidR="003F4762" w:rsidRDefault="003F4762" w:rsidP="006B5665">
      <w:pPr>
        <w:pStyle w:val="FootnoteText"/>
      </w:pPr>
      <w:r>
        <w:tab/>
      </w:r>
      <w:r>
        <w:rPr>
          <w:rStyle w:val="FootnoteReference"/>
        </w:rPr>
        <w:footnoteRef/>
      </w:r>
      <w:r>
        <w:t xml:space="preserve"> </w:t>
      </w:r>
      <w:r>
        <w:tab/>
        <w:t xml:space="preserve">Human Rights Watch, </w:t>
      </w:r>
      <w:r w:rsidR="00C4309F">
        <w:t>“</w:t>
      </w:r>
      <w:r>
        <w:t xml:space="preserve">Is it now legal to be </w:t>
      </w:r>
      <w:r w:rsidR="00C4309F">
        <w:t>g</w:t>
      </w:r>
      <w:r>
        <w:t>ay in Uganda?</w:t>
      </w:r>
      <w:r w:rsidR="00C4309F">
        <w:t>”</w:t>
      </w:r>
      <w:r w:rsidR="00737E87">
        <w:t>,</w:t>
      </w:r>
      <w:r>
        <w:t xml:space="preserve"> </w:t>
      </w:r>
      <w:r w:rsidR="00737E87">
        <w:t xml:space="preserve">7 </w:t>
      </w:r>
      <w:r>
        <w:t>August 2014</w:t>
      </w:r>
      <w:r w:rsidR="00C86E14">
        <w:t>, a</w:t>
      </w:r>
      <w:r w:rsidR="00C4309F">
        <w:t>vailable at</w:t>
      </w:r>
      <w:r>
        <w:t xml:space="preserve"> </w:t>
      </w:r>
      <w:r w:rsidR="00C00AA7" w:rsidRPr="00C00AA7">
        <w:t>www.hrw.org/news/2014/08/07/it-now-legal-be-gay-uganda</w:t>
      </w:r>
      <w:r w:rsidRPr="00737E87">
        <w:t xml:space="preserve">. </w:t>
      </w:r>
      <w:r w:rsidR="00737E87">
        <w:t>S</w:t>
      </w:r>
      <w:r w:rsidRPr="00737E87">
        <w:t xml:space="preserve">everal documented cases of violence and harassment against the </w:t>
      </w:r>
      <w:r w:rsidR="00737E87">
        <w:t>l</w:t>
      </w:r>
      <w:r w:rsidR="00737E87" w:rsidRPr="005C629A">
        <w:t xml:space="preserve">esbian, </w:t>
      </w:r>
      <w:r w:rsidR="00737E87">
        <w:t>g</w:t>
      </w:r>
      <w:r w:rsidR="00737E87" w:rsidRPr="005C629A">
        <w:t xml:space="preserve">ay, </w:t>
      </w:r>
      <w:r w:rsidR="00737E87">
        <w:t>b</w:t>
      </w:r>
      <w:r w:rsidR="00737E87" w:rsidRPr="005C629A">
        <w:t>isexual</w:t>
      </w:r>
      <w:r w:rsidR="00712CA5">
        <w:t>,</w:t>
      </w:r>
      <w:r w:rsidR="00737E87" w:rsidRPr="005C629A">
        <w:t xml:space="preserve"> </w:t>
      </w:r>
      <w:r w:rsidR="00737E87">
        <w:t>t</w:t>
      </w:r>
      <w:r w:rsidR="00737E87" w:rsidRPr="005C629A">
        <w:t xml:space="preserve">ransgender </w:t>
      </w:r>
      <w:r w:rsidR="00737E87">
        <w:t>and intersex</w:t>
      </w:r>
      <w:r w:rsidRPr="00737E87">
        <w:t xml:space="preserve"> community </w:t>
      </w:r>
      <w:r w:rsidR="00737E87">
        <w:t>that</w:t>
      </w:r>
      <w:r w:rsidRPr="00737E87">
        <w:t xml:space="preserve"> may be attributable to the Ugandan security forces</w:t>
      </w:r>
      <w:r w:rsidRPr="00737E87">
        <w:rPr>
          <w:sz w:val="20"/>
        </w:rPr>
        <w:t xml:space="preserve"> </w:t>
      </w:r>
      <w:r w:rsidRPr="00737E87">
        <w:t xml:space="preserve">have also been reported. See Human Rights First, </w:t>
      </w:r>
      <w:r w:rsidR="00737E87" w:rsidRPr="00737E87">
        <w:t>“</w:t>
      </w:r>
      <w:r w:rsidRPr="00737E87">
        <w:t>Communities under siege: LGTBI Rights Abuses in Uganda</w:t>
      </w:r>
      <w:r w:rsidR="00737E87" w:rsidRPr="00737E87">
        <w:t>”</w:t>
      </w:r>
      <w:r w:rsidR="00C86E14">
        <w:t>,</w:t>
      </w:r>
      <w:r w:rsidR="00737E87" w:rsidRPr="00737E87">
        <w:t xml:space="preserve"> </w:t>
      </w:r>
      <w:r w:rsidR="00C86E14">
        <w:t>a</w:t>
      </w:r>
      <w:r w:rsidR="00737E87" w:rsidRPr="00737E87">
        <w:t>vailable at</w:t>
      </w:r>
      <w:r w:rsidRPr="00737E87">
        <w:t xml:space="preserve"> www.humanrightsfirst.org/wp-content/uploads/Discrimination-against-LGBTI-Ugandans-FINAL.pdf.</w:t>
      </w:r>
    </w:p>
  </w:footnote>
  <w:footnote w:id="29">
    <w:p w14:paraId="343EF295" w14:textId="77777777" w:rsidR="003F4762" w:rsidRDefault="003F4762" w:rsidP="006B5665">
      <w:pPr>
        <w:pStyle w:val="FootnoteText"/>
      </w:pPr>
      <w:r>
        <w:tab/>
      </w:r>
      <w:r>
        <w:rPr>
          <w:rStyle w:val="FootnoteReference"/>
        </w:rPr>
        <w:footnoteRef/>
      </w:r>
      <w:r>
        <w:t xml:space="preserve"> </w:t>
      </w:r>
      <w:r>
        <w:tab/>
        <w:t xml:space="preserve">See </w:t>
      </w:r>
      <w:hyperlink r:id="rId2" w:history="1">
        <w:r w:rsidRPr="008D7F09">
          <w:rPr>
            <w:rStyle w:val="Hyperlink"/>
          </w:rPr>
          <w:t>www.amnesty.org/en/latest/news/2014/10/uganda-discriminatory-legislation-fuels-repression-and-abuse/</w:t>
        </w:r>
      </w:hyperlink>
      <w:r>
        <w:t xml:space="preserve">. </w:t>
      </w:r>
      <w:r w:rsidR="00737E87">
        <w:t>Moreover,</w:t>
      </w:r>
      <w:r>
        <w:t xml:space="preserve"> </w:t>
      </w:r>
      <w:r w:rsidR="00737E87">
        <w:t xml:space="preserve">reportedly </w:t>
      </w:r>
      <w:r>
        <w:t>“</w:t>
      </w:r>
      <w:r w:rsidRPr="00C93125">
        <w:t>some police officers would use mostly psychological torture, while others would encourage inmates to physically abuse the LGBT person. Physical abuse is often perpetrated by inmates, but also by police officers</w:t>
      </w:r>
      <w:r>
        <w:t xml:space="preserve">”. </w:t>
      </w:r>
      <w:r w:rsidR="00C86E14">
        <w:t xml:space="preserve">See </w:t>
      </w:r>
      <w:r w:rsidR="00737E87">
        <w:t xml:space="preserve">Home Office of the </w:t>
      </w:r>
      <w:r w:rsidR="00737E87" w:rsidRPr="00737E87">
        <w:t>United Kingdom of Great Britain and Northern Ireland</w:t>
      </w:r>
      <w:r>
        <w:t xml:space="preserve">, </w:t>
      </w:r>
      <w:r w:rsidR="001539CD">
        <w:t>“</w:t>
      </w:r>
      <w:r w:rsidR="001539CD" w:rsidRPr="001539CD">
        <w:t>Country Information and Guidance</w:t>
      </w:r>
      <w:r w:rsidR="001539CD">
        <w:t xml:space="preserve">. </w:t>
      </w:r>
      <w:r>
        <w:t>Uganda</w:t>
      </w:r>
      <w:r w:rsidR="001539CD">
        <w:t>:</w:t>
      </w:r>
      <w:r>
        <w:t xml:space="preserve"> Sexual Orientation and Gender Identity</w:t>
      </w:r>
      <w:r w:rsidR="001539CD">
        <w:t>”</w:t>
      </w:r>
      <w:r>
        <w:t>, August 2014</w:t>
      </w:r>
      <w:r w:rsidR="00C86E14">
        <w:t>, a</w:t>
      </w:r>
      <w:r w:rsidR="00737E87">
        <w:t xml:space="preserve">vailable at </w:t>
      </w:r>
      <w:r w:rsidRPr="00C93125">
        <w:t>www.gov.uk/government/uploads/system/uploads/attachment_data/file/346274/CIG_Uganda_SOGI_2014_8_20_v2_0.pdf</w:t>
      </w:r>
      <w:r>
        <w:t>.</w:t>
      </w:r>
    </w:p>
  </w:footnote>
  <w:footnote w:id="30">
    <w:p w14:paraId="6DED06E2" w14:textId="77777777" w:rsidR="003F4762" w:rsidRDefault="003F4762" w:rsidP="00712CA5">
      <w:pPr>
        <w:pStyle w:val="FootnoteText"/>
      </w:pPr>
      <w:r>
        <w:tab/>
      </w:r>
      <w:r>
        <w:rPr>
          <w:rStyle w:val="FootnoteReference"/>
        </w:rPr>
        <w:footnoteRef/>
      </w:r>
      <w:r>
        <w:t xml:space="preserve"> </w:t>
      </w:r>
      <w:r>
        <w:tab/>
        <w:t>According to Chapter Four, a Ugandan l</w:t>
      </w:r>
      <w:r w:rsidRPr="005C629A">
        <w:t xml:space="preserve">esbian, </w:t>
      </w:r>
      <w:r>
        <w:t>g</w:t>
      </w:r>
      <w:r w:rsidRPr="005C629A">
        <w:t xml:space="preserve">ay, </w:t>
      </w:r>
      <w:r>
        <w:t>b</w:t>
      </w:r>
      <w:r w:rsidRPr="005C629A">
        <w:t>isexual</w:t>
      </w:r>
      <w:r w:rsidR="00712CA5">
        <w:t>,</w:t>
      </w:r>
      <w:r w:rsidRPr="005C629A">
        <w:t xml:space="preserve"> </w:t>
      </w:r>
      <w:r>
        <w:t>t</w:t>
      </w:r>
      <w:r w:rsidRPr="005C629A">
        <w:t xml:space="preserve">ransgender </w:t>
      </w:r>
      <w:r>
        <w:t>and intersex organization, l</w:t>
      </w:r>
      <w:r w:rsidRPr="005C629A">
        <w:t xml:space="preserve">esbian, </w:t>
      </w:r>
      <w:r>
        <w:t>g</w:t>
      </w:r>
      <w:r w:rsidRPr="005C629A">
        <w:t xml:space="preserve">ay, </w:t>
      </w:r>
      <w:r>
        <w:t>b</w:t>
      </w:r>
      <w:r w:rsidRPr="005C629A">
        <w:t>isexual</w:t>
      </w:r>
      <w:r w:rsidR="00712CA5">
        <w:t>,</w:t>
      </w:r>
      <w:r w:rsidRPr="005C629A">
        <w:t xml:space="preserve"> </w:t>
      </w:r>
      <w:r>
        <w:t>t</w:t>
      </w:r>
      <w:r w:rsidRPr="005C629A">
        <w:t xml:space="preserve">ransgender </w:t>
      </w:r>
      <w:r>
        <w:t>and intersex persons in Uganda face</w:t>
      </w:r>
      <w:r w:rsidRPr="00FD74E5">
        <w:t xml:space="preserve"> </w:t>
      </w:r>
      <w:r>
        <w:t>abuse</w:t>
      </w:r>
      <w:r w:rsidRPr="00FD74E5">
        <w:t xml:space="preserve"> from the criminal justice system itself, </w:t>
      </w:r>
      <w:r>
        <w:t>including t</w:t>
      </w:r>
      <w:r w:rsidRPr="00FD74E5">
        <w:t xml:space="preserve">he </w:t>
      </w:r>
      <w:r>
        <w:t>“</w:t>
      </w:r>
      <w:r w:rsidRPr="00FD74E5">
        <w:t>practice of anal/rectum examination, a routine practice in the investigation of cases against LGBTI persons, usually conducted in the presence of third parties and in unscientific manner</w:t>
      </w:r>
      <w:r w:rsidR="00EE6666">
        <w:t xml:space="preserve"> …</w:t>
      </w:r>
      <w:r>
        <w:t xml:space="preserve"> </w:t>
      </w:r>
      <w:r w:rsidRPr="0081320C">
        <w:t>‘The method is unscientific and of no evidentiary value in criminal prosecutions and amounts to torture, cruel, inhumane and degrading practice</w:t>
      </w:r>
      <w:r w:rsidR="00EE6666">
        <w:t>’</w:t>
      </w:r>
      <w:r>
        <w:t>”</w:t>
      </w:r>
      <w:r w:rsidR="00EE6666">
        <w:t>.</w:t>
      </w:r>
      <w:r w:rsidRPr="0081320C">
        <w:t xml:space="preserve"> </w:t>
      </w:r>
      <w:r>
        <w:t>See</w:t>
      </w:r>
      <w:r w:rsidRPr="0081320C">
        <w:t xml:space="preserve"> </w:t>
      </w:r>
      <w:hyperlink r:id="rId3" w:history="1">
        <w:r w:rsidRPr="00D670C0">
          <w:rPr>
            <w:rStyle w:val="Hyperlink"/>
          </w:rPr>
          <w:t>http://chapterfouruganda.com/articles/2015/04/14/uganda-where-do-we-go-justice-abuse-rights-sexual-minorities-uganda%E2%80%99s-criminal</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D8DC" w14:textId="77777777" w:rsidR="003F4762" w:rsidRPr="00503CE5" w:rsidRDefault="003F4762">
    <w:pPr>
      <w:pStyle w:val="Header"/>
    </w:pPr>
    <w:r>
      <w:t>CAT/C/56/D/562/2013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3CA8" w14:textId="77777777" w:rsidR="003F4762" w:rsidRPr="00503CE5" w:rsidRDefault="003F4762" w:rsidP="00503CE5">
    <w:pPr>
      <w:pStyle w:val="Header"/>
      <w:jc w:val="right"/>
    </w:pPr>
    <w:r>
      <w:t>CAT/C/56/D/562/2013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E5"/>
    <w:rsid w:val="00001E84"/>
    <w:rsid w:val="000020E6"/>
    <w:rsid w:val="0000248A"/>
    <w:rsid w:val="000048F8"/>
    <w:rsid w:val="00004ABA"/>
    <w:rsid w:val="000072A8"/>
    <w:rsid w:val="00024371"/>
    <w:rsid w:val="00026872"/>
    <w:rsid w:val="00047E62"/>
    <w:rsid w:val="00050F6B"/>
    <w:rsid w:val="00053772"/>
    <w:rsid w:val="00054CFB"/>
    <w:rsid w:val="00054F61"/>
    <w:rsid w:val="00057E97"/>
    <w:rsid w:val="00072C8C"/>
    <w:rsid w:val="000733B5"/>
    <w:rsid w:val="00081815"/>
    <w:rsid w:val="00087B00"/>
    <w:rsid w:val="000931C0"/>
    <w:rsid w:val="00094B47"/>
    <w:rsid w:val="000A0E0A"/>
    <w:rsid w:val="000A6B05"/>
    <w:rsid w:val="000B175B"/>
    <w:rsid w:val="000B1A70"/>
    <w:rsid w:val="000B1AA0"/>
    <w:rsid w:val="000B3A0F"/>
    <w:rsid w:val="000B3D9E"/>
    <w:rsid w:val="000B4EF7"/>
    <w:rsid w:val="000C2318"/>
    <w:rsid w:val="000C2C03"/>
    <w:rsid w:val="000C2D2E"/>
    <w:rsid w:val="000C641B"/>
    <w:rsid w:val="000D4602"/>
    <w:rsid w:val="000E0415"/>
    <w:rsid w:val="000E3055"/>
    <w:rsid w:val="000E5186"/>
    <w:rsid w:val="001103AA"/>
    <w:rsid w:val="00113F28"/>
    <w:rsid w:val="00122FD6"/>
    <w:rsid w:val="00130EA7"/>
    <w:rsid w:val="001323C4"/>
    <w:rsid w:val="00132E10"/>
    <w:rsid w:val="001428F4"/>
    <w:rsid w:val="001450BD"/>
    <w:rsid w:val="00153179"/>
    <w:rsid w:val="001539CD"/>
    <w:rsid w:val="00156C79"/>
    <w:rsid w:val="001611E7"/>
    <w:rsid w:val="00161E2D"/>
    <w:rsid w:val="00165F3A"/>
    <w:rsid w:val="00183227"/>
    <w:rsid w:val="00197B02"/>
    <w:rsid w:val="001A4641"/>
    <w:rsid w:val="001B1FE3"/>
    <w:rsid w:val="001B4B04"/>
    <w:rsid w:val="001B76E6"/>
    <w:rsid w:val="001C6663"/>
    <w:rsid w:val="001C7895"/>
    <w:rsid w:val="001D02C1"/>
    <w:rsid w:val="001D0C8C"/>
    <w:rsid w:val="001D26DF"/>
    <w:rsid w:val="001D2EE2"/>
    <w:rsid w:val="001D3A03"/>
    <w:rsid w:val="00202DA8"/>
    <w:rsid w:val="00211DA5"/>
    <w:rsid w:val="00211E0B"/>
    <w:rsid w:val="0021210B"/>
    <w:rsid w:val="00221799"/>
    <w:rsid w:val="00226100"/>
    <w:rsid w:val="00244E03"/>
    <w:rsid w:val="00267CF0"/>
    <w:rsid w:val="00267F5F"/>
    <w:rsid w:val="00282223"/>
    <w:rsid w:val="002834B6"/>
    <w:rsid w:val="002867FC"/>
    <w:rsid w:val="00286B4D"/>
    <w:rsid w:val="002955D6"/>
    <w:rsid w:val="00296814"/>
    <w:rsid w:val="00297799"/>
    <w:rsid w:val="002B3618"/>
    <w:rsid w:val="002B3C39"/>
    <w:rsid w:val="002B466B"/>
    <w:rsid w:val="002D0C7F"/>
    <w:rsid w:val="002D1991"/>
    <w:rsid w:val="002E6C35"/>
    <w:rsid w:val="002F175C"/>
    <w:rsid w:val="002F1A00"/>
    <w:rsid w:val="002F4A6E"/>
    <w:rsid w:val="00307E00"/>
    <w:rsid w:val="00321384"/>
    <w:rsid w:val="003229D8"/>
    <w:rsid w:val="00337C14"/>
    <w:rsid w:val="00343ACF"/>
    <w:rsid w:val="00344C1E"/>
    <w:rsid w:val="00352709"/>
    <w:rsid w:val="00371178"/>
    <w:rsid w:val="003A2016"/>
    <w:rsid w:val="003A3A18"/>
    <w:rsid w:val="003A6810"/>
    <w:rsid w:val="003B3D9D"/>
    <w:rsid w:val="003C2CC4"/>
    <w:rsid w:val="003D4517"/>
    <w:rsid w:val="003D4B23"/>
    <w:rsid w:val="003E3334"/>
    <w:rsid w:val="003F4762"/>
    <w:rsid w:val="00410C89"/>
    <w:rsid w:val="004129A5"/>
    <w:rsid w:val="00414580"/>
    <w:rsid w:val="00415B55"/>
    <w:rsid w:val="004164D2"/>
    <w:rsid w:val="00416EAF"/>
    <w:rsid w:val="00417110"/>
    <w:rsid w:val="00426200"/>
    <w:rsid w:val="00426B9B"/>
    <w:rsid w:val="004325CB"/>
    <w:rsid w:val="0043359A"/>
    <w:rsid w:val="00434324"/>
    <w:rsid w:val="00442A83"/>
    <w:rsid w:val="004437F2"/>
    <w:rsid w:val="00452BA1"/>
    <w:rsid w:val="0045495B"/>
    <w:rsid w:val="00464DAE"/>
    <w:rsid w:val="00475072"/>
    <w:rsid w:val="004A0183"/>
    <w:rsid w:val="004A5ED2"/>
    <w:rsid w:val="004B4C23"/>
    <w:rsid w:val="004B58CD"/>
    <w:rsid w:val="004B7802"/>
    <w:rsid w:val="004C71D9"/>
    <w:rsid w:val="004D0D0F"/>
    <w:rsid w:val="004D5C23"/>
    <w:rsid w:val="004E5456"/>
    <w:rsid w:val="004E7003"/>
    <w:rsid w:val="004F049C"/>
    <w:rsid w:val="005038F3"/>
    <w:rsid w:val="00503CE5"/>
    <w:rsid w:val="005045AB"/>
    <w:rsid w:val="00507A01"/>
    <w:rsid w:val="005114CA"/>
    <w:rsid w:val="00515524"/>
    <w:rsid w:val="0051566A"/>
    <w:rsid w:val="0052136D"/>
    <w:rsid w:val="00521AD7"/>
    <w:rsid w:val="0052775E"/>
    <w:rsid w:val="00536638"/>
    <w:rsid w:val="005420F2"/>
    <w:rsid w:val="005506EF"/>
    <w:rsid w:val="00551BD3"/>
    <w:rsid w:val="0055799C"/>
    <w:rsid w:val="00557F52"/>
    <w:rsid w:val="005628B6"/>
    <w:rsid w:val="00565CDC"/>
    <w:rsid w:val="005972BD"/>
    <w:rsid w:val="0059732B"/>
    <w:rsid w:val="005A0398"/>
    <w:rsid w:val="005A4D32"/>
    <w:rsid w:val="005A789B"/>
    <w:rsid w:val="005B3DB3"/>
    <w:rsid w:val="005C35A5"/>
    <w:rsid w:val="005C5323"/>
    <w:rsid w:val="005D0FDF"/>
    <w:rsid w:val="005D1923"/>
    <w:rsid w:val="005D51B9"/>
    <w:rsid w:val="005D7F9F"/>
    <w:rsid w:val="005E7955"/>
    <w:rsid w:val="005F218E"/>
    <w:rsid w:val="005F4FE6"/>
    <w:rsid w:val="005F7B75"/>
    <w:rsid w:val="006001EE"/>
    <w:rsid w:val="0060278F"/>
    <w:rsid w:val="00603EDD"/>
    <w:rsid w:val="0060492D"/>
    <w:rsid w:val="00605042"/>
    <w:rsid w:val="006052D1"/>
    <w:rsid w:val="00606F08"/>
    <w:rsid w:val="0060778F"/>
    <w:rsid w:val="00611FC4"/>
    <w:rsid w:val="0061721B"/>
    <w:rsid w:val="006176FB"/>
    <w:rsid w:val="006231B8"/>
    <w:rsid w:val="006238C3"/>
    <w:rsid w:val="0062390B"/>
    <w:rsid w:val="006257E9"/>
    <w:rsid w:val="00631FE9"/>
    <w:rsid w:val="00640B26"/>
    <w:rsid w:val="00652D0A"/>
    <w:rsid w:val="00662BB6"/>
    <w:rsid w:val="0067266A"/>
    <w:rsid w:val="00683BEE"/>
    <w:rsid w:val="00684C21"/>
    <w:rsid w:val="006A48F4"/>
    <w:rsid w:val="006B2B77"/>
    <w:rsid w:val="006B5665"/>
    <w:rsid w:val="006C19AB"/>
    <w:rsid w:val="006D37AF"/>
    <w:rsid w:val="006D4F30"/>
    <w:rsid w:val="006D51D0"/>
    <w:rsid w:val="006D5B5C"/>
    <w:rsid w:val="006E43F9"/>
    <w:rsid w:val="006E564B"/>
    <w:rsid w:val="006E7191"/>
    <w:rsid w:val="006F5689"/>
    <w:rsid w:val="00703577"/>
    <w:rsid w:val="00712CA5"/>
    <w:rsid w:val="0072632A"/>
    <w:rsid w:val="00726CD1"/>
    <w:rsid w:val="007327D5"/>
    <w:rsid w:val="00737E87"/>
    <w:rsid w:val="00741FBC"/>
    <w:rsid w:val="007502A1"/>
    <w:rsid w:val="007522DA"/>
    <w:rsid w:val="007601CB"/>
    <w:rsid w:val="007629C8"/>
    <w:rsid w:val="00776651"/>
    <w:rsid w:val="0078605D"/>
    <w:rsid w:val="00793FBB"/>
    <w:rsid w:val="007B6BA5"/>
    <w:rsid w:val="007C3390"/>
    <w:rsid w:val="007C36FB"/>
    <w:rsid w:val="007C4F4B"/>
    <w:rsid w:val="007C7D05"/>
    <w:rsid w:val="007D2087"/>
    <w:rsid w:val="007E4DBB"/>
    <w:rsid w:val="007E7705"/>
    <w:rsid w:val="007F0C49"/>
    <w:rsid w:val="007F1DA4"/>
    <w:rsid w:val="007F228A"/>
    <w:rsid w:val="007F4FE8"/>
    <w:rsid w:val="007F6611"/>
    <w:rsid w:val="00812A3B"/>
    <w:rsid w:val="0081320C"/>
    <w:rsid w:val="00813CD5"/>
    <w:rsid w:val="00814C63"/>
    <w:rsid w:val="00823034"/>
    <w:rsid w:val="008242D7"/>
    <w:rsid w:val="008257B1"/>
    <w:rsid w:val="008302D2"/>
    <w:rsid w:val="008317B6"/>
    <w:rsid w:val="008354A6"/>
    <w:rsid w:val="00843086"/>
    <w:rsid w:val="00843521"/>
    <w:rsid w:val="00843767"/>
    <w:rsid w:val="00843D92"/>
    <w:rsid w:val="00851869"/>
    <w:rsid w:val="00852B15"/>
    <w:rsid w:val="0085518B"/>
    <w:rsid w:val="008679D9"/>
    <w:rsid w:val="00884C66"/>
    <w:rsid w:val="008979B1"/>
    <w:rsid w:val="008A4F7D"/>
    <w:rsid w:val="008A6B25"/>
    <w:rsid w:val="008A6C4F"/>
    <w:rsid w:val="008B2335"/>
    <w:rsid w:val="008D13F6"/>
    <w:rsid w:val="008D22B8"/>
    <w:rsid w:val="008D7F09"/>
    <w:rsid w:val="008E0678"/>
    <w:rsid w:val="008E4285"/>
    <w:rsid w:val="008F4374"/>
    <w:rsid w:val="00904473"/>
    <w:rsid w:val="0090625D"/>
    <w:rsid w:val="009159C6"/>
    <w:rsid w:val="009223CA"/>
    <w:rsid w:val="009235B8"/>
    <w:rsid w:val="00931C58"/>
    <w:rsid w:val="00932C9E"/>
    <w:rsid w:val="0093326F"/>
    <w:rsid w:val="00940F93"/>
    <w:rsid w:val="009422EC"/>
    <w:rsid w:val="00942D36"/>
    <w:rsid w:val="00945D3C"/>
    <w:rsid w:val="00963584"/>
    <w:rsid w:val="009760F3"/>
    <w:rsid w:val="00993704"/>
    <w:rsid w:val="009A0E8D"/>
    <w:rsid w:val="009A5A0B"/>
    <w:rsid w:val="009B26E7"/>
    <w:rsid w:val="009E5A6C"/>
    <w:rsid w:val="009F28F0"/>
    <w:rsid w:val="00A00547"/>
    <w:rsid w:val="00A00A3F"/>
    <w:rsid w:val="00A01489"/>
    <w:rsid w:val="00A069A6"/>
    <w:rsid w:val="00A104F9"/>
    <w:rsid w:val="00A11D27"/>
    <w:rsid w:val="00A338F1"/>
    <w:rsid w:val="00A461F6"/>
    <w:rsid w:val="00A5214F"/>
    <w:rsid w:val="00A618E1"/>
    <w:rsid w:val="00A72F22"/>
    <w:rsid w:val="00A7360F"/>
    <w:rsid w:val="00A748A6"/>
    <w:rsid w:val="00A769F4"/>
    <w:rsid w:val="00A77497"/>
    <w:rsid w:val="00A776B4"/>
    <w:rsid w:val="00A82C83"/>
    <w:rsid w:val="00A94361"/>
    <w:rsid w:val="00A94975"/>
    <w:rsid w:val="00AA293C"/>
    <w:rsid w:val="00AA53C8"/>
    <w:rsid w:val="00AC63A7"/>
    <w:rsid w:val="00AC77DD"/>
    <w:rsid w:val="00AF0712"/>
    <w:rsid w:val="00AF0DC5"/>
    <w:rsid w:val="00AF2C3C"/>
    <w:rsid w:val="00B1460F"/>
    <w:rsid w:val="00B2221A"/>
    <w:rsid w:val="00B25CB5"/>
    <w:rsid w:val="00B30179"/>
    <w:rsid w:val="00B30DB2"/>
    <w:rsid w:val="00B333F3"/>
    <w:rsid w:val="00B502F4"/>
    <w:rsid w:val="00B54F31"/>
    <w:rsid w:val="00B5549A"/>
    <w:rsid w:val="00B56E4A"/>
    <w:rsid w:val="00B56E9C"/>
    <w:rsid w:val="00B62B36"/>
    <w:rsid w:val="00B64B1F"/>
    <w:rsid w:val="00B6553F"/>
    <w:rsid w:val="00B73E7F"/>
    <w:rsid w:val="00B77D05"/>
    <w:rsid w:val="00B81206"/>
    <w:rsid w:val="00B81E12"/>
    <w:rsid w:val="00B92722"/>
    <w:rsid w:val="00B92937"/>
    <w:rsid w:val="00B95883"/>
    <w:rsid w:val="00B97EE2"/>
    <w:rsid w:val="00BA1189"/>
    <w:rsid w:val="00BA5D12"/>
    <w:rsid w:val="00BB7756"/>
    <w:rsid w:val="00BC74E9"/>
    <w:rsid w:val="00BC7875"/>
    <w:rsid w:val="00BD11CE"/>
    <w:rsid w:val="00BD1A9D"/>
    <w:rsid w:val="00BD326B"/>
    <w:rsid w:val="00BE215F"/>
    <w:rsid w:val="00BF68A8"/>
    <w:rsid w:val="00BF6976"/>
    <w:rsid w:val="00C00AA7"/>
    <w:rsid w:val="00C062A1"/>
    <w:rsid w:val="00C103DD"/>
    <w:rsid w:val="00C11A03"/>
    <w:rsid w:val="00C1721F"/>
    <w:rsid w:val="00C252F5"/>
    <w:rsid w:val="00C3638E"/>
    <w:rsid w:val="00C42634"/>
    <w:rsid w:val="00C4309F"/>
    <w:rsid w:val="00C4347F"/>
    <w:rsid w:val="00C4585C"/>
    <w:rsid w:val="00C463DD"/>
    <w:rsid w:val="00C4724C"/>
    <w:rsid w:val="00C62741"/>
    <w:rsid w:val="00C629A0"/>
    <w:rsid w:val="00C677B8"/>
    <w:rsid w:val="00C71128"/>
    <w:rsid w:val="00C745C3"/>
    <w:rsid w:val="00C83EE1"/>
    <w:rsid w:val="00C86E14"/>
    <w:rsid w:val="00C927EB"/>
    <w:rsid w:val="00C93125"/>
    <w:rsid w:val="00CB104C"/>
    <w:rsid w:val="00CE4A8F"/>
    <w:rsid w:val="00CE54D0"/>
    <w:rsid w:val="00CE7159"/>
    <w:rsid w:val="00CF0CCA"/>
    <w:rsid w:val="00CF5226"/>
    <w:rsid w:val="00D03FD1"/>
    <w:rsid w:val="00D05A61"/>
    <w:rsid w:val="00D0727F"/>
    <w:rsid w:val="00D16DEE"/>
    <w:rsid w:val="00D2031B"/>
    <w:rsid w:val="00D21697"/>
    <w:rsid w:val="00D25FE2"/>
    <w:rsid w:val="00D31DE9"/>
    <w:rsid w:val="00D371E2"/>
    <w:rsid w:val="00D43252"/>
    <w:rsid w:val="00D47706"/>
    <w:rsid w:val="00D47EEA"/>
    <w:rsid w:val="00D53353"/>
    <w:rsid w:val="00D57D99"/>
    <w:rsid w:val="00D60B26"/>
    <w:rsid w:val="00D66ED4"/>
    <w:rsid w:val="00D708F8"/>
    <w:rsid w:val="00D77CA0"/>
    <w:rsid w:val="00D81AAC"/>
    <w:rsid w:val="00D823D0"/>
    <w:rsid w:val="00D90312"/>
    <w:rsid w:val="00D93CC8"/>
    <w:rsid w:val="00D95303"/>
    <w:rsid w:val="00D961AC"/>
    <w:rsid w:val="00D978C6"/>
    <w:rsid w:val="00DA0787"/>
    <w:rsid w:val="00DA3C1C"/>
    <w:rsid w:val="00DB0240"/>
    <w:rsid w:val="00DC175E"/>
    <w:rsid w:val="00DC1764"/>
    <w:rsid w:val="00DC37C6"/>
    <w:rsid w:val="00DC6238"/>
    <w:rsid w:val="00DF16C8"/>
    <w:rsid w:val="00DF472A"/>
    <w:rsid w:val="00DF7ED8"/>
    <w:rsid w:val="00E27346"/>
    <w:rsid w:val="00E32EFC"/>
    <w:rsid w:val="00E33E39"/>
    <w:rsid w:val="00E71BC8"/>
    <w:rsid w:val="00E7260F"/>
    <w:rsid w:val="00E73CDC"/>
    <w:rsid w:val="00E73F5D"/>
    <w:rsid w:val="00E920D6"/>
    <w:rsid w:val="00E960E7"/>
    <w:rsid w:val="00E96630"/>
    <w:rsid w:val="00E96D04"/>
    <w:rsid w:val="00EA40E4"/>
    <w:rsid w:val="00EA46D2"/>
    <w:rsid w:val="00EB2C66"/>
    <w:rsid w:val="00EB7FFE"/>
    <w:rsid w:val="00EC7D50"/>
    <w:rsid w:val="00ED6AB5"/>
    <w:rsid w:val="00ED7A2A"/>
    <w:rsid w:val="00EE1607"/>
    <w:rsid w:val="00EE2E35"/>
    <w:rsid w:val="00EE6666"/>
    <w:rsid w:val="00EF1D7F"/>
    <w:rsid w:val="00F138E7"/>
    <w:rsid w:val="00F34539"/>
    <w:rsid w:val="00F34D7D"/>
    <w:rsid w:val="00F460B4"/>
    <w:rsid w:val="00F53648"/>
    <w:rsid w:val="00F7470C"/>
    <w:rsid w:val="00F8495F"/>
    <w:rsid w:val="00F9266F"/>
    <w:rsid w:val="00F93781"/>
    <w:rsid w:val="00FA5869"/>
    <w:rsid w:val="00FA7669"/>
    <w:rsid w:val="00FB1FDB"/>
    <w:rsid w:val="00FB613B"/>
    <w:rsid w:val="00FC25FD"/>
    <w:rsid w:val="00FC5BFB"/>
    <w:rsid w:val="00FC68B7"/>
    <w:rsid w:val="00FC7069"/>
    <w:rsid w:val="00FD2E53"/>
    <w:rsid w:val="00FD74E5"/>
    <w:rsid w:val="00FE106A"/>
    <w:rsid w:val="00FE2F46"/>
    <w:rsid w:val="00FE55D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C4F5"/>
  <w15:docId w15:val="{65E4B5FC-2286-4A60-BA52-096B8894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A7749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A77497"/>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0C2318"/>
    <w:rPr>
      <w:lang w:eastAsia="en-US"/>
    </w:rPr>
  </w:style>
  <w:style w:type="character" w:customStyle="1" w:styleId="FootnoteTextChar">
    <w:name w:val="Footnote Text Char"/>
    <w:aliases w:val="5_G Char"/>
    <w:link w:val="FootnoteText"/>
    <w:locked/>
    <w:rsid w:val="000C2318"/>
    <w:rPr>
      <w:rFonts w:eastAsia="SimSun"/>
      <w:sz w:val="18"/>
      <w:lang w:val="en-US" w:eastAsia="zh-CN"/>
    </w:rPr>
  </w:style>
  <w:style w:type="paragraph" w:styleId="NoSpacing">
    <w:name w:val="No Spacing"/>
    <w:uiPriority w:val="1"/>
    <w:qFormat/>
    <w:rsid w:val="000C2318"/>
    <w:rPr>
      <w:rFonts w:ascii="Calibri" w:eastAsia="Calibri" w:hAnsi="Calibri"/>
      <w:sz w:val="22"/>
      <w:szCs w:val="22"/>
      <w:lang w:val="en-US" w:eastAsia="en-US"/>
    </w:rPr>
  </w:style>
  <w:style w:type="paragraph" w:styleId="BalloonText">
    <w:name w:val="Balloon Text"/>
    <w:basedOn w:val="Normal"/>
    <w:link w:val="BalloonTextChar"/>
    <w:rsid w:val="00814C63"/>
    <w:pPr>
      <w:spacing w:line="240" w:lineRule="auto"/>
    </w:pPr>
    <w:rPr>
      <w:rFonts w:ascii="Segoe UI" w:hAnsi="Segoe UI"/>
      <w:sz w:val="18"/>
      <w:szCs w:val="18"/>
    </w:rPr>
  </w:style>
  <w:style w:type="character" w:customStyle="1" w:styleId="BalloonTextChar">
    <w:name w:val="Balloon Text Char"/>
    <w:link w:val="BalloonText"/>
    <w:rsid w:val="00814C63"/>
    <w:rPr>
      <w:rFonts w:ascii="Segoe UI" w:hAnsi="Segoe UI" w:cs="Segoe UI"/>
      <w:sz w:val="18"/>
      <w:szCs w:val="18"/>
      <w:lang w:eastAsia="en-US"/>
    </w:rPr>
  </w:style>
  <w:style w:type="character" w:styleId="CommentReference">
    <w:name w:val="annotation reference"/>
    <w:rsid w:val="00DC37C6"/>
    <w:rPr>
      <w:sz w:val="16"/>
      <w:szCs w:val="16"/>
    </w:rPr>
  </w:style>
  <w:style w:type="paragraph" w:styleId="CommentText">
    <w:name w:val="annotation text"/>
    <w:basedOn w:val="Normal"/>
    <w:link w:val="CommentTextChar"/>
    <w:rsid w:val="00DC37C6"/>
  </w:style>
  <w:style w:type="character" w:customStyle="1" w:styleId="CommentTextChar">
    <w:name w:val="Comment Text Char"/>
    <w:link w:val="CommentText"/>
    <w:rsid w:val="00DC37C6"/>
    <w:rPr>
      <w:lang w:eastAsia="en-US"/>
    </w:rPr>
  </w:style>
  <w:style w:type="paragraph" w:styleId="CommentSubject">
    <w:name w:val="annotation subject"/>
    <w:basedOn w:val="CommentText"/>
    <w:next w:val="CommentText"/>
    <w:link w:val="CommentSubjectChar"/>
    <w:rsid w:val="00DC37C6"/>
    <w:rPr>
      <w:b/>
      <w:bCs/>
    </w:rPr>
  </w:style>
  <w:style w:type="character" w:customStyle="1" w:styleId="CommentSubjectChar">
    <w:name w:val="Comment Subject Char"/>
    <w:link w:val="CommentSubject"/>
    <w:rsid w:val="00DC37C6"/>
    <w:rPr>
      <w:b/>
      <w:bCs/>
      <w:lang w:eastAsia="en-US"/>
    </w:rPr>
  </w:style>
  <w:style w:type="paragraph" w:styleId="BodyTextIndent">
    <w:name w:val="Body Text Indent"/>
    <w:basedOn w:val="Normal"/>
    <w:link w:val="BodyTextIndentChar"/>
    <w:rsid w:val="00FC7069"/>
    <w:pPr>
      <w:spacing w:after="120"/>
      <w:ind w:left="283"/>
    </w:pPr>
  </w:style>
  <w:style w:type="character" w:customStyle="1" w:styleId="BodyTextIndentChar">
    <w:name w:val="Body Text Indent Char"/>
    <w:link w:val="BodyTextIndent"/>
    <w:rsid w:val="00FC7069"/>
    <w:rPr>
      <w:lang w:eastAsia="en-US"/>
    </w:rPr>
  </w:style>
  <w:style w:type="paragraph" w:styleId="Revision">
    <w:name w:val="Revision"/>
    <w:hidden/>
    <w:uiPriority w:val="99"/>
    <w:semiHidden/>
    <w:rsid w:val="00AC77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423">
      <w:bodyDiv w:val="1"/>
      <w:marLeft w:val="0"/>
      <w:marRight w:val="0"/>
      <w:marTop w:val="0"/>
      <w:marBottom w:val="0"/>
      <w:divBdr>
        <w:top w:val="none" w:sz="0" w:space="0" w:color="auto"/>
        <w:left w:val="none" w:sz="0" w:space="0" w:color="auto"/>
        <w:bottom w:val="none" w:sz="0" w:space="0" w:color="auto"/>
        <w:right w:val="none" w:sz="0" w:space="0" w:color="auto"/>
      </w:divBdr>
    </w:div>
    <w:div w:id="727069152">
      <w:bodyDiv w:val="1"/>
      <w:marLeft w:val="0"/>
      <w:marRight w:val="0"/>
      <w:marTop w:val="0"/>
      <w:marBottom w:val="0"/>
      <w:divBdr>
        <w:top w:val="none" w:sz="0" w:space="0" w:color="auto"/>
        <w:left w:val="none" w:sz="0" w:space="0" w:color="auto"/>
        <w:bottom w:val="none" w:sz="0" w:space="0" w:color="auto"/>
        <w:right w:val="none" w:sz="0" w:space="0" w:color="auto"/>
      </w:divBdr>
    </w:div>
    <w:div w:id="13822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chapterfouruganda.com/articles/2015/04/14/uganda-where-do-we-go-justice-abuse-rights-sexual-minorities-uganda%E2%80%99s-criminal" TargetMode="External"/><Relationship Id="rId2" Type="http://schemas.openxmlformats.org/officeDocument/2006/relationships/hyperlink" Target="file:///\\conf-share1\conf\Groups\Editing%20Section\HR%20editors\Fletcher\www.amnesty.org\en\latest\news\2014\10\uganda-discriminatory-legislation-fuels-repression-and-abuse\" TargetMode="External"/><Relationship Id="rId1" Type="http://schemas.openxmlformats.org/officeDocument/2006/relationships/hyperlink" Target="file:///\\conf-share1\conf\Groups\Editing%20Section\HR%20editors\Fletcher\www.cic.gc.ca\english\resources\tools\perm\hc\processing\hardship.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85FA-CA91-41B7-94DE-1812DC11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3</Pages>
  <Words>5295</Words>
  <Characters>30186</Characters>
  <Application>Microsoft Office Word</Application>
  <DocSecurity>0</DocSecurity>
  <Lines>251</Lines>
  <Paragraphs>70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35411</CharactersWithSpaces>
  <SharedDoc>false</SharedDoc>
  <HLinks>
    <vt:vector size="24" baseType="variant">
      <vt:variant>
        <vt:i4>4128814</vt:i4>
      </vt:variant>
      <vt:variant>
        <vt:i4>9</vt:i4>
      </vt:variant>
      <vt:variant>
        <vt:i4>0</vt:i4>
      </vt:variant>
      <vt:variant>
        <vt:i4>5</vt:i4>
      </vt:variant>
      <vt:variant>
        <vt:lpwstr>http://chapterfouruganda.com/articles/2015/04/14/uganda-where-do-we-go-justice-abuse-rights-sexual-minorities-uganda%E2%80%99s-criminal</vt:lpwstr>
      </vt:variant>
      <vt:variant>
        <vt:lpwstr/>
      </vt:variant>
      <vt:variant>
        <vt:i4>131083</vt:i4>
      </vt:variant>
      <vt:variant>
        <vt:i4>6</vt:i4>
      </vt:variant>
      <vt:variant>
        <vt:i4>0</vt:i4>
      </vt:variant>
      <vt:variant>
        <vt:i4>5</vt:i4>
      </vt:variant>
      <vt:variant>
        <vt:lpwstr>https://www.amnesty.org/en/latest/news/2014/10/uganda-discriminatory-legislation-fuels-repression-and-abuse/</vt:lpwstr>
      </vt:variant>
      <vt:variant>
        <vt:lpwstr/>
      </vt:variant>
      <vt:variant>
        <vt:i4>3473513</vt:i4>
      </vt:variant>
      <vt:variant>
        <vt:i4>3</vt:i4>
      </vt:variant>
      <vt:variant>
        <vt:i4>0</vt:i4>
      </vt:variant>
      <vt:variant>
        <vt:i4>5</vt:i4>
      </vt:variant>
      <vt:variant>
        <vt:lpwstr>https://www.hrw.org/news/2014/08/07/it-now-legal-be-gay-uganda</vt:lpwstr>
      </vt:variant>
      <vt:variant>
        <vt:lpwstr/>
      </vt:variant>
      <vt:variant>
        <vt:i4>393222</vt:i4>
      </vt:variant>
      <vt:variant>
        <vt:i4>0</vt:i4>
      </vt:variant>
      <vt:variant>
        <vt:i4>0</vt:i4>
      </vt:variant>
      <vt:variant>
        <vt:i4>5</vt:i4>
      </vt:variant>
      <vt:variant>
        <vt:lpwstr>http://www.cic.gc.ca/english/resources/tools/perm/hc/processing/hardship.asp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Kawuki</dc:creator>
  <cp:lastModifiedBy>Sarah Willig</cp:lastModifiedBy>
  <cp:revision>2</cp:revision>
  <cp:lastPrinted>2015-12-17T13:51:00Z</cp:lastPrinted>
  <dcterms:created xsi:type="dcterms:W3CDTF">2019-01-03T23:01:00Z</dcterms:created>
  <dcterms:modified xsi:type="dcterms:W3CDTF">2019-01-03T23:01:00Z</dcterms:modified>
</cp:coreProperties>
</file>