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128E3" w:rsidTr="00B6553F">
        <w:trPr>
          <w:cantSplit/>
          <w:trHeight w:hRule="exact" w:val="851"/>
        </w:trPr>
        <w:tc>
          <w:tcPr>
            <w:tcW w:w="1276" w:type="dxa"/>
            <w:tcBorders>
              <w:bottom w:val="single" w:sz="4" w:space="0" w:color="auto"/>
            </w:tcBorders>
            <w:vAlign w:val="bottom"/>
          </w:tcPr>
          <w:p w:rsidR="000128E3" w:rsidRPr="000F23F7" w:rsidRDefault="000128E3" w:rsidP="003F66D7">
            <w:pPr>
              <w:pStyle w:val="SingleTxtG"/>
              <w:rPr>
                <w:lang w:val="en-US" w:bidi="he-IL"/>
              </w:rPr>
            </w:pPr>
            <w:bookmarkStart w:id="0" w:name="_GoBack"/>
            <w:bookmarkEnd w:id="0"/>
          </w:p>
        </w:tc>
        <w:tc>
          <w:tcPr>
            <w:tcW w:w="2268" w:type="dxa"/>
            <w:tcBorders>
              <w:bottom w:val="single" w:sz="4" w:space="0" w:color="auto"/>
            </w:tcBorders>
            <w:vAlign w:val="bottom"/>
          </w:tcPr>
          <w:p w:rsidR="000128E3" w:rsidRPr="00B97172" w:rsidRDefault="000128E3"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0128E3" w:rsidRPr="00D47EEA" w:rsidRDefault="000128E3" w:rsidP="00550C28">
            <w:pPr>
              <w:jc w:val="right"/>
            </w:pPr>
            <w:r w:rsidRPr="008216A5">
              <w:rPr>
                <w:sz w:val="40"/>
              </w:rPr>
              <w:t>CCPR</w:t>
            </w:r>
            <w:r w:rsidR="00431FE1">
              <w:t>/C/117</w:t>
            </w:r>
            <w:r>
              <w:t>/D</w:t>
            </w:r>
            <w:r w:rsidR="009C7EFD">
              <w:t>/20</w:t>
            </w:r>
            <w:r w:rsidR="007B68BF">
              <w:t>93</w:t>
            </w:r>
            <w:r>
              <w:t>/201</w:t>
            </w:r>
            <w:r w:rsidR="009C7EFD">
              <w:t>1</w:t>
            </w:r>
          </w:p>
        </w:tc>
      </w:tr>
      <w:tr w:rsidR="000128E3" w:rsidTr="00B6553F">
        <w:trPr>
          <w:cantSplit/>
          <w:trHeight w:hRule="exact" w:val="2835"/>
        </w:trPr>
        <w:tc>
          <w:tcPr>
            <w:tcW w:w="1276" w:type="dxa"/>
            <w:tcBorders>
              <w:top w:val="single" w:sz="4" w:space="0" w:color="auto"/>
              <w:bottom w:val="single" w:sz="12" w:space="0" w:color="auto"/>
            </w:tcBorders>
          </w:tcPr>
          <w:p w:rsidR="000128E3" w:rsidRDefault="00F145AF" w:rsidP="00B6553F">
            <w:pPr>
              <w:spacing w:before="120"/>
            </w:pPr>
            <w:r>
              <w:rPr>
                <w:noProof/>
                <w:lang w:val="en-US"/>
              </w:rPr>
              <w:drawing>
                <wp:inline distT="0" distB="0" distL="0" distR="0" wp14:anchorId="290CD426" wp14:editId="6C33848D">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550C28" w:rsidRDefault="000128E3" w:rsidP="00267F5F">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rsidR="00B73552" w:rsidRDefault="00B73552" w:rsidP="00267F5F">
            <w:pPr>
              <w:spacing w:before="120" w:line="380" w:lineRule="exact"/>
              <w:rPr>
                <w:b/>
                <w:sz w:val="34"/>
                <w:szCs w:val="40"/>
              </w:rPr>
            </w:pPr>
          </w:p>
          <w:p w:rsidR="00B73552" w:rsidRPr="00EE23E7" w:rsidRDefault="00B73552" w:rsidP="00267F5F">
            <w:pPr>
              <w:spacing w:before="120" w:line="380" w:lineRule="exact"/>
              <w:rPr>
                <w:b/>
                <w:sz w:val="24"/>
                <w:szCs w:val="24"/>
              </w:rPr>
            </w:pPr>
          </w:p>
        </w:tc>
        <w:tc>
          <w:tcPr>
            <w:tcW w:w="2835" w:type="dxa"/>
            <w:tcBorders>
              <w:top w:val="single" w:sz="4" w:space="0" w:color="auto"/>
              <w:bottom w:val="single" w:sz="12" w:space="0" w:color="auto"/>
            </w:tcBorders>
          </w:tcPr>
          <w:p w:rsidR="009B1E1F" w:rsidRPr="00463B9A" w:rsidRDefault="009B1E1F" w:rsidP="009B1E1F">
            <w:pPr>
              <w:spacing w:before="240" w:line="240" w:lineRule="exact"/>
            </w:pPr>
            <w:r w:rsidRPr="00463B9A">
              <w:t xml:space="preserve">Distr.: </w:t>
            </w:r>
            <w:r w:rsidR="00550C28">
              <w:t>General</w:t>
            </w:r>
          </w:p>
          <w:p w:rsidR="009B1E1F" w:rsidRPr="00463B9A" w:rsidRDefault="00CD4D91" w:rsidP="001539B4">
            <w:pPr>
              <w:spacing w:line="240" w:lineRule="exact"/>
            </w:pPr>
            <w:r>
              <w:t>1</w:t>
            </w:r>
            <w:r w:rsidR="001539B4">
              <w:t>6 September</w:t>
            </w:r>
            <w:r w:rsidR="00E559DD" w:rsidRPr="00463B9A">
              <w:t xml:space="preserve"> </w:t>
            </w:r>
            <w:r w:rsidR="009B1E1F" w:rsidRPr="00463B9A">
              <w:t>201</w:t>
            </w:r>
            <w:r w:rsidR="009B1E1F">
              <w:t>6</w:t>
            </w:r>
          </w:p>
          <w:p w:rsidR="009B1E1F" w:rsidRPr="00463B9A" w:rsidRDefault="009B1E1F" w:rsidP="009B1E1F">
            <w:pPr>
              <w:spacing w:line="240" w:lineRule="exact"/>
            </w:pPr>
          </w:p>
          <w:p w:rsidR="009B1E1F" w:rsidRPr="00463B9A" w:rsidRDefault="009B1E1F" w:rsidP="009B1E1F">
            <w:pPr>
              <w:spacing w:line="240" w:lineRule="exact"/>
            </w:pPr>
            <w:r w:rsidRPr="00463B9A">
              <w:t>Original: English</w:t>
            </w:r>
          </w:p>
          <w:p w:rsidR="000128E3" w:rsidRPr="00594CF0" w:rsidRDefault="000128E3" w:rsidP="00D076BF">
            <w:pPr>
              <w:spacing w:line="240" w:lineRule="exact"/>
            </w:pPr>
          </w:p>
        </w:tc>
      </w:tr>
    </w:tbl>
    <w:p w:rsidR="008C017D" w:rsidRPr="008C017D" w:rsidRDefault="008C017D" w:rsidP="008C017D">
      <w:pPr>
        <w:spacing w:line="20" w:lineRule="exact"/>
        <w:rPr>
          <w:b/>
          <w:sz w:val="2"/>
          <w:szCs w:val="24"/>
          <w:lang w:val="en-US"/>
        </w:rPr>
      </w:pPr>
    </w:p>
    <w:p w:rsidR="00DC260B" w:rsidRPr="00463B9A" w:rsidRDefault="00DC260B" w:rsidP="00DC260B">
      <w:pPr>
        <w:spacing w:before="120"/>
        <w:rPr>
          <w:b/>
          <w:sz w:val="24"/>
          <w:szCs w:val="24"/>
        </w:rPr>
      </w:pPr>
      <w:r w:rsidRPr="00463B9A">
        <w:rPr>
          <w:b/>
          <w:sz w:val="24"/>
          <w:szCs w:val="24"/>
        </w:rPr>
        <w:t>Human Rights Committee</w:t>
      </w:r>
    </w:p>
    <w:p w:rsidR="00DC260B" w:rsidRDefault="009B1E1F" w:rsidP="00DC260B">
      <w:pPr>
        <w:pStyle w:val="HChG"/>
        <w:rPr>
          <w:sz w:val="20"/>
        </w:rPr>
      </w:pPr>
      <w:r>
        <w:tab/>
      </w:r>
      <w:r>
        <w:tab/>
      </w:r>
      <w:r w:rsidR="00550C28" w:rsidRPr="00550C28">
        <w:t>Views adopted by the Committee under article 5</w:t>
      </w:r>
      <w:r w:rsidR="00CD4D91">
        <w:t xml:space="preserve"> </w:t>
      </w:r>
      <w:r w:rsidR="00550C28" w:rsidRPr="00550C28">
        <w:t>(4) of the Optional Protocol, concerning communication No.</w:t>
      </w:r>
      <w:r w:rsidR="00FB708B">
        <w:t> </w:t>
      </w:r>
      <w:r w:rsidR="00550C28" w:rsidRPr="00550C28">
        <w:t>20</w:t>
      </w:r>
      <w:r w:rsidR="00550C28">
        <w:t>93</w:t>
      </w:r>
      <w:r w:rsidR="00550C28" w:rsidRPr="00550C28">
        <w:t>/2011</w:t>
      </w:r>
      <w:r w:rsidR="00550C28" w:rsidRPr="00EE23E7">
        <w:rPr>
          <w:rStyle w:val="FootnoteReference"/>
          <w:b w:val="0"/>
          <w:bCs/>
          <w:sz w:val="20"/>
          <w:vertAlign w:val="baseline"/>
        </w:rPr>
        <w:footnoteReference w:customMarkFollows="1" w:id="2"/>
        <w:t>*</w:t>
      </w:r>
      <w:r w:rsidR="00550C28" w:rsidRPr="00EE23E7">
        <w:rPr>
          <w:b w:val="0"/>
          <w:position w:val="4"/>
          <w:sz w:val="20"/>
        </w:rPr>
        <w:t>,</w:t>
      </w:r>
      <w:r w:rsidR="00550C28" w:rsidRPr="00EE23E7">
        <w:rPr>
          <w:b w:val="0"/>
          <w:sz w:val="20"/>
        </w:rPr>
        <w:t xml:space="preserve"> </w:t>
      </w:r>
      <w:r w:rsidR="00550C28" w:rsidRPr="00EE23E7">
        <w:rPr>
          <w:rStyle w:val="FootnoteReference"/>
          <w:b w:val="0"/>
          <w:bCs/>
          <w:sz w:val="20"/>
          <w:vertAlign w:val="baseline"/>
        </w:rPr>
        <w:footnoteReference w:customMarkFollows="1" w:id="3"/>
        <w:t>**</w:t>
      </w:r>
      <w:r w:rsidR="00D359CC">
        <w:rPr>
          <w:b w:val="0"/>
          <w:bCs/>
          <w:sz w:val="20"/>
        </w:rPr>
        <w:t xml:space="preserve"> </w:t>
      </w:r>
    </w:p>
    <w:p w:rsidR="000128E3" w:rsidRPr="008216A5" w:rsidRDefault="00683EF7" w:rsidP="007113A4">
      <w:pPr>
        <w:pStyle w:val="SingleTxtG"/>
        <w:ind w:left="4536" w:hanging="3402"/>
        <w:jc w:val="left"/>
      </w:pPr>
      <w:r>
        <w:rPr>
          <w:i/>
        </w:rPr>
        <w:t>Communication s</w:t>
      </w:r>
      <w:r w:rsidR="000128E3" w:rsidRPr="008216A5">
        <w:rPr>
          <w:i/>
        </w:rPr>
        <w:t>ubmitted by:</w:t>
      </w:r>
      <w:r w:rsidR="000128E3" w:rsidRPr="008216A5">
        <w:tab/>
      </w:r>
      <w:r w:rsidR="007B68BF">
        <w:t>Valery Misnikov</w:t>
      </w:r>
      <w:r w:rsidR="000128E3">
        <w:t xml:space="preserve"> (</w:t>
      </w:r>
      <w:r w:rsidR="00FC20C0">
        <w:t xml:space="preserve">not </w:t>
      </w:r>
      <w:r w:rsidR="000128E3" w:rsidRPr="008216A5">
        <w:t>represented</w:t>
      </w:r>
      <w:r w:rsidR="00FC20C0">
        <w:t xml:space="preserve"> by counsel</w:t>
      </w:r>
      <w:r w:rsidR="000128E3" w:rsidRPr="008216A5">
        <w:t>)</w:t>
      </w:r>
    </w:p>
    <w:p w:rsidR="000128E3" w:rsidRPr="008216A5" w:rsidRDefault="000128E3" w:rsidP="007113A4">
      <w:pPr>
        <w:pStyle w:val="SingleTxtG"/>
        <w:ind w:left="4536" w:hanging="3402"/>
        <w:jc w:val="left"/>
      </w:pPr>
      <w:r w:rsidRPr="008216A5">
        <w:rPr>
          <w:i/>
        </w:rPr>
        <w:t>Alleged victim:</w:t>
      </w:r>
      <w:r w:rsidRPr="008216A5">
        <w:tab/>
        <w:t>The author</w:t>
      </w:r>
    </w:p>
    <w:p w:rsidR="000128E3" w:rsidRPr="008216A5" w:rsidRDefault="000128E3" w:rsidP="007113A4">
      <w:pPr>
        <w:pStyle w:val="SingleTxtG"/>
        <w:ind w:left="4536" w:hanging="3402"/>
        <w:jc w:val="left"/>
      </w:pPr>
      <w:r w:rsidRPr="008216A5">
        <w:rPr>
          <w:i/>
        </w:rPr>
        <w:t>State party:</w:t>
      </w:r>
      <w:r w:rsidRPr="008216A5">
        <w:tab/>
        <w:t>Belarus</w:t>
      </w:r>
    </w:p>
    <w:p w:rsidR="000128E3" w:rsidRPr="008216A5" w:rsidRDefault="000128E3" w:rsidP="007113A4">
      <w:pPr>
        <w:pStyle w:val="SingleTxtG"/>
        <w:ind w:left="4536" w:hanging="3402"/>
        <w:jc w:val="left"/>
      </w:pPr>
      <w:r w:rsidRPr="008216A5">
        <w:rPr>
          <w:i/>
        </w:rPr>
        <w:t>Date of communication:</w:t>
      </w:r>
      <w:r w:rsidRPr="008216A5">
        <w:tab/>
      </w:r>
      <w:r w:rsidR="007B68BF">
        <w:t>14 March</w:t>
      </w:r>
      <w:r>
        <w:t xml:space="preserve"> 201</w:t>
      </w:r>
      <w:r w:rsidR="007B68BF">
        <w:t>1</w:t>
      </w:r>
      <w:r>
        <w:t xml:space="preserve"> (initial submission</w:t>
      </w:r>
      <w:r w:rsidRPr="008216A5">
        <w:t>)</w:t>
      </w:r>
    </w:p>
    <w:p w:rsidR="000128E3" w:rsidRPr="008216A5" w:rsidRDefault="000128E3" w:rsidP="007113A4">
      <w:pPr>
        <w:pStyle w:val="SingleTxtG"/>
        <w:ind w:left="4536" w:hanging="3402"/>
        <w:jc w:val="left"/>
      </w:pPr>
      <w:r w:rsidRPr="008216A5">
        <w:rPr>
          <w:i/>
        </w:rPr>
        <w:t>Document references:</w:t>
      </w:r>
      <w:r w:rsidRPr="008216A5">
        <w:tab/>
      </w:r>
      <w:r w:rsidR="00DF7F05" w:rsidRPr="008D5FF0">
        <w:t>Decision taken pursuant to rule 97 of the Committee’s rules of procedure</w:t>
      </w:r>
      <w:r w:rsidRPr="008216A5">
        <w:t xml:space="preserve">, transmitted to the State party on </w:t>
      </w:r>
      <w:r w:rsidR="007B68BF">
        <w:t>5</w:t>
      </w:r>
      <w:r>
        <w:t xml:space="preserve"> </w:t>
      </w:r>
      <w:r w:rsidR="007B68BF">
        <w:t>September</w:t>
      </w:r>
      <w:r>
        <w:t xml:space="preserve"> 201</w:t>
      </w:r>
      <w:r w:rsidR="00BC5A8B">
        <w:t>1</w:t>
      </w:r>
      <w:r w:rsidRPr="008216A5">
        <w:t xml:space="preserve"> (not issued in document form)</w:t>
      </w:r>
    </w:p>
    <w:p w:rsidR="000128E3" w:rsidRDefault="000128E3" w:rsidP="007113A4">
      <w:pPr>
        <w:pStyle w:val="SingleTxtG"/>
        <w:ind w:left="4536" w:hanging="3402"/>
        <w:jc w:val="left"/>
        <w:rPr>
          <w:i/>
        </w:rPr>
      </w:pPr>
      <w:r w:rsidRPr="008216A5">
        <w:rPr>
          <w:i/>
        </w:rPr>
        <w:t>Date of adoption of Views:</w:t>
      </w:r>
      <w:r w:rsidRPr="008216A5">
        <w:tab/>
      </w:r>
      <w:r w:rsidR="00550C28">
        <w:t>14 July</w:t>
      </w:r>
      <w:r w:rsidR="00BC5A8B" w:rsidRPr="009B1E1F">
        <w:t xml:space="preserve"> </w:t>
      </w:r>
      <w:r w:rsidRPr="009B1E1F">
        <w:t>201</w:t>
      </w:r>
      <w:r w:rsidR="00BC5A8B" w:rsidRPr="009B1E1F">
        <w:t>6</w:t>
      </w:r>
    </w:p>
    <w:p w:rsidR="000128E3" w:rsidRDefault="000128E3" w:rsidP="00CD4D91">
      <w:pPr>
        <w:pStyle w:val="SingleTxtG"/>
        <w:ind w:left="4536" w:hanging="3402"/>
        <w:jc w:val="left"/>
      </w:pPr>
      <w:r w:rsidRPr="008216A5">
        <w:rPr>
          <w:i/>
          <w:iCs/>
        </w:rPr>
        <w:t>Subject matter:</w:t>
      </w:r>
      <w:r w:rsidRPr="008216A5">
        <w:tab/>
      </w:r>
      <w:r>
        <w:tab/>
        <w:t xml:space="preserve">Refusal </w:t>
      </w:r>
      <w:r w:rsidR="00FC20C0">
        <w:t xml:space="preserve">of </w:t>
      </w:r>
      <w:r w:rsidR="00C6410D">
        <w:t>authorization</w:t>
      </w:r>
      <w:r w:rsidR="00FC20C0">
        <w:t xml:space="preserve"> </w:t>
      </w:r>
      <w:r>
        <w:t xml:space="preserve">to hold a peaceful </w:t>
      </w:r>
      <w:r w:rsidR="007B68BF">
        <w:t>assembly; freedom of expression</w:t>
      </w:r>
      <w:r>
        <w:t xml:space="preserve"> </w:t>
      </w:r>
    </w:p>
    <w:p w:rsidR="000128E3" w:rsidRPr="00596EFC" w:rsidRDefault="000128E3" w:rsidP="007113A4">
      <w:pPr>
        <w:pStyle w:val="SingleTxtG"/>
        <w:ind w:left="4536" w:hanging="3402"/>
        <w:jc w:val="left"/>
      </w:pPr>
      <w:r w:rsidRPr="008216A5">
        <w:rPr>
          <w:i/>
          <w:iCs/>
        </w:rPr>
        <w:t>Pro</w:t>
      </w:r>
      <w:r w:rsidR="009B1E1F">
        <w:rPr>
          <w:i/>
          <w:iCs/>
        </w:rPr>
        <w:t>cedural issue</w:t>
      </w:r>
      <w:r w:rsidR="00CD4D91">
        <w:rPr>
          <w:i/>
          <w:iCs/>
        </w:rPr>
        <w:t>s</w:t>
      </w:r>
      <w:r w:rsidR="009B1E1F">
        <w:rPr>
          <w:i/>
          <w:iCs/>
        </w:rPr>
        <w:t>:</w:t>
      </w:r>
      <w:r w:rsidRPr="008216A5">
        <w:rPr>
          <w:i/>
          <w:iCs/>
        </w:rPr>
        <w:tab/>
      </w:r>
      <w:r w:rsidR="007B68BF">
        <w:rPr>
          <w:iCs/>
        </w:rPr>
        <w:t>E</w:t>
      </w:r>
      <w:r>
        <w:t>xhaustion of domestic remedies</w:t>
      </w:r>
    </w:p>
    <w:p w:rsidR="000128E3" w:rsidRDefault="007B68BF" w:rsidP="007113A4">
      <w:pPr>
        <w:pStyle w:val="SingleTxtG"/>
        <w:ind w:left="4536" w:hanging="3402"/>
        <w:jc w:val="left"/>
      </w:pPr>
      <w:r>
        <w:rPr>
          <w:i/>
          <w:iCs/>
        </w:rPr>
        <w:t>Substantive issue</w:t>
      </w:r>
      <w:r w:rsidR="00CD4D91">
        <w:rPr>
          <w:i/>
          <w:iCs/>
        </w:rPr>
        <w:t>s</w:t>
      </w:r>
      <w:r w:rsidR="009B1E1F">
        <w:rPr>
          <w:i/>
          <w:iCs/>
        </w:rPr>
        <w:t>:</w:t>
      </w:r>
      <w:r w:rsidR="000128E3" w:rsidRPr="008216A5">
        <w:rPr>
          <w:i/>
          <w:iCs/>
        </w:rPr>
        <w:tab/>
      </w:r>
      <w:r w:rsidR="000128E3">
        <w:rPr>
          <w:iCs/>
        </w:rPr>
        <w:t>F</w:t>
      </w:r>
      <w:r>
        <w:t>reedom of expression</w:t>
      </w:r>
    </w:p>
    <w:p w:rsidR="000128E3" w:rsidRPr="008216A5" w:rsidRDefault="000128E3" w:rsidP="007113A4">
      <w:pPr>
        <w:pStyle w:val="SingleTxtG"/>
        <w:ind w:left="4536" w:hanging="3402"/>
        <w:jc w:val="left"/>
      </w:pPr>
      <w:r w:rsidRPr="008216A5">
        <w:rPr>
          <w:i/>
          <w:iCs/>
        </w:rPr>
        <w:t>Article</w:t>
      </w:r>
      <w:r w:rsidR="00CD4D91">
        <w:rPr>
          <w:i/>
          <w:iCs/>
        </w:rPr>
        <w:t>s</w:t>
      </w:r>
      <w:r w:rsidRPr="008216A5">
        <w:rPr>
          <w:i/>
          <w:iCs/>
        </w:rPr>
        <w:t xml:space="preserve"> of the Covenant:</w:t>
      </w:r>
      <w:r w:rsidRPr="008216A5">
        <w:tab/>
      </w:r>
      <w:r>
        <w:t>19</w:t>
      </w:r>
      <w:r w:rsidR="00FC20C0">
        <w:t xml:space="preserve"> </w:t>
      </w:r>
      <w:r w:rsidR="007B68BF">
        <w:t>(</w:t>
      </w:r>
      <w:r>
        <w:t>2</w:t>
      </w:r>
      <w:r w:rsidR="007B68BF">
        <w:t>)</w:t>
      </w:r>
    </w:p>
    <w:p w:rsidR="009B1E1F" w:rsidRDefault="000128E3" w:rsidP="00683EF7">
      <w:pPr>
        <w:pStyle w:val="SingleTxtG"/>
        <w:ind w:left="4536" w:hanging="3402"/>
        <w:jc w:val="left"/>
      </w:pPr>
      <w:r w:rsidRPr="008216A5">
        <w:rPr>
          <w:i/>
          <w:iCs/>
        </w:rPr>
        <w:t>Article</w:t>
      </w:r>
      <w:r w:rsidR="00CD4D91">
        <w:rPr>
          <w:i/>
          <w:iCs/>
        </w:rPr>
        <w:t>s</w:t>
      </w:r>
      <w:r w:rsidRPr="008216A5">
        <w:rPr>
          <w:i/>
          <w:iCs/>
        </w:rPr>
        <w:t xml:space="preserve"> of the Optional Protocol:</w:t>
      </w:r>
      <w:r w:rsidRPr="008216A5">
        <w:rPr>
          <w:i/>
          <w:iCs/>
        </w:rPr>
        <w:tab/>
      </w:r>
      <w:r w:rsidR="000B5FAB">
        <w:rPr>
          <w:iCs/>
        </w:rPr>
        <w:t>2</w:t>
      </w:r>
      <w:r w:rsidR="00114CDC" w:rsidRPr="00114CDC">
        <w:rPr>
          <w:iCs/>
        </w:rPr>
        <w:t xml:space="preserve">, </w:t>
      </w:r>
      <w:r w:rsidR="00114CDC">
        <w:t>5</w:t>
      </w:r>
      <w:r w:rsidR="00114CDC" w:rsidRPr="00187309">
        <w:t xml:space="preserve"> (</w:t>
      </w:r>
      <w:r w:rsidR="00114CDC">
        <w:t>2</w:t>
      </w:r>
      <w:r w:rsidR="00114CDC" w:rsidRPr="00187309">
        <w:t>)</w:t>
      </w:r>
      <w:r w:rsidR="00114CDC">
        <w:t xml:space="preserve"> (b)</w:t>
      </w:r>
    </w:p>
    <w:p w:rsidR="00CD4D91" w:rsidRDefault="00CD4D91" w:rsidP="00E559DD">
      <w:pPr>
        <w:pStyle w:val="SingleTxtG"/>
      </w:pPr>
    </w:p>
    <w:p w:rsidR="000128E3" w:rsidRDefault="000128E3" w:rsidP="00E559DD">
      <w:pPr>
        <w:pStyle w:val="SingleTxtG"/>
      </w:pPr>
      <w:r>
        <w:t>1.</w:t>
      </w:r>
      <w:r>
        <w:tab/>
      </w:r>
      <w:r w:rsidRPr="008216A5">
        <w:t xml:space="preserve">The author of the communication is </w:t>
      </w:r>
      <w:r w:rsidR="007B68BF">
        <w:t>Valery Misnikov</w:t>
      </w:r>
      <w:r w:rsidRPr="008216A5">
        <w:t xml:space="preserve">, a national </w:t>
      </w:r>
      <w:r w:rsidR="005B31F6">
        <w:t xml:space="preserve">of Belarus </w:t>
      </w:r>
      <w:r w:rsidRPr="008216A5">
        <w:t>born in 19</w:t>
      </w:r>
      <w:r w:rsidR="007B68BF">
        <w:t>53</w:t>
      </w:r>
      <w:r w:rsidRPr="008216A5">
        <w:t xml:space="preserve">. He claims to be a victim of a violation by Belarus of his rights under article </w:t>
      </w:r>
      <w:r w:rsidR="00E3235C">
        <w:t xml:space="preserve">19 </w:t>
      </w:r>
      <w:r w:rsidR="007B68BF">
        <w:t>(</w:t>
      </w:r>
      <w:r w:rsidR="00E3235C">
        <w:t>2</w:t>
      </w:r>
      <w:r w:rsidR="007B68BF">
        <w:t>)</w:t>
      </w:r>
      <w:r>
        <w:t xml:space="preserve"> </w:t>
      </w:r>
      <w:r w:rsidRPr="008216A5">
        <w:t xml:space="preserve">of </w:t>
      </w:r>
      <w:r w:rsidRPr="008216A5">
        <w:lastRenderedPageBreak/>
        <w:t xml:space="preserve">the Covenant. The Optional Protocol entered into force for </w:t>
      </w:r>
      <w:r>
        <w:t>Belarus</w:t>
      </w:r>
      <w:r w:rsidRPr="008216A5">
        <w:t xml:space="preserve"> on 30 December 1992. The author is </w:t>
      </w:r>
      <w:r w:rsidR="005B31F6">
        <w:t>not r</w:t>
      </w:r>
      <w:r w:rsidRPr="008216A5">
        <w:t>epresented</w:t>
      </w:r>
      <w:r w:rsidR="005B31F6">
        <w:t xml:space="preserve"> by counsel</w:t>
      </w:r>
      <w:r w:rsidRPr="008216A5">
        <w:t xml:space="preserve">. </w:t>
      </w:r>
    </w:p>
    <w:p w:rsidR="000128E3" w:rsidRPr="008216A5" w:rsidRDefault="000128E3" w:rsidP="009B1E1F">
      <w:pPr>
        <w:pStyle w:val="H23G"/>
      </w:pPr>
      <w:r w:rsidRPr="008216A5">
        <w:tab/>
      </w:r>
      <w:r w:rsidRPr="008216A5">
        <w:tab/>
        <w:t xml:space="preserve">The facts as </w:t>
      </w:r>
      <w:r>
        <w:t>submitted</w:t>
      </w:r>
      <w:r w:rsidRPr="008216A5">
        <w:t xml:space="preserve"> by the author</w:t>
      </w:r>
    </w:p>
    <w:p w:rsidR="000128E3" w:rsidRDefault="000128E3" w:rsidP="001539B4">
      <w:pPr>
        <w:pStyle w:val="SingleTxtG"/>
      </w:pPr>
      <w:r w:rsidRPr="008216A5">
        <w:t>2.1</w:t>
      </w:r>
      <w:r w:rsidRPr="008216A5">
        <w:tab/>
      </w:r>
      <w:r w:rsidR="00ED1515" w:rsidRPr="00CB4092">
        <w:t xml:space="preserve">On </w:t>
      </w:r>
      <w:r w:rsidR="002B6CF2">
        <w:t>25</w:t>
      </w:r>
      <w:r w:rsidR="00ED1515" w:rsidRPr="00CB4092">
        <w:t xml:space="preserve"> November 20</w:t>
      </w:r>
      <w:r w:rsidR="002B6CF2">
        <w:t>09</w:t>
      </w:r>
      <w:r w:rsidR="00ED1515" w:rsidRPr="00CB4092">
        <w:t xml:space="preserve">, the author filed an application to the Vitebsk </w:t>
      </w:r>
      <w:r w:rsidR="002B6CF2">
        <w:t xml:space="preserve">Executive Committee </w:t>
      </w:r>
      <w:r w:rsidR="00ED1515" w:rsidRPr="00CB4092">
        <w:t>request</w:t>
      </w:r>
      <w:r w:rsidR="00CD4D91">
        <w:t>ing</w:t>
      </w:r>
      <w:r w:rsidR="00ED1515" w:rsidRPr="00CB4092">
        <w:t xml:space="preserve"> to hold a </w:t>
      </w:r>
      <w:r w:rsidR="00ED1515">
        <w:t>picket</w:t>
      </w:r>
      <w:r w:rsidR="00ED1515" w:rsidRPr="00CB4092">
        <w:t xml:space="preserve"> on </w:t>
      </w:r>
      <w:r w:rsidR="002B6CF2" w:rsidRPr="00E932D3">
        <w:t>10 December 20</w:t>
      </w:r>
      <w:r w:rsidR="002B6CF2">
        <w:t>09</w:t>
      </w:r>
      <w:r w:rsidR="00ED1515" w:rsidRPr="00CB4092">
        <w:t xml:space="preserve">. </w:t>
      </w:r>
      <w:r w:rsidR="002B6CF2" w:rsidRPr="00E932D3">
        <w:t xml:space="preserve">The purpose of the </w:t>
      </w:r>
      <w:r w:rsidR="002B6CF2">
        <w:t>picket</w:t>
      </w:r>
      <w:r w:rsidR="002B6CF2" w:rsidRPr="00E932D3">
        <w:t xml:space="preserve"> was to </w:t>
      </w:r>
      <w:r w:rsidR="002B6CF2">
        <w:t>commemorate</w:t>
      </w:r>
      <w:r w:rsidR="002B6CF2" w:rsidRPr="00E932D3">
        <w:t xml:space="preserve"> the</w:t>
      </w:r>
      <w:r w:rsidR="002B6CF2">
        <w:t xml:space="preserve"> anniversary of the</w:t>
      </w:r>
      <w:r w:rsidR="002B6CF2" w:rsidRPr="00E932D3">
        <w:t xml:space="preserve"> Universal Declaration of Human Rights</w:t>
      </w:r>
      <w:r w:rsidR="002B6CF2">
        <w:t>,</w:t>
      </w:r>
      <w:r w:rsidR="002B6CF2" w:rsidRPr="00E932D3">
        <w:t xml:space="preserve"> conduct </w:t>
      </w:r>
      <w:r w:rsidR="002B6CF2">
        <w:t>pro-</w:t>
      </w:r>
      <w:r w:rsidR="002B6CF2" w:rsidRPr="00E932D3">
        <w:t xml:space="preserve">human rights </w:t>
      </w:r>
      <w:r w:rsidR="002B6CF2">
        <w:t xml:space="preserve">publicity </w:t>
      </w:r>
      <w:r w:rsidR="002B6CF2" w:rsidRPr="00E932D3">
        <w:t xml:space="preserve">and </w:t>
      </w:r>
      <w:r w:rsidR="002B6CF2">
        <w:t xml:space="preserve">encourage </w:t>
      </w:r>
      <w:r w:rsidR="002B6CF2" w:rsidRPr="00E932D3">
        <w:t xml:space="preserve">the </w:t>
      </w:r>
      <w:r w:rsidR="001539B4">
        <w:t>S</w:t>
      </w:r>
      <w:r w:rsidR="002B6CF2" w:rsidRPr="00E932D3">
        <w:t>tate to provide</w:t>
      </w:r>
      <w:r w:rsidR="002B6CF2">
        <w:t xml:space="preserve"> </w:t>
      </w:r>
      <w:r w:rsidR="002B6CF2" w:rsidRPr="00E932D3">
        <w:t>possibilit</w:t>
      </w:r>
      <w:r w:rsidR="002B6CF2">
        <w:t>ies</w:t>
      </w:r>
      <w:r w:rsidR="002B6CF2" w:rsidRPr="00E932D3">
        <w:t xml:space="preserve"> </w:t>
      </w:r>
      <w:r w:rsidR="00CD4D91">
        <w:t>for the realization of</w:t>
      </w:r>
      <w:r w:rsidR="002B6CF2" w:rsidRPr="00E932D3">
        <w:t xml:space="preserve"> civil and political rights by each and every citizen. In the application</w:t>
      </w:r>
      <w:r w:rsidR="00CD4D91">
        <w:t>,</w:t>
      </w:r>
      <w:r w:rsidR="002B6CF2" w:rsidRPr="00E932D3">
        <w:t xml:space="preserve"> the author guaranteed that the </w:t>
      </w:r>
      <w:r w:rsidR="002B6CF2">
        <w:t>picket</w:t>
      </w:r>
      <w:r w:rsidR="002B6CF2" w:rsidRPr="00E932D3">
        <w:t xml:space="preserve"> would not disturb public order </w:t>
      </w:r>
      <w:r w:rsidR="00CD4D91">
        <w:t>or</w:t>
      </w:r>
      <w:r w:rsidR="002B6CF2" w:rsidRPr="00E932D3">
        <w:t xml:space="preserve"> security </w:t>
      </w:r>
      <w:r w:rsidR="00A36208">
        <w:t>nor</w:t>
      </w:r>
      <w:r w:rsidR="002B6CF2" w:rsidRPr="00E932D3">
        <w:t xml:space="preserve"> would</w:t>
      </w:r>
      <w:r w:rsidR="00A36208">
        <w:t xml:space="preserve"> it</w:t>
      </w:r>
      <w:r w:rsidR="002B6CF2" w:rsidRPr="00E932D3">
        <w:t xml:space="preserve"> interfere with </w:t>
      </w:r>
      <w:r w:rsidR="002B6CF2" w:rsidRPr="009B1E1F">
        <w:t>pedestrian</w:t>
      </w:r>
      <w:r w:rsidR="002B6CF2" w:rsidRPr="00E932D3">
        <w:t xml:space="preserve"> movement.</w:t>
      </w:r>
      <w:r w:rsidR="002B6CF2">
        <w:t xml:space="preserve"> T</w:t>
      </w:r>
      <w:r w:rsidR="002B6CF2" w:rsidRPr="00E932D3">
        <w:t>he author</w:t>
      </w:r>
      <w:r w:rsidR="002B6CF2">
        <w:t xml:space="preserve"> also</w:t>
      </w:r>
      <w:r w:rsidR="002B6CF2" w:rsidRPr="00E932D3">
        <w:t xml:space="preserve"> </w:t>
      </w:r>
      <w:r w:rsidR="002B6CF2">
        <w:t xml:space="preserve">undertook to </w:t>
      </w:r>
      <w:r w:rsidR="002B6CF2" w:rsidRPr="00E932D3">
        <w:t>ensur</w:t>
      </w:r>
      <w:r w:rsidR="002B6CF2">
        <w:t>e</w:t>
      </w:r>
      <w:r w:rsidR="002B6CF2" w:rsidRPr="00E932D3">
        <w:t xml:space="preserve"> medical care and </w:t>
      </w:r>
      <w:r w:rsidR="00A36208">
        <w:t xml:space="preserve">the </w:t>
      </w:r>
      <w:r w:rsidR="002B6CF2" w:rsidRPr="00E932D3">
        <w:t>clean</w:t>
      </w:r>
      <w:r w:rsidR="0023235B">
        <w:t>lin</w:t>
      </w:r>
      <w:r w:rsidR="002B6CF2">
        <w:t>ess</w:t>
      </w:r>
      <w:r w:rsidR="002B6CF2" w:rsidRPr="00E932D3">
        <w:t xml:space="preserve"> of the </w:t>
      </w:r>
      <w:r w:rsidR="000F23F7">
        <w:t>area</w:t>
      </w:r>
      <w:r w:rsidR="002B6CF2" w:rsidRPr="00E932D3">
        <w:t xml:space="preserve"> where the </w:t>
      </w:r>
      <w:r w:rsidR="002B6CF2">
        <w:t>picket</w:t>
      </w:r>
      <w:r w:rsidR="002B6CF2" w:rsidRPr="00E932D3">
        <w:t xml:space="preserve"> would take place.</w:t>
      </w:r>
    </w:p>
    <w:p w:rsidR="00FC6105" w:rsidRDefault="000128E3" w:rsidP="005962BC">
      <w:pPr>
        <w:pStyle w:val="SingleTxtG"/>
      </w:pPr>
      <w:r>
        <w:t>2.2</w:t>
      </w:r>
      <w:r>
        <w:tab/>
      </w:r>
      <w:r w:rsidR="002B6CF2" w:rsidRPr="00E932D3">
        <w:t>On 4 December 2009</w:t>
      </w:r>
      <w:r w:rsidR="002B6CF2">
        <w:t>,</w:t>
      </w:r>
      <w:r w:rsidR="002B6CF2" w:rsidRPr="00E932D3">
        <w:t xml:space="preserve"> the application was rejected on the grounds of non-compliance with Vitebsk Executive Committee </w:t>
      </w:r>
      <w:r w:rsidR="00A36208">
        <w:t>d</w:t>
      </w:r>
      <w:r w:rsidR="002B6CF2" w:rsidRPr="00E932D3">
        <w:t>ecision No</w:t>
      </w:r>
      <w:r w:rsidR="002B6CF2">
        <w:t>.</w:t>
      </w:r>
      <w:r w:rsidR="002B6CF2" w:rsidRPr="00E932D3">
        <w:t xml:space="preserve"> 881 of 10 July 2009</w:t>
      </w:r>
      <w:r w:rsidR="002B6CF2">
        <w:t xml:space="preserve"> o</w:t>
      </w:r>
      <w:r w:rsidR="002B6CF2" w:rsidRPr="00E932D3">
        <w:t xml:space="preserve">n </w:t>
      </w:r>
      <w:r w:rsidR="00A36208">
        <w:t xml:space="preserve">the holding of </w:t>
      </w:r>
      <w:r w:rsidR="002B6CF2" w:rsidRPr="00E932D3">
        <w:t>public events in Vitebsk</w:t>
      </w:r>
      <w:r w:rsidR="002B6CF2">
        <w:t>.</w:t>
      </w:r>
      <w:r w:rsidR="00A92565">
        <w:rPr>
          <w:rStyle w:val="FootnoteReference"/>
        </w:rPr>
        <w:footnoteReference w:id="4"/>
      </w:r>
      <w:r w:rsidR="00E559DD">
        <w:t xml:space="preserve"> </w:t>
      </w:r>
      <w:r w:rsidR="002B6CF2" w:rsidRPr="00E932D3">
        <w:t xml:space="preserve">The decision stated that public gatherings </w:t>
      </w:r>
      <w:r w:rsidR="00A36208">
        <w:t>may</w:t>
      </w:r>
      <w:r w:rsidR="002B6CF2" w:rsidRPr="00E932D3">
        <w:t xml:space="preserve"> only be organized in a few specified locations in Vitebsk</w:t>
      </w:r>
      <w:r w:rsidR="00A36208">
        <w:t>,</w:t>
      </w:r>
      <w:r w:rsidR="002B6CF2" w:rsidRPr="00E932D3">
        <w:t xml:space="preserve"> </w:t>
      </w:r>
      <w:r w:rsidR="00A36208">
        <w:t>but</w:t>
      </w:r>
      <w:r w:rsidR="002B6CF2" w:rsidRPr="00E932D3">
        <w:t xml:space="preserve"> the location suggested by the author was not </w:t>
      </w:r>
      <w:r w:rsidR="00647FD0">
        <w:t>among them</w:t>
      </w:r>
      <w:r w:rsidR="002B6CF2" w:rsidRPr="00E932D3">
        <w:t>. Moreover, the author failed to submit contracts with</w:t>
      </w:r>
      <w:r w:rsidR="001539B4">
        <w:t>:</w:t>
      </w:r>
      <w:r w:rsidR="002B6CF2" w:rsidRPr="00E932D3">
        <w:t xml:space="preserve"> the Department of </w:t>
      </w:r>
      <w:r w:rsidR="00A36208">
        <w:t xml:space="preserve">the </w:t>
      </w:r>
      <w:r w:rsidR="002B6CF2" w:rsidRPr="00E932D3">
        <w:t xml:space="preserve">Interior of the District Administration to ensure public order during the </w:t>
      </w:r>
      <w:r w:rsidR="002B6CF2">
        <w:t>picket</w:t>
      </w:r>
      <w:r w:rsidR="002B6CF2" w:rsidRPr="00E932D3">
        <w:t xml:space="preserve">; the Vitebsk </w:t>
      </w:r>
      <w:r w:rsidR="001539B4">
        <w:t>C</w:t>
      </w:r>
      <w:r w:rsidR="002B6CF2" w:rsidRPr="00E932D3">
        <w:t xml:space="preserve">entral </w:t>
      </w:r>
      <w:r w:rsidR="001539B4">
        <w:t>City H</w:t>
      </w:r>
      <w:r w:rsidR="002B6CF2" w:rsidRPr="00E932D3">
        <w:t xml:space="preserve">ospital to ensure medical care during the </w:t>
      </w:r>
      <w:r w:rsidR="002B6CF2">
        <w:t>picket</w:t>
      </w:r>
      <w:r w:rsidR="002B6CF2" w:rsidRPr="00E932D3">
        <w:t xml:space="preserve">; and the Vitebsk </w:t>
      </w:r>
      <w:r w:rsidR="00647FD0">
        <w:t>Utilities</w:t>
      </w:r>
      <w:r w:rsidR="002B6CF2" w:rsidRPr="00E932D3">
        <w:t xml:space="preserve"> Department to ensure </w:t>
      </w:r>
      <w:r w:rsidR="00A36208">
        <w:t xml:space="preserve">the </w:t>
      </w:r>
      <w:r w:rsidR="002B6CF2" w:rsidRPr="00E932D3">
        <w:t xml:space="preserve">cleaning of the </w:t>
      </w:r>
      <w:r w:rsidR="00AA35EA">
        <w:t>area</w:t>
      </w:r>
      <w:r w:rsidR="002B6CF2" w:rsidRPr="00E932D3">
        <w:t xml:space="preserve"> where the </w:t>
      </w:r>
      <w:r w:rsidR="002B6CF2">
        <w:t>picket</w:t>
      </w:r>
      <w:r w:rsidR="002B6CF2" w:rsidRPr="00E932D3">
        <w:t xml:space="preserve"> would take place, as required by </w:t>
      </w:r>
      <w:r w:rsidR="00A36208">
        <w:t>d</w:t>
      </w:r>
      <w:r w:rsidR="002B6CF2" w:rsidRPr="00E932D3">
        <w:t>ecision No</w:t>
      </w:r>
      <w:r w:rsidR="002B6CF2">
        <w:t>.</w:t>
      </w:r>
      <w:r w:rsidR="002B6CF2" w:rsidRPr="00E932D3">
        <w:t xml:space="preserve"> 881.</w:t>
      </w:r>
    </w:p>
    <w:p w:rsidR="003F66D7" w:rsidRDefault="00FC6105">
      <w:pPr>
        <w:pStyle w:val="SingleTxtG"/>
      </w:pPr>
      <w:r>
        <w:t>2.3</w:t>
      </w:r>
      <w:r>
        <w:tab/>
      </w:r>
      <w:r w:rsidRPr="004E4E98">
        <w:t>On 8 December 2009</w:t>
      </w:r>
      <w:r w:rsidRPr="00E932D3">
        <w:t>, the author appealed to the Oktyabrsky District Court</w:t>
      </w:r>
      <w:r>
        <w:t xml:space="preserve">, which </w:t>
      </w:r>
      <w:r w:rsidRPr="00E932D3">
        <w:t xml:space="preserve">dismissed </w:t>
      </w:r>
      <w:r>
        <w:t xml:space="preserve">his appeal </w:t>
      </w:r>
      <w:r w:rsidRPr="00E932D3">
        <w:t>on 2</w:t>
      </w:r>
      <w:r>
        <w:t>1</w:t>
      </w:r>
      <w:r w:rsidRPr="00E932D3">
        <w:t xml:space="preserve"> December 2009. On 30 December 2009, the author filed a cassation app</w:t>
      </w:r>
      <w:r w:rsidR="0033667F">
        <w:t>eal against the District Court</w:t>
      </w:r>
      <w:r w:rsidRPr="00E932D3">
        <w:t xml:space="preserve"> decision </w:t>
      </w:r>
      <w:r w:rsidR="004E4E98">
        <w:t>before</w:t>
      </w:r>
      <w:r w:rsidRPr="00E932D3">
        <w:t xml:space="preserve"> the Vitebsk Regional Court. </w:t>
      </w:r>
      <w:r w:rsidR="0033667F">
        <w:t>The appeal was dismissed o</w:t>
      </w:r>
      <w:r w:rsidRPr="00E932D3">
        <w:t>n 8 February 2010. On 27</w:t>
      </w:r>
      <w:r w:rsidR="0033667F">
        <w:t xml:space="preserve"> </w:t>
      </w:r>
      <w:r w:rsidRPr="00E932D3">
        <w:t>April 2010</w:t>
      </w:r>
      <w:r>
        <w:t>,</w:t>
      </w:r>
      <w:r w:rsidRPr="00E932D3">
        <w:t xml:space="preserve"> the author</w:t>
      </w:r>
      <w:r w:rsidR="0033667F">
        <w:t xml:space="preserve"> appealed </w:t>
      </w:r>
      <w:r w:rsidR="001539B4">
        <w:t xml:space="preserve">that decision </w:t>
      </w:r>
      <w:r w:rsidR="0033667F">
        <w:t>under the supervisory review proced</w:t>
      </w:r>
      <w:r w:rsidR="00B1104C">
        <w:t>ure</w:t>
      </w:r>
      <w:r w:rsidRPr="00E932D3">
        <w:t xml:space="preserve"> to the President of the Vitebsk Regional Court. Th</w:t>
      </w:r>
      <w:r w:rsidR="004E4E98">
        <w:t>at</w:t>
      </w:r>
      <w:r w:rsidRPr="00E932D3">
        <w:t xml:space="preserve"> appeal </w:t>
      </w:r>
      <w:r>
        <w:t xml:space="preserve">was </w:t>
      </w:r>
      <w:r w:rsidRPr="00E932D3">
        <w:t xml:space="preserve">dismissed on 27 May 2010. </w:t>
      </w:r>
      <w:r w:rsidR="00E528B3">
        <w:t>T</w:t>
      </w:r>
      <w:r w:rsidR="00E528B3" w:rsidRPr="00E932D3">
        <w:t xml:space="preserve">he author </w:t>
      </w:r>
      <w:r w:rsidR="004E4E98">
        <w:t xml:space="preserve">then </w:t>
      </w:r>
      <w:r w:rsidR="00E528B3" w:rsidRPr="00E932D3">
        <w:t xml:space="preserve">appealed to the Supreme Court of Belarus on 3 June 2010. </w:t>
      </w:r>
      <w:r w:rsidR="00E528B3">
        <w:t xml:space="preserve">On 9 July 2010, the Supreme Court rejected his appeal. </w:t>
      </w:r>
      <w:r w:rsidR="0033667F">
        <w:t>In their decisions</w:t>
      </w:r>
      <w:r w:rsidR="004E4E98">
        <w:t>,</w:t>
      </w:r>
      <w:r w:rsidR="0033667F">
        <w:t xml:space="preserve"> the courts, in essence</w:t>
      </w:r>
      <w:r w:rsidR="004E4E98">
        <w:t>,</w:t>
      </w:r>
      <w:r w:rsidRPr="00E932D3">
        <w:t xml:space="preserve"> repeated the </w:t>
      </w:r>
      <w:r w:rsidR="004E4E98">
        <w:t xml:space="preserve">same </w:t>
      </w:r>
      <w:r w:rsidRPr="00E932D3">
        <w:t>argument</w:t>
      </w:r>
      <w:r w:rsidR="004E4E98">
        <w:t>s as</w:t>
      </w:r>
      <w:r w:rsidRPr="00E932D3">
        <w:t xml:space="preserve"> the Vitebsk Executive Committee</w:t>
      </w:r>
      <w:r>
        <w:t xml:space="preserve"> </w:t>
      </w:r>
      <w:r w:rsidR="004E4E98">
        <w:t>regarding</w:t>
      </w:r>
      <w:r>
        <w:t xml:space="preserve"> the requirements of </w:t>
      </w:r>
      <w:r w:rsidR="004E4E98">
        <w:t>d</w:t>
      </w:r>
      <w:r>
        <w:t>ecision No. 881</w:t>
      </w:r>
      <w:r w:rsidR="001539B4">
        <w:t xml:space="preserve"> that was</w:t>
      </w:r>
      <w:r w:rsidR="0033667F">
        <w:t xml:space="preserve"> </w:t>
      </w:r>
      <w:r>
        <w:t xml:space="preserve">adopted in accordance with the </w:t>
      </w:r>
      <w:r w:rsidR="004E4E98">
        <w:t xml:space="preserve">Belarus Public </w:t>
      </w:r>
      <w:r>
        <w:t>Events</w:t>
      </w:r>
      <w:r w:rsidR="004E4E98">
        <w:t xml:space="preserve"> Act</w:t>
      </w:r>
      <w:r>
        <w:t xml:space="preserve"> </w:t>
      </w:r>
      <w:r w:rsidR="0023235B">
        <w:t xml:space="preserve">of 30 </w:t>
      </w:r>
      <w:r w:rsidR="00FB7FCD">
        <w:t>D</w:t>
      </w:r>
      <w:r w:rsidR="0023235B">
        <w:t>ecember 1997</w:t>
      </w:r>
      <w:r>
        <w:t>.</w:t>
      </w:r>
    </w:p>
    <w:p w:rsidR="003F66D7" w:rsidRDefault="003F66D7" w:rsidP="00FB7FCD">
      <w:pPr>
        <w:pStyle w:val="SingleTxtG"/>
        <w:rPr>
          <w:lang w:bidi="he-IL"/>
        </w:rPr>
      </w:pPr>
      <w:r>
        <w:t>2.4</w:t>
      </w:r>
      <w:r>
        <w:tab/>
      </w:r>
      <w:r w:rsidRPr="008D7960">
        <w:rPr>
          <w:lang w:val="en-US"/>
        </w:rPr>
        <w:t xml:space="preserve">The author contends </w:t>
      </w:r>
      <w:r w:rsidR="00FB7FCD">
        <w:rPr>
          <w:lang w:val="en-US"/>
        </w:rPr>
        <w:t>that he has</w:t>
      </w:r>
      <w:r w:rsidRPr="008D7960">
        <w:rPr>
          <w:lang w:val="en-US"/>
        </w:rPr>
        <w:t xml:space="preserve"> exhausted all available and effective domestic remedies.</w:t>
      </w:r>
    </w:p>
    <w:p w:rsidR="000128E3" w:rsidRPr="00D2276A" w:rsidRDefault="000128E3" w:rsidP="00F12D79">
      <w:pPr>
        <w:pStyle w:val="H23G"/>
      </w:pPr>
      <w:r>
        <w:tab/>
      </w:r>
      <w:r>
        <w:tab/>
      </w:r>
      <w:r w:rsidRPr="00D2276A">
        <w:t>The complaint</w:t>
      </w:r>
    </w:p>
    <w:p w:rsidR="00D07060" w:rsidRDefault="003F66D7" w:rsidP="00FB7FCD">
      <w:pPr>
        <w:pStyle w:val="SingleTxtG"/>
        <w:rPr>
          <w:lang w:val="en-US"/>
        </w:rPr>
      </w:pPr>
      <w:r>
        <w:t>3.</w:t>
      </w:r>
      <w:r w:rsidR="000128E3">
        <w:tab/>
      </w:r>
      <w:r>
        <w:t>T</w:t>
      </w:r>
      <w:r w:rsidR="00D07060">
        <w:rPr>
          <w:lang w:val="en-US"/>
        </w:rPr>
        <w:t xml:space="preserve">he author </w:t>
      </w:r>
      <w:r w:rsidR="00D07060" w:rsidRPr="008D7960">
        <w:rPr>
          <w:lang w:val="en-US"/>
        </w:rPr>
        <w:t xml:space="preserve">claims that his freedom of expression has been restricted </w:t>
      </w:r>
      <w:r w:rsidR="00FB7FCD">
        <w:rPr>
          <w:lang w:val="en-US"/>
        </w:rPr>
        <w:t xml:space="preserve">and </w:t>
      </w:r>
      <w:r w:rsidR="001539B4">
        <w:rPr>
          <w:lang w:val="en-US"/>
        </w:rPr>
        <w:t xml:space="preserve">that </w:t>
      </w:r>
      <w:r w:rsidR="00FB7FCD">
        <w:rPr>
          <w:lang w:val="en-US"/>
        </w:rPr>
        <w:t xml:space="preserve">the State party has </w:t>
      </w:r>
      <w:r w:rsidR="00D07060" w:rsidRPr="008D7960">
        <w:rPr>
          <w:lang w:val="en-US"/>
        </w:rPr>
        <w:t>violat</w:t>
      </w:r>
      <w:r w:rsidR="00FB7FCD">
        <w:rPr>
          <w:lang w:val="en-US"/>
        </w:rPr>
        <w:t>ed</w:t>
      </w:r>
      <w:r w:rsidR="00D07060" w:rsidRPr="008D7960">
        <w:rPr>
          <w:lang w:val="en-US"/>
        </w:rPr>
        <w:t xml:space="preserve"> </w:t>
      </w:r>
      <w:r w:rsidR="00467903">
        <w:rPr>
          <w:lang w:val="en-US"/>
        </w:rPr>
        <w:t>article 19 of the Covenant</w:t>
      </w:r>
      <w:r w:rsidR="00096C67">
        <w:rPr>
          <w:lang w:val="en-US"/>
        </w:rPr>
        <w:t xml:space="preserve"> </w:t>
      </w:r>
      <w:r w:rsidR="00FB7FCD">
        <w:rPr>
          <w:lang w:val="en-US"/>
        </w:rPr>
        <w:t xml:space="preserve">owing to </w:t>
      </w:r>
      <w:r w:rsidR="00096C67">
        <w:rPr>
          <w:lang w:val="en-US"/>
        </w:rPr>
        <w:t xml:space="preserve">the refusal </w:t>
      </w:r>
      <w:r w:rsidR="00171921">
        <w:rPr>
          <w:lang w:val="en-US"/>
        </w:rPr>
        <w:t xml:space="preserve">of the </w:t>
      </w:r>
      <w:r w:rsidR="00FB7FCD">
        <w:rPr>
          <w:lang w:val="en-US"/>
        </w:rPr>
        <w:t>S</w:t>
      </w:r>
      <w:r w:rsidR="00171921">
        <w:rPr>
          <w:lang w:val="en-US"/>
        </w:rPr>
        <w:t xml:space="preserve">tate authorities </w:t>
      </w:r>
      <w:r w:rsidR="00096C67">
        <w:rPr>
          <w:lang w:val="en-US"/>
        </w:rPr>
        <w:t>to authorize his picket</w:t>
      </w:r>
      <w:r w:rsidR="00467903">
        <w:rPr>
          <w:lang w:val="en-US"/>
        </w:rPr>
        <w:t xml:space="preserve">. </w:t>
      </w:r>
    </w:p>
    <w:p w:rsidR="000128E3" w:rsidRPr="008216A5" w:rsidRDefault="000128E3" w:rsidP="00F26BC3">
      <w:pPr>
        <w:pStyle w:val="H23G"/>
      </w:pPr>
      <w:r w:rsidRPr="008216A5">
        <w:tab/>
      </w:r>
      <w:r w:rsidRPr="008216A5">
        <w:tab/>
        <w:t>State party</w:t>
      </w:r>
      <w:r>
        <w:t>’s</w:t>
      </w:r>
      <w:r w:rsidRPr="008216A5">
        <w:t xml:space="preserve"> observations </w:t>
      </w:r>
    </w:p>
    <w:p w:rsidR="00B84D8C" w:rsidRDefault="000128E3" w:rsidP="005962BC">
      <w:pPr>
        <w:pStyle w:val="SingleTxtG"/>
      </w:pPr>
      <w:r w:rsidRPr="005479E7">
        <w:t>4.</w:t>
      </w:r>
      <w:r w:rsidRPr="005479E7">
        <w:tab/>
      </w:r>
      <w:r w:rsidR="005853D7">
        <w:t>In</w:t>
      </w:r>
      <w:r w:rsidR="005853D7" w:rsidRPr="005479E7">
        <w:t xml:space="preserve"> </w:t>
      </w:r>
      <w:r w:rsidRPr="005479E7">
        <w:t xml:space="preserve">a note verbale </w:t>
      </w:r>
      <w:r w:rsidR="00FA56DB">
        <w:t>dated</w:t>
      </w:r>
      <w:r w:rsidR="00FA56DB" w:rsidRPr="005479E7">
        <w:t xml:space="preserve"> </w:t>
      </w:r>
      <w:r w:rsidR="00171921">
        <w:t>4 October</w:t>
      </w:r>
      <w:r w:rsidRPr="005479E7">
        <w:t xml:space="preserve"> 201</w:t>
      </w:r>
      <w:r w:rsidR="00B84D8C">
        <w:t>1</w:t>
      </w:r>
      <w:r w:rsidRPr="005479E7">
        <w:t xml:space="preserve">, the State party </w:t>
      </w:r>
      <w:r w:rsidR="00B84D8C">
        <w:t xml:space="preserve">noted that the author has not exhausted all available domestic remedies as required by article 2 of the Optional Protocol </w:t>
      </w:r>
      <w:r w:rsidR="00FB7FCD">
        <w:t>as he</w:t>
      </w:r>
      <w:r w:rsidR="00B84D8C">
        <w:t xml:space="preserve"> fail</w:t>
      </w:r>
      <w:r w:rsidR="0092343F">
        <w:t>ed</w:t>
      </w:r>
      <w:r w:rsidR="00B84D8C">
        <w:t xml:space="preserve"> to appeal to the Procu</w:t>
      </w:r>
      <w:r w:rsidR="0092343F">
        <w:t>ra</w:t>
      </w:r>
      <w:r w:rsidR="00B84D8C">
        <w:t xml:space="preserve">tor’s </w:t>
      </w:r>
      <w:r w:rsidR="0092343F">
        <w:t>O</w:t>
      </w:r>
      <w:r w:rsidR="00B84D8C">
        <w:t xml:space="preserve">ffice. </w:t>
      </w:r>
      <w:r w:rsidR="001539B4">
        <w:t>Also, i</w:t>
      </w:r>
      <w:r w:rsidR="003F66D7">
        <w:t>n</w:t>
      </w:r>
      <w:r w:rsidR="00CE5F5D">
        <w:t xml:space="preserve"> the State party’s </w:t>
      </w:r>
      <w:r w:rsidR="003F66D7">
        <w:t>opinion</w:t>
      </w:r>
      <w:r w:rsidR="00B84D8C">
        <w:t xml:space="preserve"> there </w:t>
      </w:r>
      <w:r w:rsidR="00FB7FCD">
        <w:t>a</w:t>
      </w:r>
      <w:r w:rsidR="00B84D8C">
        <w:t>re no legal grounds for consider</w:t>
      </w:r>
      <w:r w:rsidR="00FB7FCD">
        <w:t>ing</w:t>
      </w:r>
      <w:r w:rsidR="00B84D8C">
        <w:t xml:space="preserve"> the communication </w:t>
      </w:r>
      <w:r w:rsidR="00FB7FCD">
        <w:t>as</w:t>
      </w:r>
      <w:r w:rsidR="00CE5F5D">
        <w:t xml:space="preserve"> it</w:t>
      </w:r>
      <w:r w:rsidR="00B84D8C">
        <w:t xml:space="preserve"> was registered in violation of article 1 of the Optional Protocol.</w:t>
      </w:r>
    </w:p>
    <w:p w:rsidR="00171921" w:rsidRPr="008F4C04" w:rsidRDefault="00171921" w:rsidP="00171921">
      <w:pPr>
        <w:pStyle w:val="H23G"/>
      </w:pPr>
      <w:r>
        <w:lastRenderedPageBreak/>
        <w:tab/>
      </w:r>
      <w:r>
        <w:tab/>
      </w:r>
      <w:r w:rsidRPr="00AF6C3B">
        <w:t>Author’s comments on the State party’s observations</w:t>
      </w:r>
    </w:p>
    <w:p w:rsidR="00171921" w:rsidRDefault="00171921" w:rsidP="0092343F">
      <w:pPr>
        <w:pStyle w:val="SingleTxtG"/>
        <w:rPr>
          <w:bCs/>
        </w:rPr>
      </w:pPr>
      <w:r>
        <w:t>5.</w:t>
      </w:r>
      <w:r w:rsidRPr="00AF6C3B">
        <w:tab/>
      </w:r>
      <w:r>
        <w:rPr>
          <w:bCs/>
        </w:rPr>
        <w:t xml:space="preserve">In a letter </w:t>
      </w:r>
      <w:r w:rsidR="00FB7FCD">
        <w:rPr>
          <w:bCs/>
        </w:rPr>
        <w:t>dated</w:t>
      </w:r>
      <w:r>
        <w:rPr>
          <w:bCs/>
        </w:rPr>
        <w:t xml:space="preserve"> 9 January 2012, the author submitted that the long years of practice as a lawyer ha</w:t>
      </w:r>
      <w:r w:rsidR="00FB7FCD">
        <w:rPr>
          <w:bCs/>
        </w:rPr>
        <w:t>d</w:t>
      </w:r>
      <w:r>
        <w:rPr>
          <w:bCs/>
        </w:rPr>
        <w:t xml:space="preserve"> convinced him that appeals under the supervisory review procedure </w:t>
      </w:r>
      <w:r w:rsidR="00FB7FCD">
        <w:rPr>
          <w:bCs/>
        </w:rPr>
        <w:t>of</w:t>
      </w:r>
      <w:r>
        <w:rPr>
          <w:bCs/>
        </w:rPr>
        <w:t xml:space="preserve"> the Supreme Court and </w:t>
      </w:r>
      <w:r w:rsidR="00FB7FCD">
        <w:rPr>
          <w:bCs/>
        </w:rPr>
        <w:t>of</w:t>
      </w:r>
      <w:r>
        <w:rPr>
          <w:bCs/>
        </w:rPr>
        <w:t xml:space="preserve"> the Procu</w:t>
      </w:r>
      <w:r w:rsidR="0092343F">
        <w:rPr>
          <w:bCs/>
        </w:rPr>
        <w:t>ra</w:t>
      </w:r>
      <w:r>
        <w:rPr>
          <w:bCs/>
        </w:rPr>
        <w:t xml:space="preserve">tor’s </w:t>
      </w:r>
      <w:r w:rsidR="0092343F">
        <w:rPr>
          <w:bCs/>
        </w:rPr>
        <w:t>O</w:t>
      </w:r>
      <w:r>
        <w:rPr>
          <w:bCs/>
        </w:rPr>
        <w:t xml:space="preserve">ffice in Belarus </w:t>
      </w:r>
      <w:r w:rsidR="00FB7FCD">
        <w:rPr>
          <w:bCs/>
        </w:rPr>
        <w:t>w</w:t>
      </w:r>
      <w:r w:rsidR="00BD48ED">
        <w:rPr>
          <w:bCs/>
        </w:rPr>
        <w:t>e</w:t>
      </w:r>
      <w:r>
        <w:rPr>
          <w:bCs/>
        </w:rPr>
        <w:t>re not effective remed</w:t>
      </w:r>
      <w:r w:rsidR="00BD48ED">
        <w:rPr>
          <w:bCs/>
        </w:rPr>
        <w:t>ies</w:t>
      </w:r>
      <w:r>
        <w:rPr>
          <w:bCs/>
        </w:rPr>
        <w:t>. The Supreme Court rejected his appeal after a formalistic review on points of law. Since the Procu</w:t>
      </w:r>
      <w:r w:rsidR="0092343F">
        <w:rPr>
          <w:bCs/>
        </w:rPr>
        <w:t>ra</w:t>
      </w:r>
      <w:r>
        <w:rPr>
          <w:bCs/>
        </w:rPr>
        <w:t xml:space="preserve">tor’s </w:t>
      </w:r>
      <w:r w:rsidR="0092343F">
        <w:rPr>
          <w:bCs/>
        </w:rPr>
        <w:t>O</w:t>
      </w:r>
      <w:r>
        <w:rPr>
          <w:bCs/>
        </w:rPr>
        <w:t>ffice is also a supervisory instance, it would have been similarly ineffective in considering his appeal.</w:t>
      </w:r>
    </w:p>
    <w:p w:rsidR="00171921" w:rsidRDefault="00171921" w:rsidP="00171921">
      <w:pPr>
        <w:pStyle w:val="H23G"/>
      </w:pPr>
      <w:r>
        <w:tab/>
      </w:r>
      <w:r>
        <w:tab/>
      </w:r>
      <w:r w:rsidRPr="008216A5">
        <w:t>State party</w:t>
      </w:r>
      <w:r>
        <w:t>’s</w:t>
      </w:r>
      <w:r w:rsidRPr="008216A5">
        <w:t xml:space="preserve"> </w:t>
      </w:r>
      <w:r>
        <w:t xml:space="preserve">further </w:t>
      </w:r>
      <w:r w:rsidRPr="008216A5">
        <w:t>observations</w:t>
      </w:r>
    </w:p>
    <w:p w:rsidR="00956A6B" w:rsidRDefault="00171921" w:rsidP="005962BC">
      <w:pPr>
        <w:pStyle w:val="SingleTxtG"/>
        <w:rPr>
          <w:bCs/>
        </w:rPr>
      </w:pPr>
      <w:r>
        <w:t>6</w:t>
      </w:r>
      <w:r w:rsidR="00B828A9">
        <w:t>.</w:t>
      </w:r>
      <w:r w:rsidR="00EE0B0F">
        <w:tab/>
        <w:t xml:space="preserve">In a note verbale dated 25 January 2012, the State party </w:t>
      </w:r>
      <w:r w:rsidR="00BD48ED">
        <w:t xml:space="preserve">submitted </w:t>
      </w:r>
      <w:r w:rsidR="00EE0B0F">
        <w:t xml:space="preserve">that </w:t>
      </w:r>
      <w:r w:rsidR="00BD48ED">
        <w:t>upon</w:t>
      </w:r>
      <w:r w:rsidR="00EE0B0F">
        <w:t xml:space="preserve"> </w:t>
      </w:r>
      <w:r w:rsidR="00EE0B0F" w:rsidRPr="005479E7">
        <w:t>becoming a party to the Optional Protocol, it had agreed, under article 1 thereof</w:t>
      </w:r>
      <w:r w:rsidR="00BD48ED">
        <w:t>,</w:t>
      </w:r>
      <w:r w:rsidR="00EE0B0F" w:rsidRPr="005479E7">
        <w:t xml:space="preserve"> to recognize the competence of the Committee to receive and consider communications from individuals subject to its jurisdiction who claim to be victims of a violation by the State party of any rights protected by the Covenant. It note</w:t>
      </w:r>
      <w:r w:rsidR="00EE0B0F">
        <w:t>d</w:t>
      </w:r>
      <w:r w:rsidR="00EE0B0F" w:rsidRPr="005479E7">
        <w:t xml:space="preserve">, however, that </w:t>
      </w:r>
      <w:r w:rsidR="00EE0B0F">
        <w:t>such</w:t>
      </w:r>
      <w:r w:rsidR="00EE0B0F" w:rsidRPr="005479E7">
        <w:t xml:space="preserve"> recognition was undertaken in conjunction with other provisions of the Optional Protocol, including those establishing criteria regarding petitioners and the admissibility of their communications, in particular articles 2 and 5.</w:t>
      </w:r>
      <w:r w:rsidR="00EE0B0F">
        <w:t xml:space="preserve"> It maintained that</w:t>
      </w:r>
      <w:r w:rsidR="00BD48ED">
        <w:t>,</w:t>
      </w:r>
      <w:r w:rsidR="00EE0B0F">
        <w:t xml:space="preserve"> </w:t>
      </w:r>
      <w:r w:rsidR="00EE0B0F" w:rsidRPr="005479E7">
        <w:t>under the Optional Protocol, States parties ha</w:t>
      </w:r>
      <w:r w:rsidR="00BD48ED">
        <w:t>d</w:t>
      </w:r>
      <w:r w:rsidR="00EE0B0F" w:rsidRPr="005479E7">
        <w:t xml:space="preserve"> no obligation to recognize the Committee’s rules of procedure nor its interpretation of the provisions of the Optional Protocol, which could only be effective when done in accordance with the Vienna Convention on</w:t>
      </w:r>
      <w:r w:rsidR="00EE0B0F">
        <w:t xml:space="preserve"> the Law of Treaties. It submitted</w:t>
      </w:r>
      <w:r w:rsidR="00EE0B0F" w:rsidRPr="005479E7">
        <w:t xml:space="preserve"> that, in relation to the </w:t>
      </w:r>
      <w:r w:rsidR="009D6DDF">
        <w:t>communications</w:t>
      </w:r>
      <w:r w:rsidR="00EE0B0F" w:rsidRPr="005479E7">
        <w:t xml:space="preserve"> procedure, States parties should be guided first and foremost by the provisions of the Optional Protocol and that references to the Committee’s long-standing practice, methods of work and case law are not subject </w:t>
      </w:r>
      <w:r w:rsidR="00DA38C1">
        <w:t>to</w:t>
      </w:r>
      <w:r w:rsidR="00EE0B0F" w:rsidRPr="005479E7">
        <w:t xml:space="preserve"> the Optional Protocol. </w:t>
      </w:r>
      <w:r w:rsidR="00EE0B0F">
        <w:t>The State party a</w:t>
      </w:r>
      <w:r w:rsidR="00EE0B0F" w:rsidRPr="005479E7">
        <w:t>lso submit</w:t>
      </w:r>
      <w:r w:rsidR="00EE0B0F">
        <w:t>ted</w:t>
      </w:r>
      <w:r w:rsidR="00EE0B0F" w:rsidRPr="005479E7">
        <w:t xml:space="preserve"> that any communication registered in violation of the provisions of the Optional Protocol </w:t>
      </w:r>
      <w:r w:rsidR="00EE0B0F">
        <w:t>would</w:t>
      </w:r>
      <w:r w:rsidR="00EE0B0F" w:rsidRPr="005479E7">
        <w:t xml:space="preserve"> be viewed as incompatible with the Optional Protocol and rejected without </w:t>
      </w:r>
      <w:r w:rsidR="00EE0B0F">
        <w:t>observations</w:t>
      </w:r>
      <w:r w:rsidR="00EE0B0F" w:rsidRPr="005479E7">
        <w:t xml:space="preserve"> on admissibility or </w:t>
      </w:r>
      <w:r w:rsidR="00BD48ED">
        <w:t xml:space="preserve">the </w:t>
      </w:r>
      <w:r w:rsidR="00EE0B0F" w:rsidRPr="005479E7">
        <w:t xml:space="preserve">merits and </w:t>
      </w:r>
      <w:r w:rsidR="00EE0B0F">
        <w:t xml:space="preserve">that </w:t>
      </w:r>
      <w:r w:rsidR="00EE0B0F" w:rsidRPr="005479E7">
        <w:t xml:space="preserve">any decision taken by the Committee on such communications </w:t>
      </w:r>
      <w:r w:rsidR="00EE0B0F">
        <w:t>would</w:t>
      </w:r>
      <w:r w:rsidR="00EE0B0F" w:rsidRPr="005479E7">
        <w:t xml:space="preserve"> be considered by its authorities as “invalid”. The State party </w:t>
      </w:r>
      <w:r w:rsidR="00EE0B0F">
        <w:t xml:space="preserve">reiterated its view </w:t>
      </w:r>
      <w:r w:rsidR="00EE0B0F" w:rsidRPr="005479E7">
        <w:t xml:space="preserve">that the present communication </w:t>
      </w:r>
      <w:r w:rsidR="00EE0B0F">
        <w:t>was</w:t>
      </w:r>
      <w:r w:rsidR="00EE0B0F" w:rsidRPr="005479E7">
        <w:t xml:space="preserve"> registered in violation of the Optional Protocol.</w:t>
      </w:r>
    </w:p>
    <w:p w:rsidR="000128E3" w:rsidRDefault="000128E3" w:rsidP="009B1E1F">
      <w:pPr>
        <w:pStyle w:val="H23G"/>
      </w:pPr>
      <w:r w:rsidRPr="008216A5">
        <w:tab/>
      </w:r>
      <w:r w:rsidRPr="008216A5">
        <w:tab/>
      </w:r>
      <w:r w:rsidRPr="00236D66">
        <w:t xml:space="preserve">Issues and </w:t>
      </w:r>
      <w:r w:rsidRPr="009B1E1F">
        <w:t>proceedings</w:t>
      </w:r>
      <w:r w:rsidRPr="00236D66">
        <w:t xml:space="preserve"> before the Committee</w:t>
      </w:r>
    </w:p>
    <w:p w:rsidR="000128E3" w:rsidRPr="00ED06EC" w:rsidRDefault="000128E3" w:rsidP="00BD48ED">
      <w:pPr>
        <w:pStyle w:val="H4G"/>
      </w:pPr>
      <w:r>
        <w:tab/>
      </w:r>
      <w:r>
        <w:tab/>
      </w:r>
      <w:r w:rsidR="00BD48ED">
        <w:t>The State party’s l</w:t>
      </w:r>
      <w:r>
        <w:t>ack of cooperation</w:t>
      </w:r>
    </w:p>
    <w:p w:rsidR="000128E3" w:rsidRDefault="00BB6B81" w:rsidP="005962BC">
      <w:pPr>
        <w:pStyle w:val="SingleTxtG"/>
      </w:pPr>
      <w:r>
        <w:t>7</w:t>
      </w:r>
      <w:r w:rsidR="000128E3">
        <w:t>.1</w:t>
      </w:r>
      <w:r w:rsidR="000128E3">
        <w:tab/>
      </w:r>
      <w:r w:rsidR="000128E3" w:rsidRPr="003973D0">
        <w:t>The Committee notes the State party’s assertion that there are no legal grounds for</w:t>
      </w:r>
      <w:r w:rsidR="00335983">
        <w:t xml:space="preserve"> </w:t>
      </w:r>
      <w:r w:rsidR="000128E3" w:rsidRPr="003973D0">
        <w:t>consider</w:t>
      </w:r>
      <w:r w:rsidR="00014DEE">
        <w:t>ing</w:t>
      </w:r>
      <w:r w:rsidR="000128E3" w:rsidRPr="003973D0">
        <w:t xml:space="preserve"> the author</w:t>
      </w:r>
      <w:r w:rsidR="000128E3">
        <w:t>’s</w:t>
      </w:r>
      <w:r w:rsidR="000128E3" w:rsidRPr="003973D0">
        <w:t xml:space="preserve"> </w:t>
      </w:r>
      <w:r w:rsidR="000128E3" w:rsidRPr="009B1E1F">
        <w:t>communication</w:t>
      </w:r>
      <w:r w:rsidR="000128E3" w:rsidRPr="003973D0">
        <w:t xml:space="preserve"> insofar as it </w:t>
      </w:r>
      <w:r w:rsidR="00412A50">
        <w:t>was</w:t>
      </w:r>
      <w:r w:rsidR="00412A50" w:rsidRPr="003973D0">
        <w:t xml:space="preserve"> </w:t>
      </w:r>
      <w:r w:rsidR="000128E3" w:rsidRPr="003973D0">
        <w:t xml:space="preserve">registered in violation of the provisions of the Optional Protocol; it has no obligation </w:t>
      </w:r>
      <w:r w:rsidR="00014DEE">
        <w:t xml:space="preserve">to </w:t>
      </w:r>
      <w:r w:rsidR="000128E3" w:rsidRPr="003973D0">
        <w:t>recogni</w:t>
      </w:r>
      <w:r w:rsidR="00335983">
        <w:t>ze</w:t>
      </w:r>
      <w:r w:rsidR="000128E3" w:rsidRPr="003973D0">
        <w:t xml:space="preserve"> the Committee’s rules of procedure </w:t>
      </w:r>
      <w:r w:rsidR="00335983">
        <w:t>nor</w:t>
      </w:r>
      <w:r w:rsidR="000128E3" w:rsidRPr="003973D0">
        <w:t xml:space="preserve"> the Committee’s interpretation of the </w:t>
      </w:r>
      <w:r w:rsidR="00335983">
        <w:t xml:space="preserve">provisions of the </w:t>
      </w:r>
      <w:r w:rsidR="000128E3" w:rsidRPr="003973D0">
        <w:t xml:space="preserve">Optional Protocol; and </w:t>
      </w:r>
      <w:r w:rsidR="00335983">
        <w:t>any</w:t>
      </w:r>
      <w:r w:rsidR="000128E3" w:rsidRPr="003973D0">
        <w:t xml:space="preserve"> decision taken by the Committee </w:t>
      </w:r>
      <w:r w:rsidR="00014DEE">
        <w:t>in respect of</w:t>
      </w:r>
      <w:r w:rsidR="000128E3" w:rsidRPr="003973D0">
        <w:t xml:space="preserve"> the present communication will be considered “invalid” by its authorities.</w:t>
      </w:r>
    </w:p>
    <w:p w:rsidR="000128E3" w:rsidRPr="00ED06EC" w:rsidRDefault="00BB6B81">
      <w:pPr>
        <w:ind w:left="1134" w:right="1134"/>
        <w:jc w:val="both"/>
      </w:pPr>
      <w:r>
        <w:t>7</w:t>
      </w:r>
      <w:r w:rsidR="000128E3">
        <w:t>.2</w:t>
      </w:r>
      <w:r w:rsidR="000128E3">
        <w:tab/>
      </w:r>
      <w:r w:rsidR="00913390">
        <w:t xml:space="preserve">The Committee </w:t>
      </w:r>
      <w:r w:rsidR="00335983" w:rsidRPr="00335983">
        <w:t>recalls that</w:t>
      </w:r>
      <w:r w:rsidR="003E5629">
        <w:t>,</w:t>
      </w:r>
      <w:r w:rsidR="00335983" w:rsidRPr="00335983">
        <w:t xml:space="preserve"> under article 39</w:t>
      </w:r>
      <w:r w:rsidR="00335983">
        <w:t xml:space="preserve"> (</w:t>
      </w:r>
      <w:r w:rsidR="00335983" w:rsidRPr="00335983">
        <w:t>2</w:t>
      </w:r>
      <w:r w:rsidR="00335983">
        <w:t>)</w:t>
      </w:r>
      <w:r w:rsidR="00335983" w:rsidRPr="00335983">
        <w:t xml:space="preserve"> of the Covenant, it is empowered to establish its own rules of procedure, which States parties have agreed to recognize.</w:t>
      </w:r>
      <w:r w:rsidR="00335983">
        <w:t xml:space="preserve"> It further</w:t>
      </w:r>
      <w:r w:rsidR="00335983" w:rsidRPr="00335983">
        <w:t xml:space="preserve"> </w:t>
      </w:r>
      <w:r w:rsidR="00913390">
        <w:t>observes that</w:t>
      </w:r>
      <w:r w:rsidR="00335983">
        <w:t>,</w:t>
      </w:r>
      <w:r w:rsidR="00913390">
        <w:t xml:space="preserve"> by adhering to the Optional Protocol, a State party to the Covenant recognizes the competence of the Committee to receive and consider communications from individuals claiming to be victims of violations of any of the rights set forth in the Covenant (</w:t>
      </w:r>
      <w:r w:rsidR="00B22D07">
        <w:t xml:space="preserve">Optional Protocol, </w:t>
      </w:r>
      <w:r w:rsidR="00913390">
        <w:t>preamble and art. 1). Implicit in a State’s adherence to the Optional Protocol is an undertaking to cooperate with the Committee in good faith so as to permit and enable it to consider such communications and</w:t>
      </w:r>
      <w:r w:rsidR="003E5629">
        <w:t>,</w:t>
      </w:r>
      <w:r w:rsidR="00913390">
        <w:t xml:space="preserve"> after examination </w:t>
      </w:r>
      <w:r w:rsidR="003E5629">
        <w:t xml:space="preserve">thereof, </w:t>
      </w:r>
      <w:r w:rsidR="00913390">
        <w:t xml:space="preserve">to forward its Views to the State party and the individual (art. 5 (1) and (4)). It is incompatible with these obligations for a State party to take any action that would prevent or frustrate the </w:t>
      </w:r>
      <w:r w:rsidR="00913390">
        <w:lastRenderedPageBreak/>
        <w:t>Committee in its consideration and examination of a communication and in the expression of its Views.</w:t>
      </w:r>
      <w:r w:rsidR="00913390" w:rsidRPr="001D2861">
        <w:rPr>
          <w:rStyle w:val="FootnoteReference"/>
        </w:rPr>
        <w:footnoteReference w:id="5"/>
      </w:r>
      <w:r w:rsidR="00913390">
        <w:t xml:space="preserve"> It is up to the Committee to determine whether a </w:t>
      </w:r>
      <w:r w:rsidR="0092343F">
        <w:t>communication</w:t>
      </w:r>
      <w:r w:rsidR="00913390">
        <w:t xml:space="preserve"> should be registered</w:t>
      </w:r>
      <w:r w:rsidR="0092343F">
        <w:t>.</w:t>
      </w:r>
      <w:r w:rsidR="009602C1">
        <w:t xml:space="preserve"> </w:t>
      </w:r>
      <w:r w:rsidR="0092343F">
        <w:t>T</w:t>
      </w:r>
      <w:r w:rsidR="00913390">
        <w:t>he Committee observes that</w:t>
      </w:r>
      <w:r w:rsidR="0092343F">
        <w:t>,</w:t>
      </w:r>
      <w:r w:rsidR="00913390">
        <w:t xml:space="preserve"> by failing to accept the competence of the Committee to determine whether a communication sh</w:t>
      </w:r>
      <w:r w:rsidR="0092343F">
        <w:t>ould</w:t>
      </w:r>
      <w:r w:rsidR="00913390">
        <w:t xml:space="preserve"> be registered and by declaring </w:t>
      </w:r>
      <w:r w:rsidR="0092343F">
        <w:t xml:space="preserve">beforehand </w:t>
      </w:r>
      <w:r w:rsidR="00913390">
        <w:t>that it will not accept the Committee’s determination o</w:t>
      </w:r>
      <w:r w:rsidR="0092343F">
        <w:t>n</w:t>
      </w:r>
      <w:r w:rsidR="00913390">
        <w:t xml:space="preserve"> admissibility </w:t>
      </w:r>
      <w:r w:rsidR="0092343F">
        <w:t>or</w:t>
      </w:r>
      <w:r w:rsidR="00913390">
        <w:t xml:space="preserve"> </w:t>
      </w:r>
      <w:r w:rsidR="00014DEE">
        <w:t xml:space="preserve">the </w:t>
      </w:r>
      <w:r w:rsidR="00913390">
        <w:t>merits of the communication, the State party is violating its obligations under article 1 of the Optional Protocol.</w:t>
      </w:r>
    </w:p>
    <w:p w:rsidR="000128E3" w:rsidRPr="008216A5" w:rsidRDefault="000128E3" w:rsidP="00781C83">
      <w:pPr>
        <w:pStyle w:val="H4G"/>
      </w:pPr>
      <w:r w:rsidRPr="008216A5">
        <w:tab/>
      </w:r>
      <w:r w:rsidRPr="008216A5">
        <w:tab/>
        <w:t>Consideration of admissibility</w:t>
      </w:r>
    </w:p>
    <w:p w:rsidR="000128E3" w:rsidRPr="008216A5" w:rsidRDefault="00BB6B81" w:rsidP="00781C83">
      <w:pPr>
        <w:pStyle w:val="SingleTxtG"/>
        <w:rPr>
          <w:bCs/>
        </w:rPr>
      </w:pPr>
      <w:r>
        <w:rPr>
          <w:bCs/>
        </w:rPr>
        <w:t>8</w:t>
      </w:r>
      <w:r w:rsidR="000128E3" w:rsidRPr="008216A5">
        <w:rPr>
          <w:bCs/>
        </w:rPr>
        <w:t>.1</w:t>
      </w:r>
      <w:r w:rsidR="000128E3" w:rsidRPr="008216A5">
        <w:rPr>
          <w:bCs/>
        </w:rPr>
        <w:tab/>
        <w:t>Before considering any claim contained in a communication, the Committee must</w:t>
      </w:r>
      <w:r w:rsidR="003E1C43">
        <w:rPr>
          <w:bCs/>
        </w:rPr>
        <w:t xml:space="preserve"> </w:t>
      </w:r>
      <w:r w:rsidR="003E1C43" w:rsidRPr="008216A5">
        <w:rPr>
          <w:bCs/>
        </w:rPr>
        <w:t>decide</w:t>
      </w:r>
      <w:r w:rsidR="000128E3" w:rsidRPr="008216A5">
        <w:rPr>
          <w:bCs/>
        </w:rPr>
        <w:t>, in accordance with rule 93 of its rules of procedure, whether the communication is admissible under the Optional Protocol.</w:t>
      </w:r>
    </w:p>
    <w:p w:rsidR="000128E3" w:rsidRDefault="00BB6B81" w:rsidP="00781C83">
      <w:pPr>
        <w:pStyle w:val="SingleTxtG"/>
      </w:pPr>
      <w:r>
        <w:t>8</w:t>
      </w:r>
      <w:r w:rsidR="000128E3" w:rsidRPr="008216A5">
        <w:t>.2</w:t>
      </w:r>
      <w:r w:rsidR="000128E3" w:rsidRPr="008216A5">
        <w:tab/>
        <w:t xml:space="preserve">The Committee has ascertained, as required under article 5 </w:t>
      </w:r>
      <w:r w:rsidR="003E1C43">
        <w:t>(</w:t>
      </w:r>
      <w:r w:rsidR="000128E3" w:rsidRPr="008216A5">
        <w:t>2</w:t>
      </w:r>
      <w:r w:rsidR="003E1C43">
        <w:t>)</w:t>
      </w:r>
      <w:r w:rsidR="000128E3" w:rsidRPr="008216A5">
        <w:t xml:space="preserve"> (a) of </w:t>
      </w:r>
      <w:r w:rsidR="000128E3">
        <w:t xml:space="preserve">the Optional Protocol, that the </w:t>
      </w:r>
      <w:r w:rsidR="000128E3" w:rsidRPr="008216A5">
        <w:t xml:space="preserve">same matter is not being examined under another procedure of international investigation or settlement. </w:t>
      </w:r>
    </w:p>
    <w:p w:rsidR="000128E3" w:rsidRDefault="00BB6B81" w:rsidP="0092343F">
      <w:pPr>
        <w:pStyle w:val="SingleTxtG"/>
      </w:pPr>
      <w:r>
        <w:t>8</w:t>
      </w:r>
      <w:r w:rsidR="000128E3">
        <w:t>.3</w:t>
      </w:r>
      <w:r w:rsidR="000128E3">
        <w:tab/>
        <w:t>T</w:t>
      </w:r>
      <w:r w:rsidR="000128E3">
        <w:rPr>
          <w:lang w:val="en-US"/>
        </w:rPr>
        <w:t>he Committee takes note of the State party’s objection that the author failed to request the Pro</w:t>
      </w:r>
      <w:r w:rsidR="0092343F">
        <w:rPr>
          <w:lang w:val="en-US"/>
        </w:rPr>
        <w:t>cura</w:t>
      </w:r>
      <w:r w:rsidR="000128E3">
        <w:rPr>
          <w:lang w:val="en-US"/>
        </w:rPr>
        <w:t xml:space="preserve">tor’s Office </w:t>
      </w:r>
      <w:r w:rsidR="000128E3">
        <w:t xml:space="preserve">to initiate a supervisory review of the </w:t>
      </w:r>
      <w:r w:rsidR="0092343F">
        <w:t xml:space="preserve">decisions of the </w:t>
      </w:r>
      <w:r w:rsidR="000128E3">
        <w:t xml:space="preserve">domestic courts. </w:t>
      </w:r>
      <w:r w:rsidR="000128E3" w:rsidRPr="00DC128E">
        <w:t xml:space="preserve">The Committee recalls its jurisprudence, according to which </w:t>
      </w:r>
      <w:r w:rsidR="00236D66" w:rsidRPr="00DC128E">
        <w:t xml:space="preserve">a petition to </w:t>
      </w:r>
      <w:r w:rsidR="00014DEE">
        <w:t xml:space="preserve">the </w:t>
      </w:r>
      <w:r w:rsidR="00236D66" w:rsidRPr="00DC128E">
        <w:t>Pro</w:t>
      </w:r>
      <w:r w:rsidR="0092343F">
        <w:t>curator</w:t>
      </w:r>
      <w:r w:rsidR="00236D66" w:rsidRPr="00DC128E">
        <w:t>’s Office</w:t>
      </w:r>
      <w:r w:rsidR="00236D66">
        <w:t xml:space="preserve"> </w:t>
      </w:r>
      <w:r w:rsidR="0092343F">
        <w:t>for</w:t>
      </w:r>
      <w:r w:rsidR="00236D66">
        <w:t xml:space="preserve"> supervisory review</w:t>
      </w:r>
      <w:r w:rsidR="00236D66" w:rsidRPr="00DC128E">
        <w:t xml:space="preserve"> </w:t>
      </w:r>
      <w:r w:rsidR="003E1C43">
        <w:t xml:space="preserve">of </w:t>
      </w:r>
      <w:r w:rsidR="000128E3" w:rsidRPr="00DC128E">
        <w:t xml:space="preserve">court decisions that have taken effect does not constitute a remedy which has to be exhausted for the purposes of article 5 </w:t>
      </w:r>
      <w:r w:rsidR="003E1C43">
        <w:t>(</w:t>
      </w:r>
      <w:r w:rsidR="000128E3" w:rsidRPr="00DC128E">
        <w:t>2</w:t>
      </w:r>
      <w:r w:rsidR="003E1C43">
        <w:t>)</w:t>
      </w:r>
      <w:r w:rsidR="000128E3" w:rsidRPr="00DC128E">
        <w:t xml:space="preserve"> (b) of the Optional Protocol.</w:t>
      </w:r>
      <w:r w:rsidR="000128E3" w:rsidRPr="001D2861">
        <w:rPr>
          <w:rStyle w:val="FootnoteReference"/>
        </w:rPr>
        <w:footnoteReference w:id="6"/>
      </w:r>
      <w:r w:rsidR="000128E3" w:rsidRPr="00DC128E">
        <w:t xml:space="preserve"> Accordingly, </w:t>
      </w:r>
      <w:r w:rsidR="0092343F">
        <w:t>the Committee</w:t>
      </w:r>
      <w:r w:rsidR="000128E3" w:rsidRPr="00DC128E">
        <w:t xml:space="preserve"> considers that it is not precluded by </w:t>
      </w:r>
      <w:r w:rsidR="0092343F">
        <w:t xml:space="preserve">the requirements of </w:t>
      </w:r>
      <w:r w:rsidR="000128E3" w:rsidRPr="00DC128E">
        <w:t xml:space="preserve">article 5 </w:t>
      </w:r>
      <w:r w:rsidR="003E1C43">
        <w:t>(</w:t>
      </w:r>
      <w:r w:rsidR="000128E3" w:rsidRPr="00DC128E">
        <w:t>2</w:t>
      </w:r>
      <w:r w:rsidR="003E1C43">
        <w:t>)</w:t>
      </w:r>
      <w:r w:rsidR="000128E3" w:rsidRPr="00DC128E">
        <w:t xml:space="preserve"> (b) of the Optional Protocol from examining the </w:t>
      </w:r>
      <w:r w:rsidR="000128E3">
        <w:t xml:space="preserve">present </w:t>
      </w:r>
      <w:r w:rsidR="000128E3" w:rsidRPr="00DC128E">
        <w:t>communication.</w:t>
      </w:r>
      <w:r>
        <w:t xml:space="preserve"> </w:t>
      </w:r>
      <w:r w:rsidR="0092343F">
        <w:t>As t</w:t>
      </w:r>
      <w:r>
        <w:t>he Committee finds no other grounds preventing it from considering the author’s complaint</w:t>
      </w:r>
      <w:r w:rsidR="0092343F">
        <w:t>, it declares the claims admissible</w:t>
      </w:r>
      <w:r>
        <w:t xml:space="preserve"> and proceeds </w:t>
      </w:r>
      <w:r w:rsidR="0092343F">
        <w:t>with</w:t>
      </w:r>
      <w:r>
        <w:t xml:space="preserve"> its </w:t>
      </w:r>
      <w:r w:rsidR="0092343F">
        <w:t>consideration</w:t>
      </w:r>
      <w:r>
        <w:t xml:space="preserve"> o</w:t>
      </w:r>
      <w:r w:rsidR="0092343F">
        <w:t>f</w:t>
      </w:r>
      <w:r>
        <w:t xml:space="preserve"> </w:t>
      </w:r>
      <w:r w:rsidR="0092343F">
        <w:t xml:space="preserve">the </w:t>
      </w:r>
      <w:r>
        <w:t>merits.</w:t>
      </w:r>
      <w:r w:rsidR="000128E3">
        <w:t xml:space="preserve"> </w:t>
      </w:r>
    </w:p>
    <w:p w:rsidR="000128E3" w:rsidRPr="008216A5" w:rsidRDefault="000128E3" w:rsidP="00781C83">
      <w:pPr>
        <w:pStyle w:val="H4G"/>
      </w:pPr>
      <w:r w:rsidRPr="008216A5">
        <w:tab/>
      </w:r>
      <w:r w:rsidRPr="008216A5">
        <w:tab/>
      </w:r>
      <w:r w:rsidRPr="00115DDE">
        <w:t>Consideration of the merits</w:t>
      </w:r>
    </w:p>
    <w:p w:rsidR="000128E3" w:rsidRPr="008216A5" w:rsidRDefault="00BB6B81" w:rsidP="00781C83">
      <w:pPr>
        <w:pStyle w:val="SingleTxtG"/>
      </w:pPr>
      <w:r>
        <w:t>9</w:t>
      </w:r>
      <w:r w:rsidR="000128E3" w:rsidRPr="008216A5">
        <w:t>.1</w:t>
      </w:r>
      <w:r w:rsidR="000128E3" w:rsidRPr="008216A5">
        <w:tab/>
        <w:t xml:space="preserve">The Committee has considered the communication in </w:t>
      </w:r>
      <w:r w:rsidR="005928DF">
        <w:t xml:space="preserve">the </w:t>
      </w:r>
      <w:r w:rsidR="000128E3" w:rsidRPr="008216A5">
        <w:t xml:space="preserve">light of all the information made available to it by the parties, as provided under article 5 </w:t>
      </w:r>
      <w:r w:rsidR="005928DF">
        <w:t>(</w:t>
      </w:r>
      <w:r w:rsidR="000128E3" w:rsidRPr="008216A5">
        <w:t>1</w:t>
      </w:r>
      <w:r w:rsidR="005928DF">
        <w:t>)</w:t>
      </w:r>
      <w:r w:rsidR="000128E3" w:rsidRPr="008216A5">
        <w:t xml:space="preserve"> of the Optional Protocol.</w:t>
      </w:r>
    </w:p>
    <w:p w:rsidR="000128E3" w:rsidRDefault="00BB6B81" w:rsidP="005962BC">
      <w:pPr>
        <w:pStyle w:val="SingleTxtG"/>
        <w:rPr>
          <w:lang w:val="en-US"/>
        </w:rPr>
      </w:pPr>
      <w:r>
        <w:t>9</w:t>
      </w:r>
      <w:r w:rsidR="000128E3">
        <w:t>.2</w:t>
      </w:r>
      <w:r w:rsidR="000128E3" w:rsidRPr="008216A5">
        <w:tab/>
      </w:r>
      <w:r w:rsidR="008D4DE1" w:rsidRPr="008C08A5">
        <w:t>The Committee notes the author</w:t>
      </w:r>
      <w:r w:rsidR="00A5633D">
        <w:t>’</w:t>
      </w:r>
      <w:r w:rsidR="008D4DE1" w:rsidRPr="008C08A5">
        <w:t>s allegation</w:t>
      </w:r>
      <w:r w:rsidR="008D4DE1">
        <w:t>s</w:t>
      </w:r>
      <w:r w:rsidR="008D4DE1" w:rsidRPr="008C08A5">
        <w:t xml:space="preserve"> that h</w:t>
      </w:r>
      <w:r w:rsidR="008D4DE1">
        <w:t xml:space="preserve">is </w:t>
      </w:r>
      <w:r w:rsidR="008D4DE1" w:rsidRPr="008D7960">
        <w:rPr>
          <w:lang w:val="en-US"/>
        </w:rPr>
        <w:t xml:space="preserve">freedom of expression has been restricted arbitrarily </w:t>
      </w:r>
      <w:r w:rsidR="00014DEE">
        <w:rPr>
          <w:lang w:val="en-US"/>
        </w:rPr>
        <w:t>because</w:t>
      </w:r>
      <w:r w:rsidR="008D4DE1" w:rsidRPr="008D7960">
        <w:rPr>
          <w:lang w:val="en-US"/>
        </w:rPr>
        <w:t xml:space="preserve"> he was refused permission to hold </w:t>
      </w:r>
      <w:r w:rsidR="008D4DE1">
        <w:rPr>
          <w:lang w:val="en-US"/>
        </w:rPr>
        <w:t xml:space="preserve">a </w:t>
      </w:r>
      <w:r w:rsidR="008D4DE1" w:rsidRPr="008D7960">
        <w:rPr>
          <w:lang w:val="en-US"/>
        </w:rPr>
        <w:t xml:space="preserve">public picket and to publicly express his opinion. </w:t>
      </w:r>
      <w:r w:rsidR="008D4DE1" w:rsidRPr="008C08A5">
        <w:t xml:space="preserve">The Committee considers that the legal issue before it is to decide whether the </w:t>
      </w:r>
      <w:r w:rsidR="008D4DE1">
        <w:t xml:space="preserve">prohibition to hold a public picket </w:t>
      </w:r>
      <w:r w:rsidR="0092343F">
        <w:t xml:space="preserve">that was </w:t>
      </w:r>
      <w:r w:rsidR="008D4DE1" w:rsidRPr="008C08A5">
        <w:t>impos</w:t>
      </w:r>
      <w:r w:rsidR="008D4DE1">
        <w:t xml:space="preserve">ed on the author by the executive authorities of the State party </w:t>
      </w:r>
      <w:r w:rsidR="008D4DE1" w:rsidRPr="008C08A5">
        <w:t>amount</w:t>
      </w:r>
      <w:r w:rsidR="009602C1">
        <w:t>s</w:t>
      </w:r>
      <w:r w:rsidR="008D4DE1" w:rsidRPr="008C08A5">
        <w:t xml:space="preserve"> to </w:t>
      </w:r>
      <w:r w:rsidR="009602C1">
        <w:t xml:space="preserve">a </w:t>
      </w:r>
      <w:r w:rsidR="008D4DE1" w:rsidRPr="008C08A5">
        <w:t xml:space="preserve">violation of article 19 of the Covenant. </w:t>
      </w:r>
      <w:r w:rsidR="00F6278D">
        <w:t>It transpires f</w:t>
      </w:r>
      <w:r w:rsidR="008D4DE1" w:rsidRPr="008C08A5">
        <w:t>rom the material before the Committee</w:t>
      </w:r>
      <w:r w:rsidR="008D4DE1">
        <w:t xml:space="preserve"> that the author</w:t>
      </w:r>
      <w:r w:rsidR="00A5633D">
        <w:t>’</w:t>
      </w:r>
      <w:r w:rsidR="008D4DE1">
        <w:t>s act</w:t>
      </w:r>
      <w:r w:rsidR="008D4DE1" w:rsidRPr="008C08A5">
        <w:t xml:space="preserve"> w</w:t>
      </w:r>
      <w:r w:rsidR="008D4DE1">
        <w:t>as</w:t>
      </w:r>
      <w:r w:rsidR="008D4DE1" w:rsidRPr="008C08A5">
        <w:t xml:space="preserve"> qualified by the courts </w:t>
      </w:r>
      <w:r w:rsidR="008D4DE1">
        <w:t xml:space="preserve">as an application to hold a public event and </w:t>
      </w:r>
      <w:r w:rsidR="00F6278D">
        <w:t xml:space="preserve">it </w:t>
      </w:r>
      <w:r w:rsidR="008D4DE1">
        <w:t>was refused on the basis that the location chosen was not among those permitted by the executive authorities</w:t>
      </w:r>
      <w:r w:rsidR="00F6278D">
        <w:t xml:space="preserve"> of the town</w:t>
      </w:r>
      <w:r w:rsidR="008D4DE1">
        <w:t xml:space="preserve"> and the author has not secured the </w:t>
      </w:r>
      <w:r w:rsidR="00F6278D">
        <w:t xml:space="preserve">required </w:t>
      </w:r>
      <w:r w:rsidR="008D4DE1">
        <w:t xml:space="preserve">security, medical and cleaning services </w:t>
      </w:r>
      <w:r w:rsidR="00F6278D">
        <w:t>to hold the</w:t>
      </w:r>
      <w:r w:rsidR="008D4DE1">
        <w:t xml:space="preserve"> picket</w:t>
      </w:r>
      <w:r w:rsidR="008D4DE1" w:rsidRPr="008C08A5">
        <w:t>.</w:t>
      </w:r>
      <w:r w:rsidR="008D4DE1">
        <w:t xml:space="preserve"> </w:t>
      </w:r>
      <w:r w:rsidR="008D4DE1" w:rsidRPr="008C08A5">
        <w:t>In the Committee</w:t>
      </w:r>
      <w:r w:rsidR="008D4DE1">
        <w:t>’</w:t>
      </w:r>
      <w:r w:rsidR="008D4DE1" w:rsidRPr="008C08A5">
        <w:t>s opinion, the action</w:t>
      </w:r>
      <w:r w:rsidR="008D4DE1">
        <w:t>s</w:t>
      </w:r>
      <w:r w:rsidR="008D4DE1" w:rsidRPr="008C08A5">
        <w:t xml:space="preserve"> of the authorities, irrespective of </w:t>
      </w:r>
      <w:r w:rsidR="008D4DE1">
        <w:t>their</w:t>
      </w:r>
      <w:r w:rsidR="008D4DE1" w:rsidRPr="008C08A5">
        <w:t xml:space="preserve"> legal qualification, amount to </w:t>
      </w:r>
      <w:r w:rsidR="006C3EB1" w:rsidRPr="00370364">
        <w:rPr>
          <w:iCs/>
        </w:rPr>
        <w:t>a</w:t>
      </w:r>
      <w:r w:rsidR="008D4DE1" w:rsidRPr="008D7960">
        <w:rPr>
          <w:i/>
          <w:iCs/>
        </w:rPr>
        <w:t xml:space="preserve"> </w:t>
      </w:r>
      <w:r w:rsidR="008D4DE1" w:rsidRPr="008C08A5">
        <w:t>limitation</w:t>
      </w:r>
      <w:r w:rsidR="00F6278D">
        <w:t xml:space="preserve"> </w:t>
      </w:r>
      <w:r w:rsidR="008D4DE1" w:rsidRPr="008C08A5">
        <w:t>of the a</w:t>
      </w:r>
      <w:r w:rsidR="008D4DE1">
        <w:t>uthor’s rights, in particular the right to impart information and ideas of a</w:t>
      </w:r>
      <w:r w:rsidR="00F6278D">
        <w:t>ny</w:t>
      </w:r>
      <w:r w:rsidR="008D4DE1">
        <w:t xml:space="preserve"> kind, under article 19</w:t>
      </w:r>
      <w:r w:rsidR="00F6278D">
        <w:t xml:space="preserve"> (</w:t>
      </w:r>
      <w:r w:rsidR="008D4DE1">
        <w:t>2</w:t>
      </w:r>
      <w:r w:rsidR="00F6278D">
        <w:t>)</w:t>
      </w:r>
      <w:r w:rsidR="008D4DE1">
        <w:t xml:space="preserve"> o</w:t>
      </w:r>
      <w:r w:rsidR="008D4DE1" w:rsidRPr="008C08A5">
        <w:t>f the Covenant.</w:t>
      </w:r>
    </w:p>
    <w:p w:rsidR="000128E3" w:rsidRDefault="00BB6B81" w:rsidP="00EE23E7">
      <w:pPr>
        <w:pStyle w:val="SingleTxtG"/>
      </w:pPr>
      <w:r>
        <w:rPr>
          <w:lang w:val="en-US"/>
        </w:rPr>
        <w:lastRenderedPageBreak/>
        <w:t>9</w:t>
      </w:r>
      <w:r w:rsidR="000128E3">
        <w:t>.3</w:t>
      </w:r>
      <w:r w:rsidR="000128E3" w:rsidRPr="00966D7C">
        <w:tab/>
      </w:r>
      <w:r w:rsidR="00227AB1">
        <w:t xml:space="preserve">The Committee refers to its general comment No. 34 (2011) on the freedoms of opinion and expression, </w:t>
      </w:r>
      <w:r w:rsidR="00F6278D">
        <w:t xml:space="preserve">according to </w:t>
      </w:r>
      <w:r w:rsidR="00227AB1">
        <w:t>which freedom of opinion and freedom of expression are indispensable conditions for the full development of the person</w:t>
      </w:r>
      <w:r w:rsidR="00F6278D">
        <w:t>. S</w:t>
      </w:r>
      <w:r w:rsidR="00227AB1">
        <w:t>uch freedoms are essential for any society</w:t>
      </w:r>
      <w:r w:rsidR="00F6278D">
        <w:t xml:space="preserve"> and</w:t>
      </w:r>
      <w:r w:rsidR="00227AB1">
        <w:t xml:space="preserve"> constitute the foundation stone for every free and democratic society</w:t>
      </w:r>
      <w:r w:rsidR="00D73EB4">
        <w:t xml:space="preserve"> (para. 2)</w:t>
      </w:r>
      <w:r w:rsidR="00227AB1">
        <w:t>. The Committee recalls</w:t>
      </w:r>
      <w:r w:rsidR="00A5633D">
        <w:t xml:space="preserve"> </w:t>
      </w:r>
      <w:r w:rsidR="00227AB1">
        <w:t>that article 19 (3) of the Covenant allows certain restrictions only as provided by law and necessary</w:t>
      </w:r>
      <w:r w:rsidR="00D1030C">
        <w:t>:</w:t>
      </w:r>
      <w:r w:rsidR="00227AB1">
        <w:t xml:space="preserve"> (a) for the respect of the rights and reputation of others; and (b) for the protection of national security or </w:t>
      </w:r>
      <w:r w:rsidR="00D1030C">
        <w:t xml:space="preserve">of </w:t>
      </w:r>
      <w:r w:rsidR="00227AB1">
        <w:t>public order (</w:t>
      </w:r>
      <w:r w:rsidR="00227AB1" w:rsidRPr="00EE23E7">
        <w:rPr>
          <w:iCs/>
        </w:rPr>
        <w:t>ordre public</w:t>
      </w:r>
      <w:r w:rsidR="00227AB1">
        <w:t>)</w:t>
      </w:r>
      <w:r w:rsidR="00D1030C">
        <w:t>,</w:t>
      </w:r>
      <w:r w:rsidR="00227AB1">
        <w:t xml:space="preserve"> or </w:t>
      </w:r>
      <w:r w:rsidR="00D1030C">
        <w:t xml:space="preserve">of </w:t>
      </w:r>
      <w:r w:rsidR="00227AB1">
        <w:t>public health or morals. Any restriction on the exercise of such freedoms must conform to the strict tests of necessity and proportionality. Restrictions must be applied only for those purposes for which they were prescribed and must be directly related to the specific need on which they are predicated.</w:t>
      </w:r>
      <w:r w:rsidR="007A219F">
        <w:rPr>
          <w:rStyle w:val="FootnoteReference"/>
        </w:rPr>
        <w:footnoteReference w:id="7"/>
      </w:r>
      <w:r w:rsidR="007A219F">
        <w:t xml:space="preserve"> </w:t>
      </w:r>
      <w:r w:rsidR="00227AB1">
        <w:t>The Committee recalls</w:t>
      </w:r>
      <w:r w:rsidR="00227AB1">
        <w:rPr>
          <w:sz w:val="16"/>
          <w:szCs w:val="16"/>
        </w:rPr>
        <w:t xml:space="preserve"> </w:t>
      </w:r>
      <w:r w:rsidR="00227AB1">
        <w:t xml:space="preserve">that it is </w:t>
      </w:r>
      <w:r w:rsidR="00307789">
        <w:t>up to</w:t>
      </w:r>
      <w:r w:rsidR="00227AB1">
        <w:t xml:space="preserve"> the State party to demonstrate that the restriction</w:t>
      </w:r>
      <w:r w:rsidR="00014DEE">
        <w:t>s</w:t>
      </w:r>
      <w:r w:rsidR="00227AB1">
        <w:t xml:space="preserve"> on the rights under article 19 </w:t>
      </w:r>
      <w:r w:rsidR="00307789">
        <w:t>are</w:t>
      </w:r>
      <w:r w:rsidR="00227AB1">
        <w:t xml:space="preserve"> necessary and proportionate.</w:t>
      </w:r>
      <w:r w:rsidR="00227AB1">
        <w:rPr>
          <w:rStyle w:val="FootnoteReference"/>
          <w:rFonts w:eastAsiaTheme="minorEastAsia"/>
        </w:rPr>
        <w:footnoteReference w:id="8"/>
      </w:r>
      <w:r w:rsidR="00227AB1">
        <w:t xml:space="preserve"> </w:t>
      </w:r>
      <w:r w:rsidR="003F66D7">
        <w:t xml:space="preserve">The Committee observes that limiting pickets to certain predetermined locations as well as requesting the organizer of a one-person picket to </w:t>
      </w:r>
      <w:r w:rsidR="00C74D14">
        <w:t xml:space="preserve">conclude service </w:t>
      </w:r>
      <w:r w:rsidR="003F66D7">
        <w:t>contract</w:t>
      </w:r>
      <w:r w:rsidR="00FA40E0">
        <w:t>s</w:t>
      </w:r>
      <w:r w:rsidR="003F66D7">
        <w:t xml:space="preserve"> </w:t>
      </w:r>
      <w:r w:rsidR="00C74D14">
        <w:t>with a number of government agencies</w:t>
      </w:r>
      <w:r w:rsidR="003F66D7">
        <w:t xml:space="preserve"> in order to hold </w:t>
      </w:r>
      <w:r w:rsidR="00307789">
        <w:t>the</w:t>
      </w:r>
      <w:r w:rsidR="003F66D7">
        <w:t xml:space="preserve"> picket </w:t>
      </w:r>
      <w:r w:rsidR="00227AB1">
        <w:t xml:space="preserve">do not appear to meet the standards of necessity and proportionality under article 19 of the Covenant. The Committee notes that neither the State party nor the national courts provided any explanations for </w:t>
      </w:r>
      <w:r w:rsidR="00482FE1">
        <w:t xml:space="preserve">the </w:t>
      </w:r>
      <w:r w:rsidR="00227AB1">
        <w:t xml:space="preserve">restrictions. </w:t>
      </w:r>
      <w:r w:rsidR="003F66D7" w:rsidRPr="008C08A5">
        <w:t xml:space="preserve">The Committee considers that, in the circumstances, the </w:t>
      </w:r>
      <w:r w:rsidR="003F66D7">
        <w:t xml:space="preserve">prohibitions </w:t>
      </w:r>
      <w:r w:rsidR="003F66D7" w:rsidRPr="008C08A5">
        <w:t>imposed on the author</w:t>
      </w:r>
      <w:r w:rsidR="003F66D7">
        <w:t>, although based on domestic law,</w:t>
      </w:r>
      <w:r w:rsidR="003F66D7" w:rsidRPr="008C08A5">
        <w:t xml:space="preserve"> w</w:t>
      </w:r>
      <w:r w:rsidR="003F66D7">
        <w:t>ere</w:t>
      </w:r>
      <w:r w:rsidR="003F66D7" w:rsidRPr="008C08A5">
        <w:t xml:space="preserve"> not justified </w:t>
      </w:r>
      <w:r w:rsidR="00E77853">
        <w:t xml:space="preserve">by the State party </w:t>
      </w:r>
      <w:r w:rsidR="003F66D7">
        <w:t>pursuant to the conditions</w:t>
      </w:r>
      <w:r w:rsidR="003F66D7" w:rsidRPr="008C08A5">
        <w:t xml:space="preserve"> set out in article 19</w:t>
      </w:r>
      <w:r w:rsidR="003F66D7">
        <w:t xml:space="preserve"> (3) of the Covenant</w:t>
      </w:r>
      <w:r w:rsidR="003F66D7" w:rsidRPr="008C08A5">
        <w:t>. It therefore concludes that the author</w:t>
      </w:r>
      <w:r w:rsidR="00A5633D">
        <w:t>’</w:t>
      </w:r>
      <w:r w:rsidR="003F66D7" w:rsidRPr="008C08A5">
        <w:t>s rights under article 19</w:t>
      </w:r>
      <w:r w:rsidR="003F66D7">
        <w:t xml:space="preserve"> (2)</w:t>
      </w:r>
      <w:r w:rsidR="003F66D7" w:rsidRPr="00072DB4">
        <w:t xml:space="preserve"> of the Covenant</w:t>
      </w:r>
      <w:r w:rsidR="003F66D7" w:rsidRPr="008C08A5">
        <w:t xml:space="preserve"> have been violated</w:t>
      </w:r>
      <w:r w:rsidR="003F66D7">
        <w:t>.</w:t>
      </w:r>
    </w:p>
    <w:p w:rsidR="000128E3" w:rsidRDefault="00BB6B81" w:rsidP="00EE23E7">
      <w:pPr>
        <w:pStyle w:val="SingleTxtG"/>
      </w:pPr>
      <w:r>
        <w:t>10</w:t>
      </w:r>
      <w:r w:rsidR="000128E3" w:rsidRPr="008216A5">
        <w:t>.</w:t>
      </w:r>
      <w:r w:rsidR="000128E3" w:rsidRPr="008216A5">
        <w:tab/>
      </w:r>
      <w:r w:rsidR="00687350" w:rsidRPr="00072DB4">
        <w:t>The Human Rights Committee</w:t>
      </w:r>
      <w:r w:rsidR="00687350" w:rsidRPr="008C08A5">
        <w:t>, acting under article 5</w:t>
      </w:r>
      <w:r w:rsidR="00482FE1">
        <w:t xml:space="preserve"> (</w:t>
      </w:r>
      <w:r w:rsidR="00687350" w:rsidRPr="008C08A5">
        <w:t>4</w:t>
      </w:r>
      <w:r w:rsidR="00482FE1">
        <w:t>)</w:t>
      </w:r>
      <w:r w:rsidR="00687350" w:rsidRPr="008C08A5">
        <w:t xml:space="preserve"> of the Optional Protocol,</w:t>
      </w:r>
      <w:r w:rsidR="00014DEE">
        <w:t xml:space="preserve"> </w:t>
      </w:r>
      <w:r w:rsidR="00687350" w:rsidRPr="008C08A5">
        <w:t xml:space="preserve">is of the view that the facts before it disclose </w:t>
      </w:r>
      <w:r w:rsidR="00482FE1">
        <w:t xml:space="preserve">a </w:t>
      </w:r>
      <w:r w:rsidR="00687350" w:rsidRPr="008C08A5">
        <w:t>violation of the author</w:t>
      </w:r>
      <w:r w:rsidR="00A5633D">
        <w:t>’</w:t>
      </w:r>
      <w:r w:rsidR="00687350" w:rsidRPr="008C08A5">
        <w:t>s rights under</w:t>
      </w:r>
      <w:r w:rsidR="00687350">
        <w:t xml:space="preserve"> </w:t>
      </w:r>
      <w:r w:rsidR="00687350" w:rsidRPr="008C08A5">
        <w:t>article 19</w:t>
      </w:r>
      <w:r w:rsidR="00307789">
        <w:t xml:space="preserve"> (</w:t>
      </w:r>
      <w:r w:rsidR="00687350" w:rsidRPr="008C08A5">
        <w:t>2</w:t>
      </w:r>
      <w:r w:rsidR="00307789">
        <w:t>)</w:t>
      </w:r>
      <w:r w:rsidR="00687350">
        <w:t xml:space="preserve"> of the Covenant</w:t>
      </w:r>
      <w:r w:rsidR="00687350" w:rsidRPr="008C08A5">
        <w:t xml:space="preserve"> </w:t>
      </w:r>
      <w:r w:rsidR="00687350">
        <w:t>and under article 1 of the Optional Protocol to the Covenant</w:t>
      </w:r>
      <w:r w:rsidR="00687350" w:rsidRPr="008C08A5">
        <w:t>.</w:t>
      </w:r>
    </w:p>
    <w:p w:rsidR="000128E3" w:rsidRDefault="00BB6B81" w:rsidP="00EE23E7">
      <w:pPr>
        <w:pStyle w:val="SingleTxtG"/>
      </w:pPr>
      <w:r>
        <w:t>11</w:t>
      </w:r>
      <w:r w:rsidR="000128E3" w:rsidRPr="008216A5">
        <w:t>.</w:t>
      </w:r>
      <w:r w:rsidR="000128E3" w:rsidRPr="008216A5">
        <w:tab/>
      </w:r>
      <w:r w:rsidR="006C6DE5">
        <w:rPr>
          <w:color w:val="000000"/>
          <w:lang w:eastAsia="de-DE"/>
        </w:rPr>
        <w:t>Pursuant to article 2 (3) (a) of the Covenant, the State party is under an obligation to provide the author with an effective remedy. This requires it to make full reparation to individuals whose Covenant rights have been violated. Accordingly, the State party is obligated</w:t>
      </w:r>
      <w:r w:rsidR="00482FE1">
        <w:rPr>
          <w:color w:val="000000"/>
          <w:lang w:eastAsia="de-DE"/>
        </w:rPr>
        <w:t xml:space="preserve"> to</w:t>
      </w:r>
      <w:r w:rsidR="006C6DE5">
        <w:rPr>
          <w:color w:val="000000"/>
          <w:lang w:eastAsia="de-DE"/>
        </w:rPr>
        <w:t>, inter alia, take appropriate steps to provide the authors with adequate compensation and prevent similar violations in the future.</w:t>
      </w:r>
      <w:r w:rsidR="00EA257A" w:rsidRPr="00EA257A">
        <w:t xml:space="preserve"> </w:t>
      </w:r>
      <w:r w:rsidR="00EA257A" w:rsidRPr="008216A5">
        <w:t xml:space="preserve">In this connection, the Committee reiterates that </w:t>
      </w:r>
      <w:r w:rsidR="00EA257A">
        <w:t xml:space="preserve">the </w:t>
      </w:r>
      <w:r w:rsidR="00EA257A" w:rsidRPr="008216A5">
        <w:t>State party should revi</w:t>
      </w:r>
      <w:r w:rsidR="00EA257A">
        <w:t>se</w:t>
      </w:r>
      <w:r w:rsidR="00EA257A" w:rsidRPr="008216A5">
        <w:t xml:space="preserve"> its legislation</w:t>
      </w:r>
      <w:r w:rsidR="00EA257A">
        <w:t xml:space="preserve"> </w:t>
      </w:r>
      <w:r w:rsidR="00482FE1">
        <w:t xml:space="preserve">to </w:t>
      </w:r>
      <w:r w:rsidR="009B1C93">
        <w:t>ensure that it is</w:t>
      </w:r>
      <w:r w:rsidR="00482FE1">
        <w:t xml:space="preserve"> </w:t>
      </w:r>
      <w:r w:rsidR="00EA257A">
        <w:t>consistent with its obligation</w:t>
      </w:r>
      <w:r w:rsidR="00D73EB4">
        <w:t>s</w:t>
      </w:r>
      <w:r w:rsidR="00EA257A">
        <w:t xml:space="preserve"> under article 2 (2)</w:t>
      </w:r>
      <w:r w:rsidR="00482FE1">
        <w:t xml:space="preserve"> of the Covenant</w:t>
      </w:r>
      <w:r w:rsidR="00EA257A" w:rsidRPr="008216A5">
        <w:t xml:space="preserve">, in particular, </w:t>
      </w:r>
      <w:r w:rsidR="00482FE1">
        <w:t>d</w:t>
      </w:r>
      <w:r w:rsidR="00EA257A">
        <w:t>ecision No. 881</w:t>
      </w:r>
      <w:r w:rsidR="00EA257A" w:rsidRPr="00AE2860">
        <w:t xml:space="preserve"> </w:t>
      </w:r>
      <w:r w:rsidR="00EA257A">
        <w:t xml:space="preserve">of the </w:t>
      </w:r>
      <w:r w:rsidR="00EA257A" w:rsidRPr="00CB4092">
        <w:t xml:space="preserve">Vitebsk </w:t>
      </w:r>
      <w:r w:rsidR="00EA257A">
        <w:t xml:space="preserve">Executive Committee and </w:t>
      </w:r>
      <w:r w:rsidR="00EA257A" w:rsidRPr="008216A5">
        <w:t xml:space="preserve">the </w:t>
      </w:r>
      <w:r w:rsidR="00482FE1">
        <w:t>Public E</w:t>
      </w:r>
      <w:r w:rsidR="00EA257A" w:rsidRPr="008216A5">
        <w:t>vents</w:t>
      </w:r>
      <w:r w:rsidR="00EA257A">
        <w:t xml:space="preserve"> </w:t>
      </w:r>
      <w:r w:rsidR="00482FE1">
        <w:t xml:space="preserve">Act </w:t>
      </w:r>
      <w:r w:rsidR="00EA257A">
        <w:t>of 30 December 1997</w:t>
      </w:r>
      <w:r w:rsidR="00EA257A" w:rsidRPr="008216A5">
        <w:t xml:space="preserve">, as </w:t>
      </w:r>
      <w:r w:rsidR="00482FE1">
        <w:t>they</w:t>
      </w:r>
      <w:r w:rsidR="00EA257A" w:rsidRPr="008216A5">
        <w:t xml:space="preserve"> ha</w:t>
      </w:r>
      <w:r w:rsidR="00482FE1">
        <w:t>ve</w:t>
      </w:r>
      <w:r w:rsidR="00EA257A" w:rsidRPr="008216A5">
        <w:t xml:space="preserve"> been applied in the present case, with a view to ensuring that the right</w:t>
      </w:r>
      <w:r w:rsidR="00EA257A">
        <w:t>s</w:t>
      </w:r>
      <w:r w:rsidR="00EA257A" w:rsidRPr="008216A5">
        <w:t xml:space="preserve"> under article</w:t>
      </w:r>
      <w:r w:rsidR="00EA257A">
        <w:t xml:space="preserve">s 19 and 21 </w:t>
      </w:r>
      <w:r w:rsidR="00EA257A" w:rsidRPr="008216A5">
        <w:t>of the Covenant may be fully enjoyed in the State party.</w:t>
      </w:r>
      <w:r w:rsidR="00EA257A" w:rsidRPr="008216A5">
        <w:rPr>
          <w:vertAlign w:val="superscript"/>
        </w:rPr>
        <w:footnoteReference w:id="9"/>
      </w:r>
    </w:p>
    <w:p w:rsidR="000128E3" w:rsidRDefault="00BB6B81" w:rsidP="00EE23E7">
      <w:pPr>
        <w:pStyle w:val="SingleTxtG"/>
        <w:keepLines/>
      </w:pPr>
      <w:r>
        <w:lastRenderedPageBreak/>
        <w:t>12</w:t>
      </w:r>
      <w:r w:rsidR="000128E3" w:rsidRPr="008216A5">
        <w:t>.</w:t>
      </w:r>
      <w:r w:rsidR="000128E3" w:rsidRPr="008216A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or subject to its jurisdiction the rights recogni</w:t>
      </w:r>
      <w:r w:rsidR="00C006A7">
        <w:t>z</w:t>
      </w:r>
      <w:r w:rsidR="000128E3" w:rsidRPr="008216A5">
        <w:t xml:space="preserve">ed in the Covenant and to provide an effective and enforceable remedy when it has been determined that a violation has occurred, the Committee wishes to receive from the State party, within 180 days, information about the measures taken to give </w:t>
      </w:r>
      <w:r w:rsidR="000128E3">
        <w:t xml:space="preserve">effect to the </w:t>
      </w:r>
      <w:r w:rsidR="00D73EB4">
        <w:t xml:space="preserve">present </w:t>
      </w:r>
      <w:r w:rsidR="000128E3" w:rsidRPr="008216A5">
        <w:t xml:space="preserve">Views. The State party is also requested to publish the present Views and </w:t>
      </w:r>
      <w:r w:rsidR="000128E3" w:rsidRPr="008216A5">
        <w:rPr>
          <w:lang w:val="en-US"/>
        </w:rPr>
        <w:t>to have them widely disseminated in Belarusian and Russian in the State party</w:t>
      </w:r>
      <w:r w:rsidR="009B1E1F">
        <w:t>.</w:t>
      </w:r>
    </w:p>
    <w:p w:rsidR="009B1E1F" w:rsidRPr="009B1E1F" w:rsidRDefault="009B1E1F" w:rsidP="009B1E1F">
      <w:pPr>
        <w:pStyle w:val="SingleTxtG"/>
        <w:spacing w:before="240" w:after="0"/>
        <w:jc w:val="center"/>
        <w:rPr>
          <w:u w:val="single"/>
        </w:rPr>
      </w:pPr>
      <w:r>
        <w:rPr>
          <w:u w:val="single"/>
        </w:rPr>
        <w:tab/>
      </w:r>
      <w:r>
        <w:rPr>
          <w:u w:val="single"/>
        </w:rPr>
        <w:tab/>
      </w:r>
      <w:r>
        <w:rPr>
          <w:u w:val="single"/>
        </w:rPr>
        <w:tab/>
      </w:r>
    </w:p>
    <w:sectPr w:rsidR="009B1E1F" w:rsidRPr="009B1E1F" w:rsidSect="00FB708B">
      <w:headerReference w:type="even" r:id="rId9"/>
      <w:headerReference w:type="default" r:id="rId10"/>
      <w:footerReference w:type="even" r:id="rId11"/>
      <w:footerReference w:type="default" r:id="rId12"/>
      <w:footerReference w:type="first" r:id="rId13"/>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00" w:rsidRDefault="00D95600"/>
  </w:endnote>
  <w:endnote w:type="continuationSeparator" w:id="0">
    <w:p w:rsidR="00D95600" w:rsidRDefault="00D95600"/>
  </w:endnote>
  <w:endnote w:type="continuationNotice" w:id="1">
    <w:p w:rsidR="00D95600" w:rsidRDefault="00D95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E0" w:rsidRPr="00781C83" w:rsidRDefault="00FA40E0"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200C45">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E0" w:rsidRPr="00EE23E7" w:rsidRDefault="00FA40E0" w:rsidP="00781C83">
    <w:pPr>
      <w:pStyle w:val="Footer"/>
      <w:tabs>
        <w:tab w:val="right" w:pos="9638"/>
      </w:tabs>
      <w:rPr>
        <w:b/>
        <w:bCs/>
        <w:sz w:val="18"/>
      </w:rPr>
    </w:pPr>
    <w:r>
      <w:rPr>
        <w:b/>
        <w:sz w:val="18"/>
      </w:rPr>
      <w:tab/>
    </w:r>
    <w:r w:rsidRPr="00EE23E7">
      <w:rPr>
        <w:b/>
        <w:bCs/>
        <w:sz w:val="18"/>
      </w:rPr>
      <w:fldChar w:fldCharType="begin"/>
    </w:r>
    <w:r w:rsidRPr="00EE23E7">
      <w:rPr>
        <w:b/>
        <w:bCs/>
        <w:sz w:val="18"/>
      </w:rPr>
      <w:instrText xml:space="preserve"> PAGE  \* MERGEFORMAT </w:instrText>
    </w:r>
    <w:r w:rsidRPr="00EE23E7">
      <w:rPr>
        <w:b/>
        <w:bCs/>
        <w:sz w:val="18"/>
      </w:rPr>
      <w:fldChar w:fldCharType="separate"/>
    </w:r>
    <w:r w:rsidR="00200C45">
      <w:rPr>
        <w:b/>
        <w:bCs/>
        <w:noProof/>
        <w:sz w:val="18"/>
      </w:rPr>
      <w:t>3</w:t>
    </w:r>
    <w:r w:rsidRPr="00EE23E7">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76" w:rsidRDefault="00F468A5" w:rsidP="00F468A5">
    <w:pPr>
      <w:pStyle w:val="Footer"/>
      <w:rPr>
        <w:rFonts w:ascii="C39T30Lfz" w:hAnsi="C39T30Lfz"/>
        <w:sz w:val="20"/>
      </w:rPr>
    </w:pPr>
    <w:r w:rsidRPr="00F468A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F468A5" w:rsidRPr="00F468A5" w:rsidRDefault="00F468A5" w:rsidP="00F468A5">
    <w:pPr>
      <w:pStyle w:val="Footer"/>
      <w:ind w:right="1134"/>
      <w:rPr>
        <w:rFonts w:asciiTheme="majorBidi" w:hAnsiTheme="majorBidi" w:cstheme="majorBidi"/>
        <w:sz w:val="20"/>
      </w:rPr>
    </w:pPr>
    <w:r w:rsidRPr="00F468A5">
      <w:rPr>
        <w:rFonts w:asciiTheme="majorBidi" w:hAnsiTheme="majorBidi" w:cstheme="majorBidi"/>
        <w:sz w:val="20"/>
      </w:rPr>
      <w:t>GE.16-16056</w:t>
    </w:r>
    <w:r w:rsidR="00BA7326">
      <w:rPr>
        <w:rFonts w:asciiTheme="majorBidi" w:hAnsiTheme="majorBidi" w:cstheme="majorBidi"/>
        <w:sz w:val="20"/>
      </w:rPr>
      <w:t xml:space="preserve"> </w:t>
    </w:r>
    <w:r w:rsidRPr="00F468A5">
      <w:rPr>
        <w:rFonts w:asciiTheme="majorBidi" w:hAnsiTheme="majorBidi" w:cstheme="majorBidi"/>
        <w:sz w:val="20"/>
      </w:rPr>
      <w:t>(E)</w:t>
    </w:r>
  </w:p>
  <w:p w:rsidR="00F468A5" w:rsidRPr="00F468A5" w:rsidRDefault="00F468A5" w:rsidP="00F468A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7/D/2093/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093/201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00" w:rsidRPr="000B175B" w:rsidRDefault="00D95600" w:rsidP="000B175B">
      <w:pPr>
        <w:tabs>
          <w:tab w:val="right" w:pos="2155"/>
        </w:tabs>
        <w:spacing w:after="80"/>
        <w:ind w:left="680"/>
        <w:rPr>
          <w:u w:val="single"/>
        </w:rPr>
      </w:pPr>
      <w:r>
        <w:rPr>
          <w:u w:val="single"/>
        </w:rPr>
        <w:tab/>
      </w:r>
    </w:p>
  </w:footnote>
  <w:footnote w:type="continuationSeparator" w:id="0">
    <w:p w:rsidR="00D95600" w:rsidRPr="00FC68B7" w:rsidRDefault="00D95600" w:rsidP="00FC68B7">
      <w:pPr>
        <w:tabs>
          <w:tab w:val="left" w:pos="2155"/>
        </w:tabs>
        <w:spacing w:after="80"/>
        <w:ind w:left="680"/>
        <w:rPr>
          <w:u w:val="single"/>
        </w:rPr>
      </w:pPr>
      <w:r>
        <w:rPr>
          <w:u w:val="single"/>
        </w:rPr>
        <w:tab/>
      </w:r>
    </w:p>
  </w:footnote>
  <w:footnote w:type="continuationNotice" w:id="1">
    <w:p w:rsidR="00D95600" w:rsidRDefault="00D95600"/>
  </w:footnote>
  <w:footnote w:id="2">
    <w:p w:rsidR="00550C28" w:rsidRPr="0059501B" w:rsidRDefault="00550C28" w:rsidP="00550C28">
      <w:pPr>
        <w:pStyle w:val="FootnoteText"/>
      </w:pPr>
      <w:r w:rsidRPr="00EE23E7">
        <w:rPr>
          <w:rStyle w:val="FootnoteReference"/>
          <w:sz w:val="20"/>
          <w:vertAlign w:val="baseline"/>
        </w:rPr>
        <w:tab/>
        <w:t>*</w:t>
      </w:r>
      <w:r w:rsidRPr="00EE23E7">
        <w:rPr>
          <w:rStyle w:val="FootnoteReference"/>
          <w:sz w:val="20"/>
          <w:vertAlign w:val="baseline"/>
        </w:rPr>
        <w:tab/>
      </w:r>
      <w:r>
        <w:t xml:space="preserve">Adopted by the Committee </w:t>
      </w:r>
      <w:r w:rsidRPr="009E4187">
        <w:t xml:space="preserve">at its </w:t>
      </w:r>
      <w:r w:rsidRPr="0059501B">
        <w:t>11</w:t>
      </w:r>
      <w:r w:rsidRPr="00C32180">
        <w:t>7</w:t>
      </w:r>
      <w:r w:rsidRPr="0059501B">
        <w:t>th</w:t>
      </w:r>
      <w:r w:rsidRPr="009E4187">
        <w:t xml:space="preserve"> session (</w:t>
      </w:r>
      <w:r>
        <w:t>20 June-</w:t>
      </w:r>
      <w:r w:rsidRPr="001147E8">
        <w:t>15 July 2016</w:t>
      </w:r>
      <w:r w:rsidRPr="009E4187">
        <w:t>).</w:t>
      </w:r>
    </w:p>
  </w:footnote>
  <w:footnote w:id="3">
    <w:p w:rsidR="00550C28" w:rsidRPr="00247404" w:rsidRDefault="00550C28" w:rsidP="001539B4">
      <w:pPr>
        <w:pStyle w:val="FootnoteText"/>
      </w:pPr>
      <w:r w:rsidRPr="00EE23E7">
        <w:rPr>
          <w:rStyle w:val="FootnoteReference"/>
          <w:sz w:val="20"/>
          <w:vertAlign w:val="baseline"/>
        </w:rPr>
        <w:tab/>
      </w:r>
      <w:r w:rsidRPr="00EE23E7">
        <w:rPr>
          <w:rStyle w:val="FootnoteReference"/>
          <w:bCs/>
          <w:sz w:val="20"/>
          <w:vertAlign w:val="baseline"/>
        </w:rPr>
        <w:t>**</w:t>
      </w:r>
      <w:r w:rsidRPr="00EE23E7">
        <w:tab/>
      </w:r>
      <w:bookmarkStart w:id="1" w:name="OLE_LINK1"/>
      <w:bookmarkStart w:id="2" w:name="OLE_LINK2"/>
      <w:r w:rsidRPr="007F7A13">
        <w:t xml:space="preserve">The following members of the Committee participated in the examination of the present communication: </w:t>
      </w:r>
      <w:bookmarkEnd w:id="1"/>
      <w:bookmarkEnd w:id="2"/>
      <w:r>
        <w:t>Yadh Ben Achour, Lazhari Bouzid, Sarah Cleveland</w:t>
      </w:r>
      <w:r w:rsidR="007D5DBB">
        <w:t xml:space="preserve">, </w:t>
      </w:r>
      <w:r>
        <w:t xml:space="preserve">Ahmed Amin Fathalla, </w:t>
      </w:r>
      <w:r w:rsidR="007D5DBB">
        <w:t>Olivier</w:t>
      </w:r>
      <w:r w:rsidR="00FB708B">
        <w:t> </w:t>
      </w:r>
      <w:r w:rsidR="007D5DBB">
        <w:t xml:space="preserve">de Frouville, </w:t>
      </w:r>
      <w:r>
        <w:t>Yuji Iwasawa, Ivana Jeli</w:t>
      </w:r>
      <w:r w:rsidR="00CD4D91">
        <w:t>ć</w:t>
      </w:r>
      <w:r>
        <w:t xml:space="preserve">, Photini Pazartzis, Mauro Politi, </w:t>
      </w:r>
      <w:r>
        <w:rPr>
          <w:bCs/>
        </w:rPr>
        <w:t>Sir</w:t>
      </w:r>
      <w:r>
        <w:t xml:space="preserve"> Nigel Rodley, V</w:t>
      </w:r>
      <w:r w:rsidR="007D5DBB">
        <w:t>í</w:t>
      </w:r>
      <w:r>
        <w:t>ctor Manuel Rodríguez-Rescia, Fabián Omar Salvioli, Yuval Shany and Margo Waterval</w:t>
      </w:r>
      <w:r w:rsidRPr="004256A1">
        <w:rPr>
          <w:bCs/>
        </w:rPr>
        <w:t>.</w:t>
      </w:r>
    </w:p>
  </w:footnote>
  <w:footnote w:id="4">
    <w:p w:rsidR="00A92565" w:rsidRDefault="00A92565">
      <w:pPr>
        <w:pStyle w:val="FootnoteText"/>
      </w:pPr>
      <w:r>
        <w:tab/>
      </w:r>
      <w:r>
        <w:rPr>
          <w:rStyle w:val="FootnoteReference"/>
        </w:rPr>
        <w:footnoteRef/>
      </w:r>
      <w:r w:rsidR="0049773A">
        <w:tab/>
      </w:r>
      <w:r>
        <w:t xml:space="preserve">Decision No. 881 </w:t>
      </w:r>
      <w:r w:rsidR="007D5DBB">
        <w:t xml:space="preserve">of </w:t>
      </w:r>
      <w:r w:rsidR="007D5DBB" w:rsidRPr="00E932D3">
        <w:t xml:space="preserve">Vitebsk Executive Committee </w:t>
      </w:r>
      <w:r>
        <w:t xml:space="preserve">is based on the </w:t>
      </w:r>
      <w:r w:rsidR="007D5DBB">
        <w:t>Belarus Public</w:t>
      </w:r>
      <w:r>
        <w:t xml:space="preserve"> </w:t>
      </w:r>
      <w:r w:rsidR="007D5DBB">
        <w:t>E</w:t>
      </w:r>
      <w:r>
        <w:t>vents</w:t>
      </w:r>
      <w:r w:rsidR="007D5DBB">
        <w:t xml:space="preserve"> Act</w:t>
      </w:r>
      <w:r>
        <w:t xml:space="preserve"> of 30</w:t>
      </w:r>
      <w:r w:rsidR="00D359CC">
        <w:t> </w:t>
      </w:r>
      <w:r>
        <w:t xml:space="preserve">December 1997. </w:t>
      </w:r>
    </w:p>
  </w:footnote>
  <w:footnote w:id="5">
    <w:p w:rsidR="00FA40E0" w:rsidRPr="00AB5D75" w:rsidRDefault="00FA40E0">
      <w:pPr>
        <w:pStyle w:val="FootnoteText"/>
        <w:rPr>
          <w:szCs w:val="18"/>
        </w:rPr>
      </w:pPr>
      <w:r w:rsidRPr="00AB5D75">
        <w:rPr>
          <w:szCs w:val="18"/>
        </w:rPr>
        <w:tab/>
      </w:r>
      <w:r w:rsidRPr="00AB5D75">
        <w:rPr>
          <w:rStyle w:val="FootnoteReference"/>
          <w:szCs w:val="18"/>
        </w:rPr>
        <w:footnoteRef/>
      </w:r>
      <w:r w:rsidRPr="00AB5D75">
        <w:rPr>
          <w:szCs w:val="18"/>
        </w:rPr>
        <w:tab/>
        <w:t xml:space="preserve">See, </w:t>
      </w:r>
      <w:r>
        <w:rPr>
          <w:szCs w:val="18"/>
        </w:rPr>
        <w:t>for example</w:t>
      </w:r>
      <w:r w:rsidRPr="00AB5D75">
        <w:rPr>
          <w:szCs w:val="18"/>
        </w:rPr>
        <w:t xml:space="preserve">, communications No. 1867/2009, </w:t>
      </w:r>
      <w:r w:rsidR="00813569">
        <w:rPr>
          <w:szCs w:val="18"/>
        </w:rPr>
        <w:t xml:space="preserve">No. </w:t>
      </w:r>
      <w:r w:rsidRPr="00AB5D75">
        <w:rPr>
          <w:szCs w:val="18"/>
        </w:rPr>
        <w:t xml:space="preserve">1936/2010, </w:t>
      </w:r>
      <w:r w:rsidR="00813569">
        <w:rPr>
          <w:szCs w:val="18"/>
        </w:rPr>
        <w:t xml:space="preserve">No. </w:t>
      </w:r>
      <w:r w:rsidRPr="00AB5D75">
        <w:rPr>
          <w:szCs w:val="18"/>
        </w:rPr>
        <w:t xml:space="preserve">1975/2010, </w:t>
      </w:r>
      <w:r w:rsidR="00813569">
        <w:rPr>
          <w:szCs w:val="18"/>
        </w:rPr>
        <w:t xml:space="preserve">Nos. </w:t>
      </w:r>
      <w:r w:rsidRPr="00AB5D75">
        <w:rPr>
          <w:szCs w:val="18"/>
        </w:rPr>
        <w:t>1977/2010</w:t>
      </w:r>
      <w:r>
        <w:rPr>
          <w:szCs w:val="18"/>
        </w:rPr>
        <w:t>-</w:t>
      </w:r>
      <w:r w:rsidRPr="00AB5D75">
        <w:rPr>
          <w:szCs w:val="18"/>
        </w:rPr>
        <w:t xml:space="preserve">1981/2010 and </w:t>
      </w:r>
      <w:r w:rsidR="00813569">
        <w:rPr>
          <w:szCs w:val="18"/>
        </w:rPr>
        <w:t xml:space="preserve">No. </w:t>
      </w:r>
      <w:r w:rsidRPr="00AB5D75">
        <w:rPr>
          <w:szCs w:val="18"/>
        </w:rPr>
        <w:t xml:space="preserve">2010/2010, </w:t>
      </w:r>
      <w:r w:rsidRPr="00AB5D75">
        <w:rPr>
          <w:i/>
          <w:szCs w:val="18"/>
        </w:rPr>
        <w:t>Levinov v. Belarus,</w:t>
      </w:r>
      <w:r w:rsidRPr="00AB5D75">
        <w:rPr>
          <w:szCs w:val="18"/>
        </w:rPr>
        <w:t xml:space="preserve"> Views adopted on</w:t>
      </w:r>
      <w:r w:rsidRPr="00AB5D75">
        <w:rPr>
          <w:b/>
          <w:szCs w:val="18"/>
        </w:rPr>
        <w:t xml:space="preserve"> </w:t>
      </w:r>
      <w:r w:rsidRPr="00AB5D75">
        <w:rPr>
          <w:szCs w:val="18"/>
        </w:rPr>
        <w:t>19</w:t>
      </w:r>
      <w:r>
        <w:rPr>
          <w:szCs w:val="18"/>
        </w:rPr>
        <w:t> July 2012, para. 8.2</w:t>
      </w:r>
      <w:r w:rsidR="001C053B">
        <w:rPr>
          <w:szCs w:val="18"/>
        </w:rPr>
        <w:t>;</w:t>
      </w:r>
      <w:r>
        <w:rPr>
          <w:szCs w:val="18"/>
        </w:rPr>
        <w:t xml:space="preserve"> and </w:t>
      </w:r>
      <w:r w:rsidRPr="00AB5D75">
        <w:rPr>
          <w:szCs w:val="18"/>
        </w:rPr>
        <w:t xml:space="preserve">No. </w:t>
      </w:r>
      <w:r>
        <w:rPr>
          <w:szCs w:val="18"/>
        </w:rPr>
        <w:t xml:space="preserve">2019/2010, </w:t>
      </w:r>
      <w:r>
        <w:rPr>
          <w:i/>
          <w:szCs w:val="18"/>
        </w:rPr>
        <w:t xml:space="preserve">Poplavny v. Belarus, </w:t>
      </w:r>
      <w:r w:rsidRPr="00AB5D75">
        <w:rPr>
          <w:szCs w:val="18"/>
        </w:rPr>
        <w:t xml:space="preserve">Views adopted on </w:t>
      </w:r>
      <w:r>
        <w:rPr>
          <w:szCs w:val="18"/>
        </w:rPr>
        <w:t>5 November</w:t>
      </w:r>
      <w:r w:rsidRPr="00AB5D75">
        <w:rPr>
          <w:szCs w:val="18"/>
        </w:rPr>
        <w:t xml:space="preserve"> 20</w:t>
      </w:r>
      <w:r>
        <w:rPr>
          <w:szCs w:val="18"/>
        </w:rPr>
        <w:t>15</w:t>
      </w:r>
      <w:r w:rsidRPr="00AB5D75">
        <w:rPr>
          <w:szCs w:val="18"/>
        </w:rPr>
        <w:t>, para.</w:t>
      </w:r>
      <w:r>
        <w:rPr>
          <w:szCs w:val="18"/>
        </w:rPr>
        <w:t xml:space="preserve"> 6</w:t>
      </w:r>
      <w:r w:rsidRPr="00AB5D75">
        <w:rPr>
          <w:szCs w:val="18"/>
        </w:rPr>
        <w:t>.</w:t>
      </w:r>
      <w:r>
        <w:rPr>
          <w:szCs w:val="18"/>
        </w:rPr>
        <w:t>2</w:t>
      </w:r>
      <w:r w:rsidRPr="00AB5D75">
        <w:rPr>
          <w:szCs w:val="18"/>
        </w:rPr>
        <w:t>.</w:t>
      </w:r>
    </w:p>
  </w:footnote>
  <w:footnote w:id="6">
    <w:p w:rsidR="00FA40E0" w:rsidRPr="00AB5D75" w:rsidRDefault="00FA40E0" w:rsidP="001C053B">
      <w:pPr>
        <w:pStyle w:val="FootnoteText"/>
        <w:rPr>
          <w:szCs w:val="18"/>
        </w:rPr>
      </w:pPr>
      <w:r w:rsidRPr="00AB5D75">
        <w:rPr>
          <w:szCs w:val="18"/>
        </w:rPr>
        <w:tab/>
      </w:r>
      <w:r w:rsidRPr="00FC20C0">
        <w:rPr>
          <w:rStyle w:val="FootnoteReference"/>
          <w:szCs w:val="18"/>
        </w:rPr>
        <w:footnoteRef/>
      </w:r>
      <w:r w:rsidRPr="00FC20C0">
        <w:rPr>
          <w:szCs w:val="18"/>
        </w:rPr>
        <w:tab/>
      </w:r>
      <w:r>
        <w:rPr>
          <w:szCs w:val="18"/>
        </w:rPr>
        <w:t>See c</w:t>
      </w:r>
      <w:r w:rsidRPr="00FC20C0">
        <w:rPr>
          <w:szCs w:val="18"/>
        </w:rPr>
        <w:t xml:space="preserve">ommunications No. 1873/2009, </w:t>
      </w:r>
      <w:r w:rsidRPr="00AB5D75">
        <w:rPr>
          <w:i/>
          <w:szCs w:val="18"/>
        </w:rPr>
        <w:t>Alekseev v. Russian Federation</w:t>
      </w:r>
      <w:r w:rsidRPr="00AB5D75">
        <w:rPr>
          <w:szCs w:val="18"/>
        </w:rPr>
        <w:t>, Views adopted on 25 October 2013, para 8.4</w:t>
      </w:r>
      <w:r w:rsidR="001C053B">
        <w:rPr>
          <w:szCs w:val="18"/>
        </w:rPr>
        <w:t>;</w:t>
      </w:r>
      <w:r w:rsidRPr="00AB5D75">
        <w:rPr>
          <w:szCs w:val="18"/>
        </w:rPr>
        <w:t xml:space="preserve"> and No. 1929/2010, </w:t>
      </w:r>
      <w:r w:rsidRPr="00AB5D75">
        <w:rPr>
          <w:i/>
          <w:szCs w:val="18"/>
        </w:rPr>
        <w:t>Lozenko</w:t>
      </w:r>
      <w:r w:rsidRPr="00AB5D75">
        <w:rPr>
          <w:szCs w:val="18"/>
        </w:rPr>
        <w:t xml:space="preserve"> </w:t>
      </w:r>
      <w:r w:rsidRPr="00AB5D75">
        <w:rPr>
          <w:i/>
          <w:szCs w:val="18"/>
        </w:rPr>
        <w:t xml:space="preserve">v. Belarus, </w:t>
      </w:r>
      <w:r w:rsidRPr="00AB5D75">
        <w:rPr>
          <w:szCs w:val="18"/>
        </w:rPr>
        <w:t>Views adopted on 24 October 2014, para.</w:t>
      </w:r>
      <w:r>
        <w:rPr>
          <w:szCs w:val="18"/>
        </w:rPr>
        <w:t> </w:t>
      </w:r>
      <w:r w:rsidRPr="00AB5D75">
        <w:rPr>
          <w:szCs w:val="18"/>
        </w:rPr>
        <w:t xml:space="preserve">6.3. </w:t>
      </w:r>
    </w:p>
  </w:footnote>
  <w:footnote w:id="7">
    <w:p w:rsidR="007A219F" w:rsidRDefault="007A219F" w:rsidP="00EE23E7">
      <w:pPr>
        <w:pStyle w:val="FootnoteText"/>
      </w:pPr>
      <w:r>
        <w:tab/>
      </w:r>
      <w:r>
        <w:rPr>
          <w:rStyle w:val="FootnoteReference"/>
        </w:rPr>
        <w:footnoteRef/>
      </w:r>
      <w:r>
        <w:tab/>
      </w:r>
      <w:r w:rsidR="00D73EB4">
        <w:t>See general comment No. 34 (2011)</w:t>
      </w:r>
      <w:r>
        <w:t xml:space="preserve">, para. 22. </w:t>
      </w:r>
    </w:p>
  </w:footnote>
  <w:footnote w:id="8">
    <w:p w:rsidR="00227AB1" w:rsidRDefault="00227AB1" w:rsidP="00EE23E7">
      <w:pPr>
        <w:pStyle w:val="FootnoteText"/>
      </w:pPr>
      <w:r>
        <w:tab/>
      </w:r>
      <w:r>
        <w:rPr>
          <w:rStyle w:val="FootnoteReference"/>
        </w:rPr>
        <w:footnoteRef/>
      </w:r>
      <w:r>
        <w:tab/>
        <w:t xml:space="preserve">See, for example, </w:t>
      </w:r>
      <w:r w:rsidR="00C46639">
        <w:t xml:space="preserve">communications No. 1830/2008, </w:t>
      </w:r>
      <w:r w:rsidR="00C46639">
        <w:rPr>
          <w:i/>
          <w:iCs/>
        </w:rPr>
        <w:t xml:space="preserve">Pivonos v. Belarus, </w:t>
      </w:r>
      <w:r w:rsidR="00C46639">
        <w:t xml:space="preserve">Views adopted on 29 October 2012, para. 9.3; No. 1785/2008, </w:t>
      </w:r>
      <w:r w:rsidR="00C46639">
        <w:rPr>
          <w:i/>
          <w:iCs/>
        </w:rPr>
        <w:t xml:space="preserve">Olechkevitch v. Belarus, </w:t>
      </w:r>
      <w:r w:rsidR="00C46639">
        <w:t xml:space="preserve">Views adopted on 18 March 2013, para. 8.5; and </w:t>
      </w:r>
      <w:r>
        <w:t xml:space="preserve">No. 2092/2011, </w:t>
      </w:r>
      <w:r>
        <w:rPr>
          <w:i/>
        </w:rPr>
        <w:t>Androsenko v. Belarus,</w:t>
      </w:r>
      <w:r>
        <w:t xml:space="preserve"> Views adopted on 30 March 2016, para.7.3.</w:t>
      </w:r>
    </w:p>
  </w:footnote>
  <w:footnote w:id="9">
    <w:p w:rsidR="00EA257A" w:rsidRDefault="00EA257A" w:rsidP="00EE23E7">
      <w:pPr>
        <w:pStyle w:val="FootnoteText"/>
      </w:pPr>
      <w:r>
        <w:tab/>
      </w:r>
      <w:r>
        <w:rPr>
          <w:rStyle w:val="FootnoteReference"/>
        </w:rPr>
        <w:footnoteRef/>
      </w:r>
      <w:r>
        <w:tab/>
        <w:t>See</w:t>
      </w:r>
      <w:r w:rsidRPr="00624677">
        <w:t xml:space="preserve"> </w:t>
      </w:r>
      <w:r>
        <w:t xml:space="preserve">communications No. 1851/2008, </w:t>
      </w:r>
      <w:r w:rsidRPr="00027A45">
        <w:rPr>
          <w:i/>
        </w:rPr>
        <w:t>Sekerko v. Belarus</w:t>
      </w:r>
      <w:r>
        <w:t>, Views adopted on 28</w:t>
      </w:r>
      <w:r w:rsidRPr="008216A5">
        <w:t xml:space="preserve"> October 2013</w:t>
      </w:r>
      <w:r>
        <w:t>, para.</w:t>
      </w:r>
      <w:r w:rsidR="00D359CC">
        <w:t> </w:t>
      </w:r>
      <w:r>
        <w:t xml:space="preserve">11; No. 1948/2010, </w:t>
      </w:r>
      <w:r w:rsidRPr="009D04AC">
        <w:rPr>
          <w:i/>
        </w:rPr>
        <w:t xml:space="preserve">Turchenyak </w:t>
      </w:r>
      <w:r w:rsidR="009B1C93">
        <w:rPr>
          <w:i/>
        </w:rPr>
        <w:t xml:space="preserve">et al. </w:t>
      </w:r>
      <w:r w:rsidRPr="00EE23E7">
        <w:rPr>
          <w:i/>
          <w:iCs/>
        </w:rPr>
        <w:t>v.</w:t>
      </w:r>
      <w:r w:rsidRPr="009D04AC">
        <w:rPr>
          <w:i/>
        </w:rPr>
        <w:t xml:space="preserve"> Belarus</w:t>
      </w:r>
      <w:r w:rsidRPr="00EE23E7">
        <w:rPr>
          <w:iCs/>
        </w:rPr>
        <w:t>,</w:t>
      </w:r>
      <w:r w:rsidR="009B1C93">
        <w:rPr>
          <w:iCs/>
        </w:rPr>
        <w:t xml:space="preserve"> Views adopted on 24 July 2013,</w:t>
      </w:r>
      <w:r>
        <w:t xml:space="preserve"> para. 9; No. 1790/2008, </w:t>
      </w:r>
      <w:r w:rsidRPr="00624677">
        <w:rPr>
          <w:i/>
        </w:rPr>
        <w:t xml:space="preserve">Govsha, Syritsa and Mezyak </w:t>
      </w:r>
      <w:r w:rsidRPr="00EE23E7">
        <w:rPr>
          <w:i/>
          <w:iCs/>
        </w:rPr>
        <w:t>v.</w:t>
      </w:r>
      <w:r w:rsidRPr="00C15217">
        <w:t xml:space="preserve"> </w:t>
      </w:r>
      <w:r w:rsidRPr="00624677">
        <w:rPr>
          <w:i/>
        </w:rPr>
        <w:t>Belarus,</w:t>
      </w:r>
      <w:r>
        <w:t xml:space="preserve"> Views adopted on 27 July 2012, para. 11;</w:t>
      </w:r>
      <w:r w:rsidR="009B1C93">
        <w:t xml:space="preserve"> also,</w:t>
      </w:r>
      <w:r>
        <w:t xml:space="preserve"> </w:t>
      </w:r>
      <w:r w:rsidRPr="00EE23E7">
        <w:rPr>
          <w:iCs/>
        </w:rPr>
        <w:t>mutatis mutandis</w:t>
      </w:r>
      <w:r>
        <w:rPr>
          <w:i/>
        </w:rPr>
        <w:t xml:space="preserve">, </w:t>
      </w:r>
      <w:r>
        <w:t>communication</w:t>
      </w:r>
      <w:r w:rsidR="009B1C93">
        <w:t>s</w:t>
      </w:r>
      <w:r>
        <w:t xml:space="preserve"> No. 1992/2010</w:t>
      </w:r>
      <w:r w:rsidRPr="00D4394C">
        <w:rPr>
          <w:i/>
        </w:rPr>
        <w:t>, Sudalenko v. Belarus</w:t>
      </w:r>
      <w:r>
        <w:t>, Views adopted on 27</w:t>
      </w:r>
      <w:r w:rsidR="00D359CC">
        <w:t> </w:t>
      </w:r>
      <w:r>
        <w:t>March 2015, para. 10</w:t>
      </w:r>
      <w:r w:rsidR="009B1C93">
        <w:t>; and</w:t>
      </w:r>
      <w:r>
        <w:t xml:space="preserve"> </w:t>
      </w:r>
      <w:r w:rsidRPr="00981EAB">
        <w:rPr>
          <w:i/>
        </w:rPr>
        <w:t>Poplavny v. Belarus</w:t>
      </w:r>
      <w:r>
        <w:t>, para.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E0" w:rsidRPr="00781C83" w:rsidRDefault="00FA40E0" w:rsidP="00EE23E7">
    <w:pPr>
      <w:pStyle w:val="Header"/>
    </w:pPr>
    <w:r>
      <w:t>CCPR/</w:t>
    </w:r>
    <w:r w:rsidR="00E559DD">
      <w:t>C</w:t>
    </w:r>
    <w:r>
      <w:t>/117/D/2093/2011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E0" w:rsidRPr="00781C83" w:rsidRDefault="00FA40E0" w:rsidP="00EE23E7">
    <w:pPr>
      <w:pStyle w:val="Header"/>
      <w:jc w:val="right"/>
    </w:pPr>
    <w:r>
      <w:t>CCPR/</w:t>
    </w:r>
    <w:r w:rsidR="00E559DD">
      <w:t>C</w:t>
    </w:r>
    <w:r>
      <w:t>/117/D/2093/2011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B5B73"/>
    <w:multiLevelType w:val="multilevel"/>
    <w:tmpl w:val="06E0FFD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 w15:restartNumberingAfterBreak="0">
    <w:nsid w:val="62116750"/>
    <w:multiLevelType w:val="hybridMultilevel"/>
    <w:tmpl w:val="54828B94"/>
    <w:lvl w:ilvl="0" w:tplc="160AFEEC">
      <w:start w:val="1"/>
      <w:numFmt w:val="decimal"/>
      <w:lvlText w:val="%1."/>
      <w:lvlJc w:val="left"/>
      <w:pPr>
        <w:ind w:left="1710" w:hanging="576"/>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15:restartNumberingAfterBreak="0">
    <w:nsid w:val="649579C7"/>
    <w:multiLevelType w:val="hybridMultilevel"/>
    <w:tmpl w:val="C21650E2"/>
    <w:lvl w:ilvl="0" w:tplc="05D4030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773"/>
    <w:rsid w:val="000044E2"/>
    <w:rsid w:val="000128E3"/>
    <w:rsid w:val="000135C3"/>
    <w:rsid w:val="00014DEE"/>
    <w:rsid w:val="000227DC"/>
    <w:rsid w:val="00024133"/>
    <w:rsid w:val="00025269"/>
    <w:rsid w:val="00025370"/>
    <w:rsid w:val="00025418"/>
    <w:rsid w:val="00025D41"/>
    <w:rsid w:val="00026B06"/>
    <w:rsid w:val="000272B3"/>
    <w:rsid w:val="00027A45"/>
    <w:rsid w:val="00031D46"/>
    <w:rsid w:val="00032A3A"/>
    <w:rsid w:val="0003387B"/>
    <w:rsid w:val="00035F0E"/>
    <w:rsid w:val="00037807"/>
    <w:rsid w:val="00037AD0"/>
    <w:rsid w:val="0004092D"/>
    <w:rsid w:val="00041994"/>
    <w:rsid w:val="00044EE9"/>
    <w:rsid w:val="00050F6B"/>
    <w:rsid w:val="00053842"/>
    <w:rsid w:val="0005782B"/>
    <w:rsid w:val="00057E97"/>
    <w:rsid w:val="00057F1A"/>
    <w:rsid w:val="00060074"/>
    <w:rsid w:val="00060C3A"/>
    <w:rsid w:val="00066476"/>
    <w:rsid w:val="00067250"/>
    <w:rsid w:val="00072C8C"/>
    <w:rsid w:val="000733B5"/>
    <w:rsid w:val="0007628F"/>
    <w:rsid w:val="00081815"/>
    <w:rsid w:val="0008278D"/>
    <w:rsid w:val="0008317C"/>
    <w:rsid w:val="000908FA"/>
    <w:rsid w:val="000931C0"/>
    <w:rsid w:val="00096C67"/>
    <w:rsid w:val="000970C1"/>
    <w:rsid w:val="000A2283"/>
    <w:rsid w:val="000A34F4"/>
    <w:rsid w:val="000A442E"/>
    <w:rsid w:val="000A50A8"/>
    <w:rsid w:val="000A6B47"/>
    <w:rsid w:val="000A7D92"/>
    <w:rsid w:val="000B0947"/>
    <w:rsid w:val="000B175B"/>
    <w:rsid w:val="000B1788"/>
    <w:rsid w:val="000B3A0F"/>
    <w:rsid w:val="000B4EF7"/>
    <w:rsid w:val="000B5FAB"/>
    <w:rsid w:val="000B6CA3"/>
    <w:rsid w:val="000C2C03"/>
    <w:rsid w:val="000C2D2E"/>
    <w:rsid w:val="000C2E06"/>
    <w:rsid w:val="000C6F58"/>
    <w:rsid w:val="000C71A2"/>
    <w:rsid w:val="000D0A22"/>
    <w:rsid w:val="000E0415"/>
    <w:rsid w:val="000E10B6"/>
    <w:rsid w:val="000E2BE1"/>
    <w:rsid w:val="000E42FA"/>
    <w:rsid w:val="000E567F"/>
    <w:rsid w:val="000E7797"/>
    <w:rsid w:val="000F03D7"/>
    <w:rsid w:val="000F1BE3"/>
    <w:rsid w:val="000F23F7"/>
    <w:rsid w:val="000F4A0B"/>
    <w:rsid w:val="000F4E65"/>
    <w:rsid w:val="000F570E"/>
    <w:rsid w:val="000F76E4"/>
    <w:rsid w:val="000F7E69"/>
    <w:rsid w:val="00101383"/>
    <w:rsid w:val="00102AC0"/>
    <w:rsid w:val="001037D9"/>
    <w:rsid w:val="001103AA"/>
    <w:rsid w:val="0011184E"/>
    <w:rsid w:val="00114CDC"/>
    <w:rsid w:val="00115DDE"/>
    <w:rsid w:val="00123048"/>
    <w:rsid w:val="00124014"/>
    <w:rsid w:val="001306DD"/>
    <w:rsid w:val="0013235B"/>
    <w:rsid w:val="00133611"/>
    <w:rsid w:val="00142286"/>
    <w:rsid w:val="00151CCD"/>
    <w:rsid w:val="001539B4"/>
    <w:rsid w:val="00156376"/>
    <w:rsid w:val="00161364"/>
    <w:rsid w:val="00161B02"/>
    <w:rsid w:val="001649C8"/>
    <w:rsid w:val="00165F3A"/>
    <w:rsid w:val="00171921"/>
    <w:rsid w:val="0017277A"/>
    <w:rsid w:val="00172B2B"/>
    <w:rsid w:val="0017551B"/>
    <w:rsid w:val="0017676A"/>
    <w:rsid w:val="00176FE1"/>
    <w:rsid w:val="00182A46"/>
    <w:rsid w:val="00183968"/>
    <w:rsid w:val="00183F6B"/>
    <w:rsid w:val="00187309"/>
    <w:rsid w:val="0019468C"/>
    <w:rsid w:val="00196CDF"/>
    <w:rsid w:val="001975D8"/>
    <w:rsid w:val="001A079F"/>
    <w:rsid w:val="001A09DE"/>
    <w:rsid w:val="001A2E0B"/>
    <w:rsid w:val="001A44F4"/>
    <w:rsid w:val="001A660B"/>
    <w:rsid w:val="001A6686"/>
    <w:rsid w:val="001A723C"/>
    <w:rsid w:val="001B263C"/>
    <w:rsid w:val="001B4041"/>
    <w:rsid w:val="001B4B04"/>
    <w:rsid w:val="001B734D"/>
    <w:rsid w:val="001C053B"/>
    <w:rsid w:val="001C276E"/>
    <w:rsid w:val="001C326D"/>
    <w:rsid w:val="001C538B"/>
    <w:rsid w:val="001C6016"/>
    <w:rsid w:val="001C657F"/>
    <w:rsid w:val="001C6663"/>
    <w:rsid w:val="001C7895"/>
    <w:rsid w:val="001D0C8C"/>
    <w:rsid w:val="001D26DF"/>
    <w:rsid w:val="001D2754"/>
    <w:rsid w:val="001D2861"/>
    <w:rsid w:val="001D384D"/>
    <w:rsid w:val="001D3A03"/>
    <w:rsid w:val="001D5C81"/>
    <w:rsid w:val="001E0917"/>
    <w:rsid w:val="001E10EC"/>
    <w:rsid w:val="001E357C"/>
    <w:rsid w:val="001E48A9"/>
    <w:rsid w:val="001E68DA"/>
    <w:rsid w:val="00200C45"/>
    <w:rsid w:val="002012C3"/>
    <w:rsid w:val="00202DA8"/>
    <w:rsid w:val="00210AE2"/>
    <w:rsid w:val="00210CE0"/>
    <w:rsid w:val="002117EE"/>
    <w:rsid w:val="00211E0B"/>
    <w:rsid w:val="0021393A"/>
    <w:rsid w:val="00214B06"/>
    <w:rsid w:val="00214E81"/>
    <w:rsid w:val="00215105"/>
    <w:rsid w:val="00217DDD"/>
    <w:rsid w:val="00222DFC"/>
    <w:rsid w:val="0022501D"/>
    <w:rsid w:val="00226F53"/>
    <w:rsid w:val="00227AB1"/>
    <w:rsid w:val="002310A9"/>
    <w:rsid w:val="002313C7"/>
    <w:rsid w:val="00231C9F"/>
    <w:rsid w:val="0023210C"/>
    <w:rsid w:val="0023235B"/>
    <w:rsid w:val="00232832"/>
    <w:rsid w:val="00235CA4"/>
    <w:rsid w:val="002360B8"/>
    <w:rsid w:val="00236D66"/>
    <w:rsid w:val="00244A62"/>
    <w:rsid w:val="00244EDE"/>
    <w:rsid w:val="002450F8"/>
    <w:rsid w:val="00252170"/>
    <w:rsid w:val="00253E54"/>
    <w:rsid w:val="002569AF"/>
    <w:rsid w:val="002632E7"/>
    <w:rsid w:val="00267F5F"/>
    <w:rsid w:val="0027131E"/>
    <w:rsid w:val="002743EE"/>
    <w:rsid w:val="002744F0"/>
    <w:rsid w:val="0027570D"/>
    <w:rsid w:val="002767FA"/>
    <w:rsid w:val="002824C8"/>
    <w:rsid w:val="00286B4D"/>
    <w:rsid w:val="00290F51"/>
    <w:rsid w:val="002915E7"/>
    <w:rsid w:val="002974A6"/>
    <w:rsid w:val="002A03BE"/>
    <w:rsid w:val="002A239B"/>
    <w:rsid w:val="002A5E37"/>
    <w:rsid w:val="002B227D"/>
    <w:rsid w:val="002B3574"/>
    <w:rsid w:val="002B3F1E"/>
    <w:rsid w:val="002B4AC8"/>
    <w:rsid w:val="002B6CF2"/>
    <w:rsid w:val="002B7745"/>
    <w:rsid w:val="002B7D78"/>
    <w:rsid w:val="002C032D"/>
    <w:rsid w:val="002C3C84"/>
    <w:rsid w:val="002C4B41"/>
    <w:rsid w:val="002C4E74"/>
    <w:rsid w:val="002C5BCD"/>
    <w:rsid w:val="002D3AF5"/>
    <w:rsid w:val="002D46DB"/>
    <w:rsid w:val="002D5ECE"/>
    <w:rsid w:val="002D7534"/>
    <w:rsid w:val="002E4AD6"/>
    <w:rsid w:val="002F039C"/>
    <w:rsid w:val="002F14CA"/>
    <w:rsid w:val="002F175C"/>
    <w:rsid w:val="002F4E01"/>
    <w:rsid w:val="002F709A"/>
    <w:rsid w:val="002F772E"/>
    <w:rsid w:val="002F781E"/>
    <w:rsid w:val="00300FEE"/>
    <w:rsid w:val="00301072"/>
    <w:rsid w:val="0030138D"/>
    <w:rsid w:val="00301BD4"/>
    <w:rsid w:val="00306124"/>
    <w:rsid w:val="00307789"/>
    <w:rsid w:val="00310F2C"/>
    <w:rsid w:val="00314A97"/>
    <w:rsid w:val="0031790F"/>
    <w:rsid w:val="00320E07"/>
    <w:rsid w:val="003220F0"/>
    <w:rsid w:val="003229D8"/>
    <w:rsid w:val="0032348D"/>
    <w:rsid w:val="00326293"/>
    <w:rsid w:val="00327502"/>
    <w:rsid w:val="00331781"/>
    <w:rsid w:val="00332D5C"/>
    <w:rsid w:val="00335983"/>
    <w:rsid w:val="00335D6C"/>
    <w:rsid w:val="0033667F"/>
    <w:rsid w:val="00336FB0"/>
    <w:rsid w:val="00342D6C"/>
    <w:rsid w:val="003464C6"/>
    <w:rsid w:val="00352709"/>
    <w:rsid w:val="00352D2B"/>
    <w:rsid w:val="00354AA8"/>
    <w:rsid w:val="003550FD"/>
    <w:rsid w:val="00355BD5"/>
    <w:rsid w:val="0036213E"/>
    <w:rsid w:val="00362869"/>
    <w:rsid w:val="003652A0"/>
    <w:rsid w:val="003661AB"/>
    <w:rsid w:val="0036645D"/>
    <w:rsid w:val="00367567"/>
    <w:rsid w:val="00370364"/>
    <w:rsid w:val="003705C9"/>
    <w:rsid w:val="00371178"/>
    <w:rsid w:val="003719B4"/>
    <w:rsid w:val="0037204F"/>
    <w:rsid w:val="003720C1"/>
    <w:rsid w:val="003730DD"/>
    <w:rsid w:val="00374609"/>
    <w:rsid w:val="0038336C"/>
    <w:rsid w:val="00383F4C"/>
    <w:rsid w:val="00386A7B"/>
    <w:rsid w:val="00386EF5"/>
    <w:rsid w:val="003871ED"/>
    <w:rsid w:val="00392A35"/>
    <w:rsid w:val="00394A4C"/>
    <w:rsid w:val="00395395"/>
    <w:rsid w:val="003973D0"/>
    <w:rsid w:val="003A0984"/>
    <w:rsid w:val="003A1602"/>
    <w:rsid w:val="003A22FB"/>
    <w:rsid w:val="003A250E"/>
    <w:rsid w:val="003A3C43"/>
    <w:rsid w:val="003A6810"/>
    <w:rsid w:val="003A6BB4"/>
    <w:rsid w:val="003B483A"/>
    <w:rsid w:val="003B4890"/>
    <w:rsid w:val="003B59D4"/>
    <w:rsid w:val="003B6175"/>
    <w:rsid w:val="003C02AB"/>
    <w:rsid w:val="003C2CC4"/>
    <w:rsid w:val="003D0290"/>
    <w:rsid w:val="003D3CF9"/>
    <w:rsid w:val="003D4143"/>
    <w:rsid w:val="003D4794"/>
    <w:rsid w:val="003D4B23"/>
    <w:rsid w:val="003E1596"/>
    <w:rsid w:val="003E1C43"/>
    <w:rsid w:val="003E219E"/>
    <w:rsid w:val="003E3CF4"/>
    <w:rsid w:val="003E5629"/>
    <w:rsid w:val="003E64CC"/>
    <w:rsid w:val="003E68CB"/>
    <w:rsid w:val="003E6D09"/>
    <w:rsid w:val="003E6F7E"/>
    <w:rsid w:val="003E723E"/>
    <w:rsid w:val="003F66D7"/>
    <w:rsid w:val="00400ACF"/>
    <w:rsid w:val="00401BF0"/>
    <w:rsid w:val="00402458"/>
    <w:rsid w:val="00403387"/>
    <w:rsid w:val="0040413A"/>
    <w:rsid w:val="004050B9"/>
    <w:rsid w:val="00405473"/>
    <w:rsid w:val="00410C89"/>
    <w:rsid w:val="00412A50"/>
    <w:rsid w:val="004147D4"/>
    <w:rsid w:val="00414931"/>
    <w:rsid w:val="00414B35"/>
    <w:rsid w:val="00423775"/>
    <w:rsid w:val="00424479"/>
    <w:rsid w:val="00424AD8"/>
    <w:rsid w:val="00426B9B"/>
    <w:rsid w:val="00431FE1"/>
    <w:rsid w:val="004325CB"/>
    <w:rsid w:val="004331A3"/>
    <w:rsid w:val="004346B9"/>
    <w:rsid w:val="0043559E"/>
    <w:rsid w:val="00435D83"/>
    <w:rsid w:val="00436142"/>
    <w:rsid w:val="00436B33"/>
    <w:rsid w:val="00437846"/>
    <w:rsid w:val="00442A83"/>
    <w:rsid w:val="00446B75"/>
    <w:rsid w:val="00450A3B"/>
    <w:rsid w:val="004514F6"/>
    <w:rsid w:val="0045495B"/>
    <w:rsid w:val="00456152"/>
    <w:rsid w:val="0045741F"/>
    <w:rsid w:val="00457E0B"/>
    <w:rsid w:val="00463F66"/>
    <w:rsid w:val="00466844"/>
    <w:rsid w:val="00466B4C"/>
    <w:rsid w:val="00467903"/>
    <w:rsid w:val="0047261F"/>
    <w:rsid w:val="004734D9"/>
    <w:rsid w:val="00473963"/>
    <w:rsid w:val="004821F5"/>
    <w:rsid w:val="00482FE1"/>
    <w:rsid w:val="004838A6"/>
    <w:rsid w:val="00483D1D"/>
    <w:rsid w:val="00483EF4"/>
    <w:rsid w:val="00484B45"/>
    <w:rsid w:val="0048637B"/>
    <w:rsid w:val="00487256"/>
    <w:rsid w:val="00487488"/>
    <w:rsid w:val="0049219B"/>
    <w:rsid w:val="00493CC2"/>
    <w:rsid w:val="004976F2"/>
    <w:rsid w:val="0049773A"/>
    <w:rsid w:val="004A28A7"/>
    <w:rsid w:val="004B3D5D"/>
    <w:rsid w:val="004C0946"/>
    <w:rsid w:val="004C2A01"/>
    <w:rsid w:val="004C4A2B"/>
    <w:rsid w:val="004D1CEB"/>
    <w:rsid w:val="004D4AAD"/>
    <w:rsid w:val="004D5BEC"/>
    <w:rsid w:val="004D71B4"/>
    <w:rsid w:val="004E4E98"/>
    <w:rsid w:val="004E64A6"/>
    <w:rsid w:val="004F5078"/>
    <w:rsid w:val="0050121C"/>
    <w:rsid w:val="00501572"/>
    <w:rsid w:val="005058FF"/>
    <w:rsid w:val="00512945"/>
    <w:rsid w:val="00512D8B"/>
    <w:rsid w:val="00514916"/>
    <w:rsid w:val="00514BFF"/>
    <w:rsid w:val="00516701"/>
    <w:rsid w:val="00516A5D"/>
    <w:rsid w:val="0052136D"/>
    <w:rsid w:val="00524C98"/>
    <w:rsid w:val="00525395"/>
    <w:rsid w:val="0052775E"/>
    <w:rsid w:val="00527B53"/>
    <w:rsid w:val="00533CAC"/>
    <w:rsid w:val="00533EFD"/>
    <w:rsid w:val="00535BE9"/>
    <w:rsid w:val="005409DC"/>
    <w:rsid w:val="005420F2"/>
    <w:rsid w:val="00542BC7"/>
    <w:rsid w:val="005453FD"/>
    <w:rsid w:val="005479E7"/>
    <w:rsid w:val="00547A47"/>
    <w:rsid w:val="00550BDA"/>
    <w:rsid w:val="00550C28"/>
    <w:rsid w:val="00550D3B"/>
    <w:rsid w:val="005519D0"/>
    <w:rsid w:val="00552689"/>
    <w:rsid w:val="00553373"/>
    <w:rsid w:val="005545F1"/>
    <w:rsid w:val="005618F9"/>
    <w:rsid w:val="005628B6"/>
    <w:rsid w:val="00562B61"/>
    <w:rsid w:val="00562F4D"/>
    <w:rsid w:val="00564714"/>
    <w:rsid w:val="0056624F"/>
    <w:rsid w:val="005704D1"/>
    <w:rsid w:val="00571BB4"/>
    <w:rsid w:val="00571CA9"/>
    <w:rsid w:val="005722B3"/>
    <w:rsid w:val="0057414A"/>
    <w:rsid w:val="0057494C"/>
    <w:rsid w:val="00574EB0"/>
    <w:rsid w:val="005848B3"/>
    <w:rsid w:val="005853D7"/>
    <w:rsid w:val="00586059"/>
    <w:rsid w:val="00586ABA"/>
    <w:rsid w:val="0058726B"/>
    <w:rsid w:val="00590F87"/>
    <w:rsid w:val="005928DF"/>
    <w:rsid w:val="00592C4A"/>
    <w:rsid w:val="00592C4B"/>
    <w:rsid w:val="00592D66"/>
    <w:rsid w:val="00594628"/>
    <w:rsid w:val="00594CF0"/>
    <w:rsid w:val="005962BC"/>
    <w:rsid w:val="00596EFC"/>
    <w:rsid w:val="00597E6E"/>
    <w:rsid w:val="005A0415"/>
    <w:rsid w:val="005A084E"/>
    <w:rsid w:val="005A0C1C"/>
    <w:rsid w:val="005A1B1D"/>
    <w:rsid w:val="005A3B8B"/>
    <w:rsid w:val="005A533E"/>
    <w:rsid w:val="005A7430"/>
    <w:rsid w:val="005B180A"/>
    <w:rsid w:val="005B31F6"/>
    <w:rsid w:val="005B3DB3"/>
    <w:rsid w:val="005B5F27"/>
    <w:rsid w:val="005B6292"/>
    <w:rsid w:val="005C1CC7"/>
    <w:rsid w:val="005C5760"/>
    <w:rsid w:val="005C674E"/>
    <w:rsid w:val="005C6D98"/>
    <w:rsid w:val="005D0E65"/>
    <w:rsid w:val="005D30B8"/>
    <w:rsid w:val="005D4877"/>
    <w:rsid w:val="005D542D"/>
    <w:rsid w:val="005D5721"/>
    <w:rsid w:val="005D5AF5"/>
    <w:rsid w:val="005D5FE7"/>
    <w:rsid w:val="005E06C2"/>
    <w:rsid w:val="005E0F41"/>
    <w:rsid w:val="005E2D2C"/>
    <w:rsid w:val="005E3F67"/>
    <w:rsid w:val="005E40FD"/>
    <w:rsid w:val="005E5034"/>
    <w:rsid w:val="005E783D"/>
    <w:rsid w:val="005E7981"/>
    <w:rsid w:val="005F494A"/>
    <w:rsid w:val="005F5699"/>
    <w:rsid w:val="005F575F"/>
    <w:rsid w:val="005F57AD"/>
    <w:rsid w:val="005F7717"/>
    <w:rsid w:val="005F7B75"/>
    <w:rsid w:val="005F7F93"/>
    <w:rsid w:val="006001EE"/>
    <w:rsid w:val="00601CA8"/>
    <w:rsid w:val="00605042"/>
    <w:rsid w:val="0061115C"/>
    <w:rsid w:val="00611FC4"/>
    <w:rsid w:val="00614C50"/>
    <w:rsid w:val="00616894"/>
    <w:rsid w:val="006176FB"/>
    <w:rsid w:val="00622E3D"/>
    <w:rsid w:val="00624677"/>
    <w:rsid w:val="00624F12"/>
    <w:rsid w:val="00625FB0"/>
    <w:rsid w:val="006274AD"/>
    <w:rsid w:val="00627FB0"/>
    <w:rsid w:val="00630676"/>
    <w:rsid w:val="00632287"/>
    <w:rsid w:val="00632A5B"/>
    <w:rsid w:val="00636EFE"/>
    <w:rsid w:val="006405BC"/>
    <w:rsid w:val="00640B26"/>
    <w:rsid w:val="0064226F"/>
    <w:rsid w:val="006478E6"/>
    <w:rsid w:val="00647FD0"/>
    <w:rsid w:val="00652D0A"/>
    <w:rsid w:val="00661176"/>
    <w:rsid w:val="00661597"/>
    <w:rsid w:val="006617E2"/>
    <w:rsid w:val="006619EB"/>
    <w:rsid w:val="00662BB6"/>
    <w:rsid w:val="00664C49"/>
    <w:rsid w:val="0066644D"/>
    <w:rsid w:val="00674026"/>
    <w:rsid w:val="006743E9"/>
    <w:rsid w:val="00680461"/>
    <w:rsid w:val="00682284"/>
    <w:rsid w:val="006838C8"/>
    <w:rsid w:val="00683EF7"/>
    <w:rsid w:val="00684C21"/>
    <w:rsid w:val="0068555B"/>
    <w:rsid w:val="0068599A"/>
    <w:rsid w:val="00685FA6"/>
    <w:rsid w:val="00687350"/>
    <w:rsid w:val="0068743C"/>
    <w:rsid w:val="00691575"/>
    <w:rsid w:val="00691F84"/>
    <w:rsid w:val="00692BBE"/>
    <w:rsid w:val="00694AE6"/>
    <w:rsid w:val="00696929"/>
    <w:rsid w:val="0069763E"/>
    <w:rsid w:val="006976A6"/>
    <w:rsid w:val="006A1764"/>
    <w:rsid w:val="006A4786"/>
    <w:rsid w:val="006C3AD1"/>
    <w:rsid w:val="006C3EB1"/>
    <w:rsid w:val="006C6773"/>
    <w:rsid w:val="006C6DE5"/>
    <w:rsid w:val="006D2401"/>
    <w:rsid w:val="006D2B97"/>
    <w:rsid w:val="006D37AF"/>
    <w:rsid w:val="006D51D0"/>
    <w:rsid w:val="006D75C7"/>
    <w:rsid w:val="006E1A90"/>
    <w:rsid w:val="006E3134"/>
    <w:rsid w:val="006E37EC"/>
    <w:rsid w:val="006E564B"/>
    <w:rsid w:val="006E7191"/>
    <w:rsid w:val="006F36AC"/>
    <w:rsid w:val="0070353B"/>
    <w:rsid w:val="00703577"/>
    <w:rsid w:val="00704F5F"/>
    <w:rsid w:val="007053C1"/>
    <w:rsid w:val="00705625"/>
    <w:rsid w:val="00707FB7"/>
    <w:rsid w:val="007113A4"/>
    <w:rsid w:val="00711F00"/>
    <w:rsid w:val="00712332"/>
    <w:rsid w:val="0072226B"/>
    <w:rsid w:val="00725F30"/>
    <w:rsid w:val="0072632A"/>
    <w:rsid w:val="00726F57"/>
    <w:rsid w:val="007327D5"/>
    <w:rsid w:val="00732B51"/>
    <w:rsid w:val="00735CA1"/>
    <w:rsid w:val="00736E08"/>
    <w:rsid w:val="00740255"/>
    <w:rsid w:val="00742B80"/>
    <w:rsid w:val="00746BB2"/>
    <w:rsid w:val="00746F1E"/>
    <w:rsid w:val="00751147"/>
    <w:rsid w:val="00753BA9"/>
    <w:rsid w:val="0076033B"/>
    <w:rsid w:val="00760F53"/>
    <w:rsid w:val="007627EE"/>
    <w:rsid w:val="007629C8"/>
    <w:rsid w:val="00764878"/>
    <w:rsid w:val="00767016"/>
    <w:rsid w:val="007723A1"/>
    <w:rsid w:val="007812BA"/>
    <w:rsid w:val="00781C83"/>
    <w:rsid w:val="007826F5"/>
    <w:rsid w:val="00782F90"/>
    <w:rsid w:val="0078300D"/>
    <w:rsid w:val="00784BCF"/>
    <w:rsid w:val="00784C71"/>
    <w:rsid w:val="00785623"/>
    <w:rsid w:val="00787E5D"/>
    <w:rsid w:val="0079052D"/>
    <w:rsid w:val="0079151D"/>
    <w:rsid w:val="007925AE"/>
    <w:rsid w:val="00795F7A"/>
    <w:rsid w:val="007965DB"/>
    <w:rsid w:val="007A1319"/>
    <w:rsid w:val="007A219F"/>
    <w:rsid w:val="007A401C"/>
    <w:rsid w:val="007A4383"/>
    <w:rsid w:val="007B0D02"/>
    <w:rsid w:val="007B1E62"/>
    <w:rsid w:val="007B5F65"/>
    <w:rsid w:val="007B68BF"/>
    <w:rsid w:val="007B6BA5"/>
    <w:rsid w:val="007C203A"/>
    <w:rsid w:val="007C3390"/>
    <w:rsid w:val="007C3A7C"/>
    <w:rsid w:val="007C3FFB"/>
    <w:rsid w:val="007C4F4B"/>
    <w:rsid w:val="007C5032"/>
    <w:rsid w:val="007C784F"/>
    <w:rsid w:val="007C7C57"/>
    <w:rsid w:val="007D0063"/>
    <w:rsid w:val="007D3316"/>
    <w:rsid w:val="007D42B0"/>
    <w:rsid w:val="007D5DBB"/>
    <w:rsid w:val="007E0B2D"/>
    <w:rsid w:val="007E16D9"/>
    <w:rsid w:val="007E3DF7"/>
    <w:rsid w:val="007E3E13"/>
    <w:rsid w:val="007E6F98"/>
    <w:rsid w:val="007F1247"/>
    <w:rsid w:val="007F3A2C"/>
    <w:rsid w:val="007F5AA8"/>
    <w:rsid w:val="007F6611"/>
    <w:rsid w:val="007F7246"/>
    <w:rsid w:val="007F75D2"/>
    <w:rsid w:val="007F7E17"/>
    <w:rsid w:val="00803EEC"/>
    <w:rsid w:val="00806AAA"/>
    <w:rsid w:val="008076A7"/>
    <w:rsid w:val="008105B8"/>
    <w:rsid w:val="00810C74"/>
    <w:rsid w:val="008111BA"/>
    <w:rsid w:val="00812971"/>
    <w:rsid w:val="00813569"/>
    <w:rsid w:val="0081534F"/>
    <w:rsid w:val="00815C52"/>
    <w:rsid w:val="00816972"/>
    <w:rsid w:val="0081770E"/>
    <w:rsid w:val="008216A5"/>
    <w:rsid w:val="00821A8D"/>
    <w:rsid w:val="008242D7"/>
    <w:rsid w:val="00824F1B"/>
    <w:rsid w:val="00825659"/>
    <w:rsid w:val="008257B1"/>
    <w:rsid w:val="00827317"/>
    <w:rsid w:val="00833415"/>
    <w:rsid w:val="00834953"/>
    <w:rsid w:val="008367B9"/>
    <w:rsid w:val="00840104"/>
    <w:rsid w:val="0084035B"/>
    <w:rsid w:val="0084126F"/>
    <w:rsid w:val="00843767"/>
    <w:rsid w:val="00846ED4"/>
    <w:rsid w:val="00852B57"/>
    <w:rsid w:val="008538BE"/>
    <w:rsid w:val="00857E2C"/>
    <w:rsid w:val="008621E0"/>
    <w:rsid w:val="008655A1"/>
    <w:rsid w:val="008655A9"/>
    <w:rsid w:val="008678D8"/>
    <w:rsid w:val="008679D9"/>
    <w:rsid w:val="00871051"/>
    <w:rsid w:val="00875FE5"/>
    <w:rsid w:val="008809FB"/>
    <w:rsid w:val="008817F2"/>
    <w:rsid w:val="00884110"/>
    <w:rsid w:val="008854BE"/>
    <w:rsid w:val="00885F41"/>
    <w:rsid w:val="0088636B"/>
    <w:rsid w:val="00890C7B"/>
    <w:rsid w:val="0089139E"/>
    <w:rsid w:val="00894F8B"/>
    <w:rsid w:val="008979B1"/>
    <w:rsid w:val="008A1DB2"/>
    <w:rsid w:val="008A2B09"/>
    <w:rsid w:val="008A4733"/>
    <w:rsid w:val="008A61F6"/>
    <w:rsid w:val="008A6B25"/>
    <w:rsid w:val="008A6C4F"/>
    <w:rsid w:val="008A778A"/>
    <w:rsid w:val="008B1EE4"/>
    <w:rsid w:val="008B2335"/>
    <w:rsid w:val="008C017D"/>
    <w:rsid w:val="008C3481"/>
    <w:rsid w:val="008C4EDC"/>
    <w:rsid w:val="008D1459"/>
    <w:rsid w:val="008D3EAD"/>
    <w:rsid w:val="008D4BF5"/>
    <w:rsid w:val="008D4DE1"/>
    <w:rsid w:val="008D52B1"/>
    <w:rsid w:val="008D5553"/>
    <w:rsid w:val="008E0104"/>
    <w:rsid w:val="008E0678"/>
    <w:rsid w:val="008E1567"/>
    <w:rsid w:val="008E1FE2"/>
    <w:rsid w:val="008E27EC"/>
    <w:rsid w:val="008E4C4F"/>
    <w:rsid w:val="008E6A47"/>
    <w:rsid w:val="008E7D8C"/>
    <w:rsid w:val="008F142A"/>
    <w:rsid w:val="008F4C04"/>
    <w:rsid w:val="00901CCF"/>
    <w:rsid w:val="0090237B"/>
    <w:rsid w:val="00902668"/>
    <w:rsid w:val="00903876"/>
    <w:rsid w:val="00910F40"/>
    <w:rsid w:val="00911303"/>
    <w:rsid w:val="00912256"/>
    <w:rsid w:val="00912C08"/>
    <w:rsid w:val="00913390"/>
    <w:rsid w:val="00913616"/>
    <w:rsid w:val="00913F5E"/>
    <w:rsid w:val="0091460C"/>
    <w:rsid w:val="00914B6E"/>
    <w:rsid w:val="009152C3"/>
    <w:rsid w:val="00916567"/>
    <w:rsid w:val="009223CA"/>
    <w:rsid w:val="0092343F"/>
    <w:rsid w:val="00930D71"/>
    <w:rsid w:val="0093571E"/>
    <w:rsid w:val="00935941"/>
    <w:rsid w:val="00940F93"/>
    <w:rsid w:val="00941AB8"/>
    <w:rsid w:val="00943FBA"/>
    <w:rsid w:val="00945A23"/>
    <w:rsid w:val="009502AF"/>
    <w:rsid w:val="00951522"/>
    <w:rsid w:val="00951EAC"/>
    <w:rsid w:val="00952427"/>
    <w:rsid w:val="0095347F"/>
    <w:rsid w:val="00955194"/>
    <w:rsid w:val="009568BE"/>
    <w:rsid w:val="00956A6B"/>
    <w:rsid w:val="009602C1"/>
    <w:rsid w:val="00964E2E"/>
    <w:rsid w:val="00966D7C"/>
    <w:rsid w:val="00967F59"/>
    <w:rsid w:val="009701C4"/>
    <w:rsid w:val="00971C45"/>
    <w:rsid w:val="00972495"/>
    <w:rsid w:val="009735A8"/>
    <w:rsid w:val="009735EF"/>
    <w:rsid w:val="00973B67"/>
    <w:rsid w:val="00974EF5"/>
    <w:rsid w:val="00975230"/>
    <w:rsid w:val="00975E5F"/>
    <w:rsid w:val="009760F3"/>
    <w:rsid w:val="009812E7"/>
    <w:rsid w:val="00983C0B"/>
    <w:rsid w:val="00985506"/>
    <w:rsid w:val="00990941"/>
    <w:rsid w:val="009909F5"/>
    <w:rsid w:val="00993D77"/>
    <w:rsid w:val="009A01E5"/>
    <w:rsid w:val="009A0E8D"/>
    <w:rsid w:val="009A46D6"/>
    <w:rsid w:val="009A5E1E"/>
    <w:rsid w:val="009A6988"/>
    <w:rsid w:val="009A7439"/>
    <w:rsid w:val="009B0451"/>
    <w:rsid w:val="009B0ADF"/>
    <w:rsid w:val="009B1C93"/>
    <w:rsid w:val="009B1E1F"/>
    <w:rsid w:val="009B26E7"/>
    <w:rsid w:val="009B2EF2"/>
    <w:rsid w:val="009B3B6D"/>
    <w:rsid w:val="009C2C0D"/>
    <w:rsid w:val="009C6AEC"/>
    <w:rsid w:val="009C77E5"/>
    <w:rsid w:val="009C7EFD"/>
    <w:rsid w:val="009D04AC"/>
    <w:rsid w:val="009D0B1B"/>
    <w:rsid w:val="009D22A2"/>
    <w:rsid w:val="009D6DDF"/>
    <w:rsid w:val="009D7894"/>
    <w:rsid w:val="009D7E85"/>
    <w:rsid w:val="009E11CB"/>
    <w:rsid w:val="009E2F54"/>
    <w:rsid w:val="009E445F"/>
    <w:rsid w:val="009E6A7F"/>
    <w:rsid w:val="009E7D26"/>
    <w:rsid w:val="009F2AC1"/>
    <w:rsid w:val="009F3272"/>
    <w:rsid w:val="009F5D91"/>
    <w:rsid w:val="00A00A3F"/>
    <w:rsid w:val="00A01489"/>
    <w:rsid w:val="00A030AB"/>
    <w:rsid w:val="00A036B3"/>
    <w:rsid w:val="00A069BB"/>
    <w:rsid w:val="00A10115"/>
    <w:rsid w:val="00A10474"/>
    <w:rsid w:val="00A11A0C"/>
    <w:rsid w:val="00A12518"/>
    <w:rsid w:val="00A14D3B"/>
    <w:rsid w:val="00A15A08"/>
    <w:rsid w:val="00A1776E"/>
    <w:rsid w:val="00A230A0"/>
    <w:rsid w:val="00A2561D"/>
    <w:rsid w:val="00A25E9B"/>
    <w:rsid w:val="00A262B7"/>
    <w:rsid w:val="00A266D4"/>
    <w:rsid w:val="00A2698E"/>
    <w:rsid w:val="00A26D27"/>
    <w:rsid w:val="00A31B81"/>
    <w:rsid w:val="00A32CFD"/>
    <w:rsid w:val="00A338F1"/>
    <w:rsid w:val="00A36208"/>
    <w:rsid w:val="00A36331"/>
    <w:rsid w:val="00A37DD8"/>
    <w:rsid w:val="00A4192B"/>
    <w:rsid w:val="00A44615"/>
    <w:rsid w:val="00A45DB8"/>
    <w:rsid w:val="00A4722B"/>
    <w:rsid w:val="00A47396"/>
    <w:rsid w:val="00A4753A"/>
    <w:rsid w:val="00A5633D"/>
    <w:rsid w:val="00A57155"/>
    <w:rsid w:val="00A62ED2"/>
    <w:rsid w:val="00A708BB"/>
    <w:rsid w:val="00A710E2"/>
    <w:rsid w:val="00A71B51"/>
    <w:rsid w:val="00A72F22"/>
    <w:rsid w:val="00A7360F"/>
    <w:rsid w:val="00A73EDD"/>
    <w:rsid w:val="00A748A6"/>
    <w:rsid w:val="00A75355"/>
    <w:rsid w:val="00A769F4"/>
    <w:rsid w:val="00A776B4"/>
    <w:rsid w:val="00A81B0C"/>
    <w:rsid w:val="00A82504"/>
    <w:rsid w:val="00A85674"/>
    <w:rsid w:val="00A86F19"/>
    <w:rsid w:val="00A871D5"/>
    <w:rsid w:val="00A8780F"/>
    <w:rsid w:val="00A90E23"/>
    <w:rsid w:val="00A91499"/>
    <w:rsid w:val="00A92565"/>
    <w:rsid w:val="00A94361"/>
    <w:rsid w:val="00A96457"/>
    <w:rsid w:val="00AA0619"/>
    <w:rsid w:val="00AA0F58"/>
    <w:rsid w:val="00AA293C"/>
    <w:rsid w:val="00AA2D0D"/>
    <w:rsid w:val="00AA35EA"/>
    <w:rsid w:val="00AB19FA"/>
    <w:rsid w:val="00AB4E1A"/>
    <w:rsid w:val="00AB5043"/>
    <w:rsid w:val="00AB5D75"/>
    <w:rsid w:val="00AB7C6D"/>
    <w:rsid w:val="00AC03E4"/>
    <w:rsid w:val="00AC0A14"/>
    <w:rsid w:val="00AC1844"/>
    <w:rsid w:val="00AC4840"/>
    <w:rsid w:val="00AC63A2"/>
    <w:rsid w:val="00AD1C54"/>
    <w:rsid w:val="00AD46B8"/>
    <w:rsid w:val="00AD6EA8"/>
    <w:rsid w:val="00AE3AD1"/>
    <w:rsid w:val="00AE5108"/>
    <w:rsid w:val="00AF1A44"/>
    <w:rsid w:val="00AF1E8E"/>
    <w:rsid w:val="00AF5CCF"/>
    <w:rsid w:val="00AF6C3B"/>
    <w:rsid w:val="00B0282C"/>
    <w:rsid w:val="00B02BAA"/>
    <w:rsid w:val="00B033CC"/>
    <w:rsid w:val="00B04543"/>
    <w:rsid w:val="00B06D66"/>
    <w:rsid w:val="00B075EA"/>
    <w:rsid w:val="00B07A6A"/>
    <w:rsid w:val="00B1104C"/>
    <w:rsid w:val="00B12BB4"/>
    <w:rsid w:val="00B12E1C"/>
    <w:rsid w:val="00B13E9B"/>
    <w:rsid w:val="00B201CC"/>
    <w:rsid w:val="00B2177C"/>
    <w:rsid w:val="00B22D07"/>
    <w:rsid w:val="00B30179"/>
    <w:rsid w:val="00B339A7"/>
    <w:rsid w:val="00B34A3F"/>
    <w:rsid w:val="00B369CE"/>
    <w:rsid w:val="00B3784A"/>
    <w:rsid w:val="00B41ACB"/>
    <w:rsid w:val="00B427FA"/>
    <w:rsid w:val="00B43A0B"/>
    <w:rsid w:val="00B443E2"/>
    <w:rsid w:val="00B46096"/>
    <w:rsid w:val="00B4718F"/>
    <w:rsid w:val="00B47380"/>
    <w:rsid w:val="00B5092B"/>
    <w:rsid w:val="00B512C7"/>
    <w:rsid w:val="00B56E4A"/>
    <w:rsid w:val="00B56E9C"/>
    <w:rsid w:val="00B60748"/>
    <w:rsid w:val="00B6380E"/>
    <w:rsid w:val="00B639A0"/>
    <w:rsid w:val="00B64B1F"/>
    <w:rsid w:val="00B654DC"/>
    <w:rsid w:val="00B6553F"/>
    <w:rsid w:val="00B65D1D"/>
    <w:rsid w:val="00B66E5E"/>
    <w:rsid w:val="00B67C9C"/>
    <w:rsid w:val="00B716A0"/>
    <w:rsid w:val="00B73552"/>
    <w:rsid w:val="00B77D05"/>
    <w:rsid w:val="00B77EB1"/>
    <w:rsid w:val="00B81202"/>
    <w:rsid w:val="00B81206"/>
    <w:rsid w:val="00B81E12"/>
    <w:rsid w:val="00B8236D"/>
    <w:rsid w:val="00B828A9"/>
    <w:rsid w:val="00B83A07"/>
    <w:rsid w:val="00B84C4B"/>
    <w:rsid w:val="00B84D8C"/>
    <w:rsid w:val="00B857DE"/>
    <w:rsid w:val="00B874C1"/>
    <w:rsid w:val="00B878B3"/>
    <w:rsid w:val="00B9067B"/>
    <w:rsid w:val="00B94491"/>
    <w:rsid w:val="00B96520"/>
    <w:rsid w:val="00B97172"/>
    <w:rsid w:val="00BA29D1"/>
    <w:rsid w:val="00BA4341"/>
    <w:rsid w:val="00BA7326"/>
    <w:rsid w:val="00BB22D5"/>
    <w:rsid w:val="00BB37C3"/>
    <w:rsid w:val="00BB577C"/>
    <w:rsid w:val="00BB6B81"/>
    <w:rsid w:val="00BC01E3"/>
    <w:rsid w:val="00BC298A"/>
    <w:rsid w:val="00BC2C23"/>
    <w:rsid w:val="00BC48F3"/>
    <w:rsid w:val="00BC5A8B"/>
    <w:rsid w:val="00BC6B1E"/>
    <w:rsid w:val="00BC70AB"/>
    <w:rsid w:val="00BC74E9"/>
    <w:rsid w:val="00BD035A"/>
    <w:rsid w:val="00BD2AEB"/>
    <w:rsid w:val="00BD48ED"/>
    <w:rsid w:val="00BD5EB3"/>
    <w:rsid w:val="00BE0B12"/>
    <w:rsid w:val="00BE2C31"/>
    <w:rsid w:val="00BE76EE"/>
    <w:rsid w:val="00BF09D4"/>
    <w:rsid w:val="00BF3D9D"/>
    <w:rsid w:val="00BF5A65"/>
    <w:rsid w:val="00BF68A8"/>
    <w:rsid w:val="00BF6DBF"/>
    <w:rsid w:val="00C006A7"/>
    <w:rsid w:val="00C03905"/>
    <w:rsid w:val="00C11207"/>
    <w:rsid w:val="00C11A03"/>
    <w:rsid w:val="00C13B55"/>
    <w:rsid w:val="00C15217"/>
    <w:rsid w:val="00C154D2"/>
    <w:rsid w:val="00C16605"/>
    <w:rsid w:val="00C227E8"/>
    <w:rsid w:val="00C2284D"/>
    <w:rsid w:val="00C237CB"/>
    <w:rsid w:val="00C2617F"/>
    <w:rsid w:val="00C2623D"/>
    <w:rsid w:val="00C2698D"/>
    <w:rsid w:val="00C3279A"/>
    <w:rsid w:val="00C34926"/>
    <w:rsid w:val="00C36CA4"/>
    <w:rsid w:val="00C37106"/>
    <w:rsid w:val="00C40796"/>
    <w:rsid w:val="00C4279B"/>
    <w:rsid w:val="00C42AEC"/>
    <w:rsid w:val="00C44D68"/>
    <w:rsid w:val="00C463DD"/>
    <w:rsid w:val="00C46474"/>
    <w:rsid w:val="00C46639"/>
    <w:rsid w:val="00C4724C"/>
    <w:rsid w:val="00C50356"/>
    <w:rsid w:val="00C539D4"/>
    <w:rsid w:val="00C54F73"/>
    <w:rsid w:val="00C55779"/>
    <w:rsid w:val="00C561E4"/>
    <w:rsid w:val="00C606D3"/>
    <w:rsid w:val="00C61F13"/>
    <w:rsid w:val="00C62489"/>
    <w:rsid w:val="00C629A0"/>
    <w:rsid w:val="00C6410D"/>
    <w:rsid w:val="00C64A07"/>
    <w:rsid w:val="00C65F90"/>
    <w:rsid w:val="00C702EE"/>
    <w:rsid w:val="00C7385F"/>
    <w:rsid w:val="00C745C3"/>
    <w:rsid w:val="00C74D14"/>
    <w:rsid w:val="00C77C10"/>
    <w:rsid w:val="00C815DC"/>
    <w:rsid w:val="00C822D7"/>
    <w:rsid w:val="00C82416"/>
    <w:rsid w:val="00C8504E"/>
    <w:rsid w:val="00C8561F"/>
    <w:rsid w:val="00C866DB"/>
    <w:rsid w:val="00C9045B"/>
    <w:rsid w:val="00C909F8"/>
    <w:rsid w:val="00C9183C"/>
    <w:rsid w:val="00C91BBB"/>
    <w:rsid w:val="00C934B4"/>
    <w:rsid w:val="00C96D26"/>
    <w:rsid w:val="00CA56DE"/>
    <w:rsid w:val="00CA5848"/>
    <w:rsid w:val="00CA59E7"/>
    <w:rsid w:val="00CA6258"/>
    <w:rsid w:val="00CB335D"/>
    <w:rsid w:val="00CC1F58"/>
    <w:rsid w:val="00CC4C0C"/>
    <w:rsid w:val="00CC664C"/>
    <w:rsid w:val="00CD4D91"/>
    <w:rsid w:val="00CE1672"/>
    <w:rsid w:val="00CE170A"/>
    <w:rsid w:val="00CE3E66"/>
    <w:rsid w:val="00CE4904"/>
    <w:rsid w:val="00CE4A8F"/>
    <w:rsid w:val="00CE4D40"/>
    <w:rsid w:val="00CE5F5D"/>
    <w:rsid w:val="00CF21B3"/>
    <w:rsid w:val="00CF2919"/>
    <w:rsid w:val="00CF2C0D"/>
    <w:rsid w:val="00CF2C2A"/>
    <w:rsid w:val="00CF6255"/>
    <w:rsid w:val="00CF76CE"/>
    <w:rsid w:val="00CF7D0F"/>
    <w:rsid w:val="00D04B04"/>
    <w:rsid w:val="00D06EAB"/>
    <w:rsid w:val="00D07060"/>
    <w:rsid w:val="00D076BF"/>
    <w:rsid w:val="00D1030C"/>
    <w:rsid w:val="00D1131C"/>
    <w:rsid w:val="00D141CF"/>
    <w:rsid w:val="00D2031B"/>
    <w:rsid w:val="00D2276A"/>
    <w:rsid w:val="00D2305C"/>
    <w:rsid w:val="00D236D5"/>
    <w:rsid w:val="00D257E7"/>
    <w:rsid w:val="00D25FE2"/>
    <w:rsid w:val="00D2672E"/>
    <w:rsid w:val="00D311A4"/>
    <w:rsid w:val="00D34E31"/>
    <w:rsid w:val="00D354E1"/>
    <w:rsid w:val="00D359CC"/>
    <w:rsid w:val="00D37009"/>
    <w:rsid w:val="00D377FC"/>
    <w:rsid w:val="00D40634"/>
    <w:rsid w:val="00D41FE9"/>
    <w:rsid w:val="00D431EB"/>
    <w:rsid w:val="00D43252"/>
    <w:rsid w:val="00D4394C"/>
    <w:rsid w:val="00D47963"/>
    <w:rsid w:val="00D47B2C"/>
    <w:rsid w:val="00D47EEA"/>
    <w:rsid w:val="00D50C86"/>
    <w:rsid w:val="00D50EE6"/>
    <w:rsid w:val="00D51532"/>
    <w:rsid w:val="00D537C3"/>
    <w:rsid w:val="00D70A01"/>
    <w:rsid w:val="00D71187"/>
    <w:rsid w:val="00D712FE"/>
    <w:rsid w:val="00D725AD"/>
    <w:rsid w:val="00D73EB4"/>
    <w:rsid w:val="00D8586C"/>
    <w:rsid w:val="00D90984"/>
    <w:rsid w:val="00D90A8D"/>
    <w:rsid w:val="00D90F93"/>
    <w:rsid w:val="00D9204F"/>
    <w:rsid w:val="00D95303"/>
    <w:rsid w:val="00D95600"/>
    <w:rsid w:val="00D95A82"/>
    <w:rsid w:val="00D978C6"/>
    <w:rsid w:val="00DA2765"/>
    <w:rsid w:val="00DA3111"/>
    <w:rsid w:val="00DA38C1"/>
    <w:rsid w:val="00DA3C1C"/>
    <w:rsid w:val="00DA3DC3"/>
    <w:rsid w:val="00DA49AA"/>
    <w:rsid w:val="00DA53E6"/>
    <w:rsid w:val="00DA7238"/>
    <w:rsid w:val="00DA7412"/>
    <w:rsid w:val="00DB0C79"/>
    <w:rsid w:val="00DB208A"/>
    <w:rsid w:val="00DB5B2F"/>
    <w:rsid w:val="00DC128E"/>
    <w:rsid w:val="00DC260B"/>
    <w:rsid w:val="00DC290C"/>
    <w:rsid w:val="00DC4569"/>
    <w:rsid w:val="00DC71FF"/>
    <w:rsid w:val="00DD013D"/>
    <w:rsid w:val="00DD0339"/>
    <w:rsid w:val="00DD1B10"/>
    <w:rsid w:val="00DD2781"/>
    <w:rsid w:val="00DD3D73"/>
    <w:rsid w:val="00DE79A8"/>
    <w:rsid w:val="00DF0447"/>
    <w:rsid w:val="00DF1E57"/>
    <w:rsid w:val="00DF374D"/>
    <w:rsid w:val="00DF47DA"/>
    <w:rsid w:val="00DF4996"/>
    <w:rsid w:val="00DF50FB"/>
    <w:rsid w:val="00DF5EFA"/>
    <w:rsid w:val="00DF6C8D"/>
    <w:rsid w:val="00DF740E"/>
    <w:rsid w:val="00DF7F05"/>
    <w:rsid w:val="00E012C9"/>
    <w:rsid w:val="00E03890"/>
    <w:rsid w:val="00E0462F"/>
    <w:rsid w:val="00E06474"/>
    <w:rsid w:val="00E138E5"/>
    <w:rsid w:val="00E13BBE"/>
    <w:rsid w:val="00E13CA7"/>
    <w:rsid w:val="00E209FD"/>
    <w:rsid w:val="00E24886"/>
    <w:rsid w:val="00E25E54"/>
    <w:rsid w:val="00E267A6"/>
    <w:rsid w:val="00E27346"/>
    <w:rsid w:val="00E3235C"/>
    <w:rsid w:val="00E3477A"/>
    <w:rsid w:val="00E376E4"/>
    <w:rsid w:val="00E37733"/>
    <w:rsid w:val="00E40420"/>
    <w:rsid w:val="00E43EC4"/>
    <w:rsid w:val="00E4406C"/>
    <w:rsid w:val="00E51BCB"/>
    <w:rsid w:val="00E528B3"/>
    <w:rsid w:val="00E542F7"/>
    <w:rsid w:val="00E559DD"/>
    <w:rsid w:val="00E62BDD"/>
    <w:rsid w:val="00E632CC"/>
    <w:rsid w:val="00E65396"/>
    <w:rsid w:val="00E67476"/>
    <w:rsid w:val="00E67F91"/>
    <w:rsid w:val="00E71BC8"/>
    <w:rsid w:val="00E7260F"/>
    <w:rsid w:val="00E77853"/>
    <w:rsid w:val="00E779FC"/>
    <w:rsid w:val="00E848D3"/>
    <w:rsid w:val="00E86349"/>
    <w:rsid w:val="00E863FD"/>
    <w:rsid w:val="00E94088"/>
    <w:rsid w:val="00E96630"/>
    <w:rsid w:val="00EA1886"/>
    <w:rsid w:val="00EA257A"/>
    <w:rsid w:val="00EA3104"/>
    <w:rsid w:val="00EA31F7"/>
    <w:rsid w:val="00EA5005"/>
    <w:rsid w:val="00EA5836"/>
    <w:rsid w:val="00EB1ECC"/>
    <w:rsid w:val="00EB2581"/>
    <w:rsid w:val="00EB7049"/>
    <w:rsid w:val="00EC1C71"/>
    <w:rsid w:val="00EC28F3"/>
    <w:rsid w:val="00ED06EC"/>
    <w:rsid w:val="00ED140E"/>
    <w:rsid w:val="00ED1515"/>
    <w:rsid w:val="00ED7A2A"/>
    <w:rsid w:val="00EE0B0F"/>
    <w:rsid w:val="00EE23E7"/>
    <w:rsid w:val="00EE5BD5"/>
    <w:rsid w:val="00EE6199"/>
    <w:rsid w:val="00EF0235"/>
    <w:rsid w:val="00EF1D7F"/>
    <w:rsid w:val="00EF1EF6"/>
    <w:rsid w:val="00F004E2"/>
    <w:rsid w:val="00F02C8E"/>
    <w:rsid w:val="00F03190"/>
    <w:rsid w:val="00F03A99"/>
    <w:rsid w:val="00F04CDE"/>
    <w:rsid w:val="00F10E0C"/>
    <w:rsid w:val="00F12D79"/>
    <w:rsid w:val="00F1389A"/>
    <w:rsid w:val="00F145AF"/>
    <w:rsid w:val="00F148F2"/>
    <w:rsid w:val="00F1539A"/>
    <w:rsid w:val="00F20C3D"/>
    <w:rsid w:val="00F25E5E"/>
    <w:rsid w:val="00F26BC3"/>
    <w:rsid w:val="00F27F80"/>
    <w:rsid w:val="00F30F1F"/>
    <w:rsid w:val="00F318C1"/>
    <w:rsid w:val="00F31FB3"/>
    <w:rsid w:val="00F36AFD"/>
    <w:rsid w:val="00F36C66"/>
    <w:rsid w:val="00F4204E"/>
    <w:rsid w:val="00F43E9E"/>
    <w:rsid w:val="00F45731"/>
    <w:rsid w:val="00F468A5"/>
    <w:rsid w:val="00F46CDD"/>
    <w:rsid w:val="00F50164"/>
    <w:rsid w:val="00F53F0E"/>
    <w:rsid w:val="00F548C8"/>
    <w:rsid w:val="00F6278D"/>
    <w:rsid w:val="00F63797"/>
    <w:rsid w:val="00F65E7F"/>
    <w:rsid w:val="00F70FF2"/>
    <w:rsid w:val="00F713E3"/>
    <w:rsid w:val="00F75F5B"/>
    <w:rsid w:val="00F76E01"/>
    <w:rsid w:val="00F8521C"/>
    <w:rsid w:val="00F85DDF"/>
    <w:rsid w:val="00F86121"/>
    <w:rsid w:val="00F86289"/>
    <w:rsid w:val="00F9057C"/>
    <w:rsid w:val="00F906D7"/>
    <w:rsid w:val="00F9079C"/>
    <w:rsid w:val="00F90D84"/>
    <w:rsid w:val="00F90FD3"/>
    <w:rsid w:val="00F91FD2"/>
    <w:rsid w:val="00F93781"/>
    <w:rsid w:val="00F96BA5"/>
    <w:rsid w:val="00FA1718"/>
    <w:rsid w:val="00FA32C0"/>
    <w:rsid w:val="00FA380F"/>
    <w:rsid w:val="00FA40E0"/>
    <w:rsid w:val="00FA447C"/>
    <w:rsid w:val="00FA56DB"/>
    <w:rsid w:val="00FA5D93"/>
    <w:rsid w:val="00FA6BE1"/>
    <w:rsid w:val="00FB1B6F"/>
    <w:rsid w:val="00FB5EB5"/>
    <w:rsid w:val="00FB613B"/>
    <w:rsid w:val="00FB6F7F"/>
    <w:rsid w:val="00FB708B"/>
    <w:rsid w:val="00FB7622"/>
    <w:rsid w:val="00FB7FCD"/>
    <w:rsid w:val="00FC20C0"/>
    <w:rsid w:val="00FC22CD"/>
    <w:rsid w:val="00FC6105"/>
    <w:rsid w:val="00FC6453"/>
    <w:rsid w:val="00FC68B7"/>
    <w:rsid w:val="00FD0381"/>
    <w:rsid w:val="00FD1954"/>
    <w:rsid w:val="00FD23D3"/>
    <w:rsid w:val="00FD4FB8"/>
    <w:rsid w:val="00FD7631"/>
    <w:rsid w:val="00FE106A"/>
    <w:rsid w:val="00FE52FC"/>
    <w:rsid w:val="00FE6DC3"/>
    <w:rsid w:val="00FE7EF7"/>
    <w:rsid w:val="00FF0FD2"/>
    <w:rsid w:val="00FF3FD6"/>
    <w:rsid w:val="00FF649B"/>
    <w:rsid w:val="00FF67E9"/>
    <w:rsid w:val="00FF7920"/>
    <w:rsid w:val="00FF7D0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15:docId w15:val="{2928050D-0496-4883-A98E-3D598D81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sz w:val="20"/>
      <w:szCs w:val="20"/>
      <w:lang w:val="en-GB" w:eastAsia="en-US"/>
    </w:rPr>
  </w:style>
  <w:style w:type="paragraph" w:styleId="Heading1">
    <w:name w:val="heading 1"/>
    <w:aliases w:val="Table_G"/>
    <w:basedOn w:val="SingleTxtG"/>
    <w:next w:val="SingleTxtG"/>
    <w:link w:val="Heading1Char"/>
    <w:uiPriority w:val="99"/>
    <w:qFormat/>
    <w:rsid w:val="000272B3"/>
    <w:pPr>
      <w:spacing w:after="0" w:line="240" w:lineRule="auto"/>
      <w:ind w:right="0"/>
      <w:jc w:val="left"/>
      <w:outlineLvl w:val="0"/>
    </w:pPr>
  </w:style>
  <w:style w:type="paragraph" w:styleId="Heading2">
    <w:name w:val="heading 2"/>
    <w:basedOn w:val="Normal"/>
    <w:next w:val="Normal"/>
    <w:link w:val="Heading2Char"/>
    <w:uiPriority w:val="99"/>
    <w:qFormat/>
    <w:rsid w:val="000272B3"/>
    <w:pPr>
      <w:spacing w:line="240" w:lineRule="auto"/>
      <w:outlineLvl w:val="1"/>
    </w:pPr>
  </w:style>
  <w:style w:type="paragraph" w:styleId="Heading3">
    <w:name w:val="heading 3"/>
    <w:basedOn w:val="Normal"/>
    <w:next w:val="Normal"/>
    <w:link w:val="Heading3Char"/>
    <w:uiPriority w:val="99"/>
    <w:qFormat/>
    <w:rsid w:val="000272B3"/>
    <w:pPr>
      <w:spacing w:line="240" w:lineRule="auto"/>
      <w:outlineLvl w:val="2"/>
    </w:pPr>
  </w:style>
  <w:style w:type="paragraph" w:styleId="Heading4">
    <w:name w:val="heading 4"/>
    <w:basedOn w:val="Normal"/>
    <w:next w:val="Normal"/>
    <w:link w:val="Heading4Char"/>
    <w:uiPriority w:val="99"/>
    <w:qFormat/>
    <w:rsid w:val="000272B3"/>
    <w:pPr>
      <w:spacing w:line="240" w:lineRule="auto"/>
      <w:outlineLvl w:val="3"/>
    </w:pPr>
  </w:style>
  <w:style w:type="paragraph" w:styleId="Heading5">
    <w:name w:val="heading 5"/>
    <w:basedOn w:val="Normal"/>
    <w:next w:val="Normal"/>
    <w:link w:val="Heading5Char"/>
    <w:uiPriority w:val="99"/>
    <w:qFormat/>
    <w:rsid w:val="000272B3"/>
    <w:pPr>
      <w:spacing w:line="240" w:lineRule="auto"/>
      <w:outlineLvl w:val="4"/>
    </w:pPr>
  </w:style>
  <w:style w:type="paragraph" w:styleId="Heading6">
    <w:name w:val="heading 6"/>
    <w:basedOn w:val="Normal"/>
    <w:next w:val="Normal"/>
    <w:link w:val="Heading6Char"/>
    <w:uiPriority w:val="99"/>
    <w:qFormat/>
    <w:rsid w:val="000272B3"/>
    <w:pPr>
      <w:spacing w:line="240" w:lineRule="auto"/>
      <w:outlineLvl w:val="5"/>
    </w:pPr>
  </w:style>
  <w:style w:type="paragraph" w:styleId="Heading7">
    <w:name w:val="heading 7"/>
    <w:basedOn w:val="Normal"/>
    <w:next w:val="Normal"/>
    <w:link w:val="Heading7Char"/>
    <w:uiPriority w:val="99"/>
    <w:qFormat/>
    <w:rsid w:val="000272B3"/>
    <w:pPr>
      <w:spacing w:line="240" w:lineRule="auto"/>
      <w:outlineLvl w:val="6"/>
    </w:pPr>
  </w:style>
  <w:style w:type="paragraph" w:styleId="Heading8">
    <w:name w:val="heading 8"/>
    <w:basedOn w:val="Normal"/>
    <w:next w:val="Normal"/>
    <w:link w:val="Heading8Char"/>
    <w:uiPriority w:val="99"/>
    <w:qFormat/>
    <w:rsid w:val="000272B3"/>
    <w:pPr>
      <w:spacing w:line="240" w:lineRule="auto"/>
      <w:outlineLvl w:val="7"/>
    </w:pPr>
  </w:style>
  <w:style w:type="paragraph" w:styleId="Heading9">
    <w:name w:val="heading 9"/>
    <w:basedOn w:val="Normal"/>
    <w:next w:val="Normal"/>
    <w:link w:val="Heading9Char"/>
    <w:uiPriority w:val="99"/>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99069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9069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9069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9069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9069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9069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9069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9069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9069F"/>
    <w:rPr>
      <w:rFonts w:asciiTheme="majorHAnsi" w:eastAsiaTheme="majorEastAsia" w:hAnsiTheme="majorHAnsi" w:cstheme="majorBidi"/>
      <w:lang w:val="en-GB" w:eastAsia="en-US"/>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743E9"/>
    <w:rPr>
      <w:rFonts w:ascii="Tahoma" w:hAnsi="Tahoma"/>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uiPriority w:val="99"/>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semiHidden/>
    <w:rsid w:val="0099069F"/>
    <w:rPr>
      <w:sz w:val="20"/>
      <w:szCs w:val="20"/>
      <w:lang w:val="en-GB" w:eastAsia="en-US"/>
    </w:rPr>
  </w:style>
  <w:style w:type="table" w:styleId="TableGrid">
    <w:name w:val="Table Grid"/>
    <w:basedOn w:val="TableNormal"/>
    <w:uiPriority w:val="99"/>
    <w:semiHidden/>
    <w:rsid w:val="000272B3"/>
    <w:pPr>
      <w:suppressAutoHyphens/>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0272B3"/>
    <w:rPr>
      <w:rFonts w:cs="Times New Roman"/>
      <w:color w:val="auto"/>
      <w:u w:val="none"/>
    </w:rPr>
  </w:style>
  <w:style w:type="character" w:styleId="FollowedHyperlink">
    <w:name w:val="FollowedHyperlink"/>
    <w:basedOn w:val="DefaultParagraphFont"/>
    <w:uiPriority w:val="99"/>
    <w:semiHidden/>
    <w:rsid w:val="000272B3"/>
    <w:rPr>
      <w:rFonts w:cs="Times New Roman"/>
      <w:color w:val="auto"/>
      <w:u w:val="none"/>
    </w:rPr>
  </w:style>
  <w:style w:type="paragraph" w:styleId="FootnoteText">
    <w:name w:val="footnote text"/>
    <w:aliases w:val="5_G"/>
    <w:basedOn w:val="Normal"/>
    <w:link w:val="FootnoteTextChar1"/>
    <w:qFormat/>
    <w:rsid w:val="00FB708B"/>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character" w:customStyle="1" w:styleId="FootnoteTextChar">
    <w:name w:val="Footnote Text Char"/>
    <w:aliases w:val="Footnote Reference Char,4_G Char,Footnote number Char,ftref Char,Footnotes refss Char,Style 10 Char,Footnote Reference1 Char1,5_G Char,Footnote Text Char Char Char Char Char Char,Footnote Text Char Char Char Char Char1,FA Fu Char"/>
    <w:basedOn w:val="DefaultParagraphFont"/>
    <w:rsid w:val="0099069F"/>
    <w:rPr>
      <w:sz w:val="20"/>
      <w:szCs w:val="20"/>
      <w:lang w:val="en-GB" w:eastAsia="en-US"/>
    </w:rPr>
  </w:style>
  <w:style w:type="paragraph" w:styleId="EndnoteText">
    <w:name w:val="endnote text"/>
    <w:aliases w:val="2_G"/>
    <w:basedOn w:val="FootnoteText"/>
    <w:link w:val="EndnoteTextChar"/>
    <w:uiPriority w:val="99"/>
    <w:rsid w:val="000272B3"/>
  </w:style>
  <w:style w:type="character" w:customStyle="1" w:styleId="EndnoteTextChar">
    <w:name w:val="Endnote Text Char"/>
    <w:aliases w:val="2_G Char"/>
    <w:basedOn w:val="DefaultParagraphFont"/>
    <w:link w:val="EndnoteText"/>
    <w:uiPriority w:val="99"/>
    <w:semiHidden/>
    <w:rsid w:val="0099069F"/>
    <w:rPr>
      <w:sz w:val="20"/>
      <w:szCs w:val="20"/>
      <w:lang w:val="en-GB" w:eastAsia="en-US"/>
    </w:rPr>
  </w:style>
  <w:style w:type="paragraph" w:customStyle="1" w:styleId="SMG">
    <w:name w:val="__S_M_G"/>
    <w:basedOn w:val="Normal"/>
    <w:next w:val="Normal"/>
    <w:uiPriority w:val="99"/>
    <w:rsid w:val="000272B3"/>
    <w:pPr>
      <w:keepNext/>
      <w:keepLines/>
      <w:spacing w:before="240" w:after="240" w:line="420" w:lineRule="exact"/>
      <w:ind w:left="1134" w:right="1134"/>
    </w:pPr>
    <w:rPr>
      <w:b/>
      <w:sz w:val="40"/>
    </w:rPr>
  </w:style>
  <w:style w:type="paragraph" w:customStyle="1" w:styleId="SLG">
    <w:name w:val="__S_L_G"/>
    <w:basedOn w:val="Normal"/>
    <w:next w:val="Normal"/>
    <w:uiPriority w:val="99"/>
    <w:rsid w:val="000272B3"/>
    <w:pPr>
      <w:keepNext/>
      <w:keepLines/>
      <w:spacing w:before="240" w:after="240" w:line="580" w:lineRule="exact"/>
      <w:ind w:left="1134" w:right="1134"/>
    </w:pPr>
    <w:rPr>
      <w:b/>
      <w:sz w:val="56"/>
    </w:rPr>
  </w:style>
  <w:style w:type="paragraph" w:customStyle="1" w:styleId="SSG">
    <w:name w:val="__S_S_G"/>
    <w:basedOn w:val="Normal"/>
    <w:next w:val="Normal"/>
    <w:uiPriority w:val="99"/>
    <w:rsid w:val="000272B3"/>
    <w:pPr>
      <w:keepNext/>
      <w:keepLines/>
      <w:spacing w:before="240" w:after="240" w:line="300" w:lineRule="exact"/>
      <w:ind w:left="1134" w:right="1134"/>
    </w:pPr>
    <w:rPr>
      <w:b/>
      <w:sz w:val="28"/>
    </w:rPr>
  </w:style>
  <w:style w:type="character" w:styleId="EndnoteReference">
    <w:name w:val="endnote reference"/>
    <w:aliases w:val="1_G"/>
    <w:basedOn w:val="DefaultParagraphFont"/>
    <w:uiPriority w:val="99"/>
    <w:rsid w:val="000272B3"/>
    <w:rPr>
      <w:rFonts w:ascii="Times New Roman" w:hAnsi="Times New Roman" w:cs="Times New Roman"/>
      <w:sz w:val="18"/>
      <w:vertAlign w:val="superscript"/>
    </w:rPr>
  </w:style>
  <w:style w:type="character" w:styleId="PageNumber">
    <w:name w:val="page number"/>
    <w:aliases w:val="7_G"/>
    <w:basedOn w:val="DefaultParagraphFont"/>
    <w:uiPriority w:val="99"/>
    <w:rsid w:val="000272B3"/>
    <w:rPr>
      <w:rFonts w:ascii="Times New Roman" w:hAnsi="Times New Roman" w:cs="Times New Roman"/>
      <w:b/>
      <w:sz w:val="18"/>
    </w:rPr>
  </w:style>
  <w:style w:type="paragraph" w:customStyle="1" w:styleId="XLargeG">
    <w:name w:val="__XLarge_G"/>
    <w:basedOn w:val="Normal"/>
    <w:next w:val="Normal"/>
    <w:uiPriority w:val="99"/>
    <w:rsid w:val="000272B3"/>
    <w:pPr>
      <w:keepNext/>
      <w:keepLines/>
      <w:spacing w:before="240" w:after="240" w:line="420" w:lineRule="exact"/>
      <w:ind w:left="1134" w:right="1134"/>
    </w:pPr>
    <w:rPr>
      <w:b/>
      <w:sz w:val="40"/>
    </w:rPr>
  </w:style>
  <w:style w:type="paragraph" w:customStyle="1" w:styleId="Bullet1G">
    <w:name w:val="_Bullet 1_G"/>
    <w:basedOn w:val="Normal"/>
    <w:uiPriority w:val="99"/>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character" w:customStyle="1" w:styleId="FooterChar">
    <w:name w:val="Footer Char"/>
    <w:aliases w:val="3_G Char"/>
    <w:basedOn w:val="DefaultParagraphFont"/>
    <w:link w:val="Footer"/>
    <w:uiPriority w:val="99"/>
    <w:semiHidden/>
    <w:rsid w:val="0099069F"/>
    <w:rPr>
      <w:sz w:val="20"/>
      <w:szCs w:val="20"/>
      <w:lang w:val="en-GB" w:eastAsia="en-US"/>
    </w:rPr>
  </w:style>
  <w:style w:type="paragraph" w:customStyle="1" w:styleId="Bullet2G">
    <w:name w:val="_Bullet 2_G"/>
    <w:basedOn w:val="Normal"/>
    <w:uiPriority w:val="99"/>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rsid w:val="000272B3"/>
    <w:pPr>
      <w:keepNext/>
      <w:keepLines/>
      <w:tabs>
        <w:tab w:val="right" w:pos="851"/>
      </w:tabs>
      <w:spacing w:before="240" w:after="120" w:line="240" w:lineRule="exact"/>
      <w:ind w:left="1134" w:right="1134" w:hanging="1134"/>
    </w:pPr>
  </w:style>
  <w:style w:type="character" w:customStyle="1" w:styleId="FootnoteTextChar1">
    <w:name w:val="Footnote Text Char1"/>
    <w:aliases w:val="5_G Char1"/>
    <w:link w:val="FootnoteText"/>
    <w:locked/>
    <w:rsid w:val="008216A5"/>
    <w:rPr>
      <w:rFonts w:eastAsia="SimSun"/>
      <w:sz w:val="18"/>
      <w:szCs w:val="20"/>
      <w:lang w:val="en-GB" w:eastAsia="zh-CN"/>
    </w:rPr>
  </w:style>
  <w:style w:type="character" w:customStyle="1" w:styleId="sb8d990e2">
    <w:name w:val="sb8d990e2"/>
    <w:rsid w:val="001A09DE"/>
  </w:style>
  <w:style w:type="paragraph" w:customStyle="1" w:styleId="Default">
    <w:name w:val="Default"/>
    <w:uiPriority w:val="99"/>
    <w:rsid w:val="00E40420"/>
    <w:pPr>
      <w:autoSpaceDE w:val="0"/>
      <w:autoSpaceDN w:val="0"/>
      <w:adjustRightInd w:val="0"/>
    </w:pPr>
    <w:rPr>
      <w:color w:val="000000"/>
      <w:sz w:val="24"/>
      <w:szCs w:val="24"/>
      <w:lang w:val="en-GB" w:eastAsia="en-GB"/>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locked/>
    <w:rsid w:val="00FF7920"/>
    <w:rPr>
      <w:lang w:val="x-none" w:eastAsia="en-US"/>
    </w:rPr>
  </w:style>
  <w:style w:type="character" w:styleId="CommentReference">
    <w:name w:val="annotation reference"/>
    <w:basedOn w:val="DefaultParagraphFont"/>
    <w:uiPriority w:val="99"/>
    <w:rsid w:val="00161B02"/>
    <w:rPr>
      <w:rFonts w:cs="Times New Roman"/>
      <w:sz w:val="16"/>
    </w:rPr>
  </w:style>
  <w:style w:type="paragraph" w:styleId="CommentText">
    <w:name w:val="annotation text"/>
    <w:basedOn w:val="Normal"/>
    <w:link w:val="CommentTextChar"/>
    <w:uiPriority w:val="99"/>
    <w:rsid w:val="00161B02"/>
  </w:style>
  <w:style w:type="character" w:customStyle="1" w:styleId="CommentTextChar">
    <w:name w:val="Comment Text Char"/>
    <w:basedOn w:val="DefaultParagraphFont"/>
    <w:link w:val="CommentText"/>
    <w:uiPriority w:val="99"/>
    <w:locked/>
    <w:rsid w:val="00161B02"/>
    <w:rPr>
      <w:lang w:val="x-none" w:eastAsia="en-US"/>
    </w:rPr>
  </w:style>
  <w:style w:type="paragraph" w:styleId="CommentSubject">
    <w:name w:val="annotation subject"/>
    <w:basedOn w:val="CommentText"/>
    <w:next w:val="CommentText"/>
    <w:link w:val="CommentSubjectChar"/>
    <w:uiPriority w:val="99"/>
    <w:rsid w:val="00161B02"/>
    <w:rPr>
      <w:b/>
      <w:bCs/>
    </w:rPr>
  </w:style>
  <w:style w:type="character" w:customStyle="1" w:styleId="CommentSubjectChar">
    <w:name w:val="Comment Subject Char"/>
    <w:basedOn w:val="CommentTextChar"/>
    <w:link w:val="CommentSubject"/>
    <w:uiPriority w:val="99"/>
    <w:locked/>
    <w:rsid w:val="00161B02"/>
    <w:rPr>
      <w:b/>
      <w:lang w:val="x-none" w:eastAsia="en-US"/>
    </w:rPr>
  </w:style>
  <w:style w:type="character" w:styleId="FootnoteReference">
    <w:name w:val="footnote reference"/>
    <w:aliases w:val="4_G"/>
    <w:qFormat/>
    <w:locked/>
    <w:rsid w:val="00FB708B"/>
    <w:rPr>
      <w:rFonts w:ascii="Times New Roman" w:hAnsi="Times New Roman"/>
      <w:sz w:val="18"/>
      <w:vertAlign w:val="superscript"/>
    </w:rPr>
  </w:style>
  <w:style w:type="paragraph" w:customStyle="1" w:styleId="SingleTxt">
    <w:name w:val="__Single Txt"/>
    <w:basedOn w:val="Normal"/>
    <w:rsid w:val="00C36CA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paragraph" w:styleId="Revision">
    <w:name w:val="Revision"/>
    <w:hidden/>
    <w:uiPriority w:val="99"/>
    <w:semiHidden/>
    <w:rsid w:val="00AB5D75"/>
    <w:rPr>
      <w:sz w:val="20"/>
      <w:szCs w:val="20"/>
      <w:lang w:val="en-GB" w:eastAsia="en-US"/>
    </w:rPr>
  </w:style>
  <w:style w:type="character" w:customStyle="1" w:styleId="s32a37344">
    <w:name w:val="s32a37344"/>
    <w:rsid w:val="0095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4858">
      <w:marLeft w:val="0"/>
      <w:marRight w:val="0"/>
      <w:marTop w:val="0"/>
      <w:marBottom w:val="0"/>
      <w:divBdr>
        <w:top w:val="none" w:sz="0" w:space="0" w:color="auto"/>
        <w:left w:val="none" w:sz="0" w:space="0" w:color="auto"/>
        <w:bottom w:val="none" w:sz="0" w:space="0" w:color="auto"/>
        <w:right w:val="none" w:sz="0" w:space="0" w:color="auto"/>
      </w:divBdr>
    </w:div>
    <w:div w:id="527064859">
      <w:marLeft w:val="0"/>
      <w:marRight w:val="0"/>
      <w:marTop w:val="0"/>
      <w:marBottom w:val="0"/>
      <w:divBdr>
        <w:top w:val="none" w:sz="0" w:space="0" w:color="auto"/>
        <w:left w:val="none" w:sz="0" w:space="0" w:color="auto"/>
        <w:bottom w:val="none" w:sz="0" w:space="0" w:color="auto"/>
        <w:right w:val="none" w:sz="0" w:space="0" w:color="auto"/>
      </w:divBdr>
      <w:divsChild>
        <w:div w:id="527064865">
          <w:marLeft w:val="0"/>
          <w:marRight w:val="0"/>
          <w:marTop w:val="0"/>
          <w:marBottom w:val="0"/>
          <w:divBdr>
            <w:top w:val="none" w:sz="0" w:space="0" w:color="auto"/>
            <w:left w:val="single" w:sz="6" w:space="0" w:color="414141"/>
            <w:bottom w:val="none" w:sz="0" w:space="0" w:color="auto"/>
            <w:right w:val="single" w:sz="6" w:space="0" w:color="414141"/>
          </w:divBdr>
          <w:divsChild>
            <w:div w:id="527064861">
              <w:marLeft w:val="0"/>
              <w:marRight w:val="0"/>
              <w:marTop w:val="0"/>
              <w:marBottom w:val="0"/>
              <w:divBdr>
                <w:top w:val="none" w:sz="0" w:space="0" w:color="auto"/>
                <w:left w:val="none" w:sz="0" w:space="0" w:color="auto"/>
                <w:bottom w:val="none" w:sz="0" w:space="0" w:color="auto"/>
                <w:right w:val="none" w:sz="0" w:space="0" w:color="auto"/>
              </w:divBdr>
              <w:divsChild>
                <w:div w:id="5270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4860">
      <w:marLeft w:val="0"/>
      <w:marRight w:val="0"/>
      <w:marTop w:val="0"/>
      <w:marBottom w:val="0"/>
      <w:divBdr>
        <w:top w:val="none" w:sz="0" w:space="0" w:color="auto"/>
        <w:left w:val="none" w:sz="0" w:space="0" w:color="auto"/>
        <w:bottom w:val="none" w:sz="0" w:space="0" w:color="auto"/>
        <w:right w:val="none" w:sz="0" w:space="0" w:color="auto"/>
      </w:divBdr>
    </w:div>
    <w:div w:id="527064862">
      <w:marLeft w:val="0"/>
      <w:marRight w:val="0"/>
      <w:marTop w:val="0"/>
      <w:marBottom w:val="0"/>
      <w:divBdr>
        <w:top w:val="none" w:sz="0" w:space="0" w:color="auto"/>
        <w:left w:val="none" w:sz="0" w:space="0" w:color="auto"/>
        <w:bottom w:val="none" w:sz="0" w:space="0" w:color="auto"/>
        <w:right w:val="none" w:sz="0" w:space="0" w:color="auto"/>
      </w:divBdr>
    </w:div>
    <w:div w:id="527064863">
      <w:marLeft w:val="0"/>
      <w:marRight w:val="0"/>
      <w:marTop w:val="0"/>
      <w:marBottom w:val="0"/>
      <w:divBdr>
        <w:top w:val="none" w:sz="0" w:space="0" w:color="auto"/>
        <w:left w:val="none" w:sz="0" w:space="0" w:color="auto"/>
        <w:bottom w:val="none" w:sz="0" w:space="0" w:color="auto"/>
        <w:right w:val="none" w:sz="0" w:space="0" w:color="auto"/>
      </w:divBdr>
    </w:div>
    <w:div w:id="527064864">
      <w:marLeft w:val="0"/>
      <w:marRight w:val="0"/>
      <w:marTop w:val="0"/>
      <w:marBottom w:val="0"/>
      <w:divBdr>
        <w:top w:val="none" w:sz="0" w:space="0" w:color="auto"/>
        <w:left w:val="none" w:sz="0" w:space="0" w:color="auto"/>
        <w:bottom w:val="none" w:sz="0" w:space="0" w:color="auto"/>
        <w:right w:val="none" w:sz="0" w:space="0" w:color="auto"/>
      </w:divBdr>
    </w:div>
    <w:div w:id="527064866">
      <w:marLeft w:val="0"/>
      <w:marRight w:val="0"/>
      <w:marTop w:val="0"/>
      <w:marBottom w:val="0"/>
      <w:divBdr>
        <w:top w:val="none" w:sz="0" w:space="0" w:color="auto"/>
        <w:left w:val="none" w:sz="0" w:space="0" w:color="auto"/>
        <w:bottom w:val="none" w:sz="0" w:space="0" w:color="auto"/>
        <w:right w:val="none" w:sz="0" w:space="0" w:color="auto"/>
      </w:divBdr>
    </w:div>
    <w:div w:id="527064868">
      <w:marLeft w:val="0"/>
      <w:marRight w:val="0"/>
      <w:marTop w:val="0"/>
      <w:marBottom w:val="0"/>
      <w:divBdr>
        <w:top w:val="none" w:sz="0" w:space="0" w:color="auto"/>
        <w:left w:val="none" w:sz="0" w:space="0" w:color="auto"/>
        <w:bottom w:val="none" w:sz="0" w:space="0" w:color="auto"/>
        <w:right w:val="none" w:sz="0" w:space="0" w:color="auto"/>
      </w:divBdr>
    </w:div>
    <w:div w:id="527064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3FBB-4295-42BF-A191-7799E88A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1616056</vt:lpstr>
    </vt:vector>
  </TitlesOfParts>
  <Company>CSD</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1616056</dc:title>
  <dc:subject>CCPR/C/117/D/2093/2011</dc:subject>
  <dc:creator>temp Neogi</dc:creator>
  <cp:keywords/>
  <dc:description/>
  <cp:lastModifiedBy>Sarah Willig</cp:lastModifiedBy>
  <cp:revision>2</cp:revision>
  <cp:lastPrinted>2016-09-19T07:12:00Z</cp:lastPrinted>
  <dcterms:created xsi:type="dcterms:W3CDTF">2017-03-28T18:57:00Z</dcterms:created>
  <dcterms:modified xsi:type="dcterms:W3CDTF">2017-03-28T18:57:00Z</dcterms:modified>
</cp:coreProperties>
</file>