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8216A5" w:rsidP="00684F8A">
            <w:pPr>
              <w:jc w:val="right"/>
            </w:pPr>
            <w:r w:rsidRPr="008216A5">
              <w:rPr>
                <w:sz w:val="40"/>
              </w:rPr>
              <w:t>CCPR</w:t>
            </w:r>
            <w:r>
              <w:t>/C/1</w:t>
            </w:r>
            <w:r w:rsidR="00711F00">
              <w:t>1</w:t>
            </w:r>
            <w:r w:rsidR="00956FE4">
              <w:rPr>
                <w:lang w:val="ru-RU"/>
              </w:rPr>
              <w:t>2</w:t>
            </w:r>
            <w:r w:rsidR="003D047F">
              <w:rPr>
                <w:lang w:val="fr-CH"/>
              </w:rPr>
              <w:t>/</w:t>
            </w:r>
            <w:r>
              <w:t>D/</w:t>
            </w:r>
            <w:r w:rsidR="003134AC">
              <w:t>19</w:t>
            </w:r>
            <w:r w:rsidR="000308D4">
              <w:t>29</w:t>
            </w:r>
            <w:r>
              <w:t>/</w:t>
            </w:r>
            <w:r w:rsidR="000308D4">
              <w:t>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196CA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rsidR="0062786C" w:rsidRPr="0062786C" w:rsidRDefault="0062786C" w:rsidP="00267F5F">
            <w:pPr>
              <w:spacing w:before="120" w:line="380" w:lineRule="exact"/>
              <w:rPr>
                <w:sz w:val="34"/>
              </w:rPr>
            </w:pPr>
          </w:p>
        </w:tc>
        <w:tc>
          <w:tcPr>
            <w:tcW w:w="2835" w:type="dxa"/>
            <w:tcBorders>
              <w:top w:val="single" w:sz="4" w:space="0" w:color="auto"/>
              <w:bottom w:val="single" w:sz="12" w:space="0" w:color="auto"/>
            </w:tcBorders>
          </w:tcPr>
          <w:p w:rsidR="00B56E9C" w:rsidRDefault="008216A5" w:rsidP="008216A5">
            <w:pPr>
              <w:spacing w:before="240" w:line="240" w:lineRule="exact"/>
            </w:pPr>
            <w:r>
              <w:t xml:space="preserve">Distr.: </w:t>
            </w:r>
            <w:r w:rsidR="0062786C">
              <w:t>General</w:t>
            </w:r>
          </w:p>
          <w:p w:rsidR="008216A5" w:rsidRDefault="00BA3D80" w:rsidP="008216A5">
            <w:pPr>
              <w:spacing w:line="240" w:lineRule="exact"/>
            </w:pPr>
            <w:r>
              <w:t>21</w:t>
            </w:r>
            <w:r w:rsidR="0062786C">
              <w:t xml:space="preserve"> November</w:t>
            </w:r>
            <w:r w:rsidR="00EF6C23">
              <w:t xml:space="preserve"> </w:t>
            </w:r>
            <w:r w:rsidR="008216A5">
              <w:t>201</w:t>
            </w:r>
            <w:r w:rsidR="00D06AB9">
              <w:t>4</w:t>
            </w:r>
          </w:p>
          <w:p w:rsidR="008216A5" w:rsidRDefault="008216A5" w:rsidP="008216A5">
            <w:pPr>
              <w:spacing w:line="240" w:lineRule="exact"/>
            </w:pPr>
          </w:p>
          <w:p w:rsidR="008216A5" w:rsidRDefault="008216A5" w:rsidP="008216A5">
            <w:pPr>
              <w:spacing w:line="240" w:lineRule="exact"/>
            </w:pPr>
            <w:r>
              <w:t>Original: English</w:t>
            </w:r>
          </w:p>
        </w:tc>
      </w:tr>
    </w:tbl>
    <w:p w:rsidR="008216A5" w:rsidRPr="008216A5" w:rsidRDefault="008216A5" w:rsidP="008216A5">
      <w:pPr>
        <w:spacing w:before="120"/>
        <w:rPr>
          <w:b/>
          <w:sz w:val="24"/>
          <w:szCs w:val="24"/>
          <w:lang w:val="en-US"/>
        </w:rPr>
      </w:pPr>
      <w:r w:rsidRPr="008216A5">
        <w:rPr>
          <w:b/>
          <w:sz w:val="24"/>
          <w:szCs w:val="24"/>
          <w:lang w:val="en-US"/>
        </w:rPr>
        <w:t>Human Rights Committee</w:t>
      </w:r>
      <w:r w:rsidR="00196CAA">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3134AC" w:rsidRDefault="00F87EC6" w:rsidP="003134AC">
      <w:pPr>
        <w:pStyle w:val="HChG"/>
      </w:pPr>
      <w:r>
        <w:tab/>
      </w:r>
      <w:r>
        <w:tab/>
        <w:t>Communication No. </w:t>
      </w:r>
      <w:r w:rsidR="003134AC">
        <w:t>19</w:t>
      </w:r>
      <w:r w:rsidR="000308D4">
        <w:t>29</w:t>
      </w:r>
      <w:r w:rsidR="003134AC">
        <w:t>/20</w:t>
      </w:r>
      <w:r w:rsidR="000308D4">
        <w:t>10</w:t>
      </w:r>
    </w:p>
    <w:p w:rsidR="003134AC" w:rsidRPr="009E31DB" w:rsidRDefault="003134AC" w:rsidP="003134AC">
      <w:pPr>
        <w:pStyle w:val="H1G"/>
        <w:spacing w:after="600"/>
      </w:pPr>
      <w:r>
        <w:tab/>
      </w:r>
      <w:r>
        <w:tab/>
      </w:r>
      <w:r w:rsidR="0062786C" w:rsidRPr="0062786C">
        <w:rPr>
          <w:rFonts w:eastAsia="MS Mincho"/>
        </w:rPr>
        <w:t>Views adopted by the Committee at its 112th session</w:t>
      </w:r>
      <w:r w:rsidR="0062786C" w:rsidRPr="0062786C">
        <w:rPr>
          <w:rFonts w:eastAsia="MS Mincho"/>
        </w:rPr>
        <w:br/>
        <w:t>(7</w:t>
      </w:r>
      <w:r w:rsidR="00130E81">
        <w:rPr>
          <w:rFonts w:eastAsia="MS Mincho"/>
        </w:rPr>
        <w:t>–</w:t>
      </w:r>
      <w:r w:rsidR="0062786C" w:rsidRPr="0062786C">
        <w:rPr>
          <w:rFonts w:eastAsia="MS Mincho"/>
        </w:rPr>
        <w:t>31 October 2014)</w:t>
      </w:r>
    </w:p>
    <w:p w:rsidR="003134AC" w:rsidRPr="009E31DB" w:rsidRDefault="003134AC" w:rsidP="005F4586">
      <w:pPr>
        <w:pStyle w:val="SingleTxtG"/>
        <w:ind w:left="4536" w:hanging="3402"/>
        <w:jc w:val="left"/>
      </w:pPr>
      <w:r w:rsidRPr="009707F5">
        <w:rPr>
          <w:i/>
        </w:rPr>
        <w:t>Submitted by:</w:t>
      </w:r>
      <w:r w:rsidRPr="009E31DB">
        <w:tab/>
      </w:r>
      <w:r w:rsidR="000308D4">
        <w:t>Sergey Lozenko</w:t>
      </w:r>
      <w:r w:rsidR="00D06AB9">
        <w:t xml:space="preserve"> </w:t>
      </w:r>
      <w:r w:rsidRPr="009E31DB">
        <w:t>(represented by counsel</w:t>
      </w:r>
      <w:r w:rsidR="00AE50CE">
        <w:t>, Roman</w:t>
      </w:r>
      <w:r w:rsidR="005F4586">
        <w:t> </w:t>
      </w:r>
      <w:r w:rsidR="00AE50CE">
        <w:t>Kislyak</w:t>
      </w:r>
      <w:r w:rsidRPr="009E31DB">
        <w:t>)</w:t>
      </w:r>
    </w:p>
    <w:p w:rsidR="003134AC" w:rsidRPr="009E31DB" w:rsidRDefault="003134AC" w:rsidP="003134AC">
      <w:pPr>
        <w:pStyle w:val="SingleTxtG"/>
        <w:ind w:left="4536" w:hanging="3402"/>
      </w:pPr>
      <w:r w:rsidRPr="009707F5">
        <w:rPr>
          <w:i/>
        </w:rPr>
        <w:t>Alleged victim:</w:t>
      </w:r>
      <w:r w:rsidRPr="009E31DB">
        <w:tab/>
        <w:t>The author</w:t>
      </w:r>
    </w:p>
    <w:p w:rsidR="003134AC" w:rsidRPr="009E31DB" w:rsidRDefault="003134AC" w:rsidP="003134AC">
      <w:pPr>
        <w:pStyle w:val="SingleTxtG"/>
        <w:ind w:left="4536" w:hanging="3402"/>
      </w:pPr>
      <w:r w:rsidRPr="009707F5">
        <w:rPr>
          <w:i/>
        </w:rPr>
        <w:t>State party:</w:t>
      </w:r>
      <w:r w:rsidRPr="009E31DB">
        <w:tab/>
      </w:r>
      <w:r>
        <w:t>Belarus</w:t>
      </w:r>
    </w:p>
    <w:p w:rsidR="003134AC" w:rsidRPr="00402884" w:rsidRDefault="003134AC" w:rsidP="003134AC">
      <w:pPr>
        <w:pStyle w:val="SingleTxtG"/>
        <w:ind w:left="4536" w:hanging="3402"/>
        <w:rPr>
          <w:lang w:val="en-US"/>
        </w:rPr>
      </w:pPr>
      <w:r w:rsidRPr="009707F5">
        <w:rPr>
          <w:i/>
        </w:rPr>
        <w:t>Date of communication:</w:t>
      </w:r>
      <w:r w:rsidRPr="009E31DB">
        <w:tab/>
      </w:r>
      <w:r w:rsidR="000308D4">
        <w:t>13 June 2008</w:t>
      </w:r>
      <w:r w:rsidR="000D6775">
        <w:t xml:space="preserve"> (initial submission)</w:t>
      </w:r>
    </w:p>
    <w:p w:rsidR="003134AC" w:rsidRPr="009E31DB" w:rsidRDefault="003134AC" w:rsidP="005F4586">
      <w:pPr>
        <w:pStyle w:val="SingleTxtG"/>
        <w:ind w:left="4536" w:hanging="3402"/>
        <w:jc w:val="left"/>
      </w:pPr>
      <w:r w:rsidRPr="009707F5">
        <w:rPr>
          <w:i/>
        </w:rPr>
        <w:t>Document references:</w:t>
      </w:r>
      <w:r w:rsidRPr="009E31DB">
        <w:tab/>
        <w:t xml:space="preserve">Special Rapporteur’s </w:t>
      </w:r>
      <w:r w:rsidR="00D46C27">
        <w:t>rule</w:t>
      </w:r>
      <w:r w:rsidRPr="009E31DB">
        <w:t xml:space="preserve"> 97 decision, transmitted to the State party on </w:t>
      </w:r>
      <w:r w:rsidR="000308D4">
        <w:t>22 February 2010</w:t>
      </w:r>
      <w:r>
        <w:t xml:space="preserve"> </w:t>
      </w:r>
      <w:r w:rsidRPr="009E31DB">
        <w:t xml:space="preserve">(not issued in </w:t>
      </w:r>
      <w:r>
        <w:t xml:space="preserve">a </w:t>
      </w:r>
      <w:r w:rsidRPr="009E31DB">
        <w:t>document form)</w:t>
      </w:r>
    </w:p>
    <w:p w:rsidR="003134AC" w:rsidRPr="009E31DB" w:rsidRDefault="003134AC" w:rsidP="003134AC">
      <w:pPr>
        <w:pStyle w:val="SingleTxtG"/>
        <w:ind w:left="4536" w:hanging="3402"/>
      </w:pPr>
      <w:r w:rsidRPr="009707F5">
        <w:rPr>
          <w:i/>
        </w:rPr>
        <w:t>Date of adoption of Views:</w:t>
      </w:r>
      <w:r w:rsidRPr="009E31DB">
        <w:tab/>
      </w:r>
      <w:r w:rsidR="0062786C" w:rsidRPr="00130E81">
        <w:rPr>
          <w:lang w:val="en-US"/>
        </w:rPr>
        <w:t>24</w:t>
      </w:r>
      <w:r w:rsidR="0062786C" w:rsidRPr="009E31DB">
        <w:t xml:space="preserve"> </w:t>
      </w:r>
      <w:r w:rsidR="00AE50CE">
        <w:t>October</w:t>
      </w:r>
      <w:r w:rsidRPr="009E31DB">
        <w:t xml:space="preserve"> 201</w:t>
      </w:r>
      <w:r>
        <w:t>4</w:t>
      </w:r>
    </w:p>
    <w:p w:rsidR="003134AC" w:rsidRPr="00A47DF0" w:rsidRDefault="003134AC" w:rsidP="005F4586">
      <w:pPr>
        <w:pStyle w:val="SingleTxtG"/>
        <w:ind w:left="4536" w:hanging="3402"/>
        <w:jc w:val="left"/>
      </w:pPr>
      <w:r w:rsidRPr="009E31DB">
        <w:rPr>
          <w:i/>
          <w:iCs/>
        </w:rPr>
        <w:t>Subject matter:</w:t>
      </w:r>
      <w:r w:rsidRPr="009E31DB">
        <w:tab/>
      </w:r>
      <w:r w:rsidR="003006DE">
        <w:t>Right to freedom of assembly and free speech</w:t>
      </w:r>
    </w:p>
    <w:p w:rsidR="003134AC" w:rsidRPr="00173BAF" w:rsidRDefault="003134AC" w:rsidP="005F4586">
      <w:pPr>
        <w:pStyle w:val="SingleTxtG"/>
        <w:ind w:left="4536" w:hanging="3402"/>
        <w:jc w:val="left"/>
      </w:pPr>
      <w:r w:rsidRPr="00A47DF0">
        <w:rPr>
          <w:i/>
          <w:iCs/>
        </w:rPr>
        <w:t xml:space="preserve">Substantive issues: </w:t>
      </w:r>
      <w:r w:rsidRPr="00A47DF0">
        <w:rPr>
          <w:i/>
          <w:iCs/>
        </w:rPr>
        <w:tab/>
      </w:r>
      <w:r w:rsidR="00173BAF" w:rsidRPr="00173BAF">
        <w:rPr>
          <w:iCs/>
        </w:rPr>
        <w:t>Arbitrary detention</w:t>
      </w:r>
      <w:r w:rsidR="00130E81">
        <w:rPr>
          <w:iCs/>
        </w:rPr>
        <w:t>;</w:t>
      </w:r>
      <w:r w:rsidR="00173BAF" w:rsidRPr="00173BAF">
        <w:rPr>
          <w:iCs/>
        </w:rPr>
        <w:t xml:space="preserve"> fair and public hearing, by an independent</w:t>
      </w:r>
      <w:r w:rsidR="00173BAF">
        <w:rPr>
          <w:iCs/>
        </w:rPr>
        <w:t xml:space="preserve"> and impartial tribunal</w:t>
      </w:r>
      <w:r w:rsidR="00130E81">
        <w:rPr>
          <w:iCs/>
        </w:rPr>
        <w:t>;</w:t>
      </w:r>
      <w:r w:rsidR="00173BAF">
        <w:rPr>
          <w:iCs/>
        </w:rPr>
        <w:t xml:space="preserve"> right to seek, receive and impart information</w:t>
      </w:r>
      <w:r w:rsidR="00130E81">
        <w:rPr>
          <w:iCs/>
        </w:rPr>
        <w:t>;</w:t>
      </w:r>
      <w:r w:rsidR="00173BAF">
        <w:rPr>
          <w:iCs/>
        </w:rPr>
        <w:t xml:space="preserve"> right of peaceful assembly</w:t>
      </w:r>
    </w:p>
    <w:p w:rsidR="003134AC" w:rsidRPr="00A46B9A" w:rsidRDefault="003134AC" w:rsidP="005F4586">
      <w:pPr>
        <w:pStyle w:val="SingleTxtG"/>
        <w:ind w:left="4536" w:hanging="3402"/>
        <w:jc w:val="left"/>
      </w:pPr>
      <w:r w:rsidRPr="009E31DB">
        <w:rPr>
          <w:i/>
          <w:iCs/>
        </w:rPr>
        <w:t>Procedural issue</w:t>
      </w:r>
      <w:r>
        <w:rPr>
          <w:i/>
          <w:iCs/>
        </w:rPr>
        <w:t>s</w:t>
      </w:r>
      <w:r w:rsidRPr="009E31DB">
        <w:rPr>
          <w:i/>
          <w:iCs/>
        </w:rPr>
        <w:t xml:space="preserve">: </w:t>
      </w:r>
      <w:r w:rsidRPr="009E31DB">
        <w:rPr>
          <w:i/>
          <w:iCs/>
        </w:rPr>
        <w:tab/>
      </w:r>
      <w:r w:rsidR="00726A48">
        <w:rPr>
          <w:iCs/>
        </w:rPr>
        <w:t>State party’s failure to cooperate</w:t>
      </w:r>
      <w:r w:rsidR="003006DE">
        <w:rPr>
          <w:iCs/>
        </w:rPr>
        <w:t xml:space="preserve">, </w:t>
      </w:r>
      <w:r w:rsidR="00726A48">
        <w:rPr>
          <w:iCs/>
        </w:rPr>
        <w:t>non-exhaustion of domestic remedies</w:t>
      </w:r>
    </w:p>
    <w:p w:rsidR="003006DE" w:rsidRPr="003006DE" w:rsidRDefault="003134AC" w:rsidP="003134AC">
      <w:pPr>
        <w:pStyle w:val="SingleTxtG"/>
        <w:ind w:left="4536" w:hanging="3402"/>
      </w:pPr>
      <w:r w:rsidRPr="00A46B9A">
        <w:rPr>
          <w:i/>
          <w:iCs/>
        </w:rPr>
        <w:t>Articles of the Covenant:</w:t>
      </w:r>
      <w:r w:rsidRPr="00A46B9A">
        <w:t xml:space="preserve"> </w:t>
      </w:r>
      <w:r w:rsidRPr="00A46B9A">
        <w:tab/>
      </w:r>
      <w:r w:rsidR="003006DE">
        <w:t>9,</w:t>
      </w:r>
      <w:r w:rsidR="003D047F">
        <w:t xml:space="preserve"> </w:t>
      </w:r>
      <w:r w:rsidR="003006DE">
        <w:t>14, 19 and 21</w:t>
      </w:r>
    </w:p>
    <w:p w:rsidR="003134AC" w:rsidRPr="00BA3D80" w:rsidRDefault="003134AC" w:rsidP="003134AC">
      <w:pPr>
        <w:pStyle w:val="SingleTxtG"/>
        <w:ind w:left="4536" w:hanging="3402"/>
        <w:rPr>
          <w:lang w:val="en-US"/>
        </w:rPr>
      </w:pPr>
      <w:r w:rsidRPr="009E31DB">
        <w:rPr>
          <w:i/>
          <w:iCs/>
        </w:rPr>
        <w:t>Art</w:t>
      </w:r>
      <w:r>
        <w:rPr>
          <w:i/>
          <w:iCs/>
        </w:rPr>
        <w:t>icles of the Optional Protocol:</w:t>
      </w:r>
      <w:r w:rsidR="0062786C" w:rsidRPr="00130E81">
        <w:rPr>
          <w:i/>
          <w:iCs/>
          <w:lang w:val="en-US"/>
        </w:rPr>
        <w:tab/>
      </w:r>
      <w:r w:rsidRPr="002575B5">
        <w:rPr>
          <w:iCs/>
        </w:rPr>
        <w:t>2</w:t>
      </w:r>
      <w:r w:rsidR="00130E81">
        <w:rPr>
          <w:iCs/>
          <w:lang w:val="en-US"/>
        </w:rPr>
        <w:t xml:space="preserve"> and</w:t>
      </w:r>
      <w:r w:rsidRPr="002575B5">
        <w:rPr>
          <w:iCs/>
        </w:rPr>
        <w:t xml:space="preserve"> </w:t>
      </w:r>
      <w:r w:rsidR="00A777CF">
        <w:t>5</w:t>
      </w:r>
      <w:r w:rsidR="00A822B6">
        <w:rPr>
          <w:lang w:val="en-US"/>
        </w:rPr>
        <w:t>,</w:t>
      </w:r>
      <w:r w:rsidR="00A777CF">
        <w:t xml:space="preserve"> </w:t>
      </w:r>
      <w:r w:rsidR="00312BBA">
        <w:t>para</w:t>
      </w:r>
      <w:r w:rsidR="00A822B6">
        <w:rPr>
          <w:lang w:val="en-US"/>
        </w:rPr>
        <w:t>graph</w:t>
      </w:r>
      <w:r w:rsidR="00312BBA">
        <w:t> </w:t>
      </w:r>
      <w:r w:rsidR="00A777CF">
        <w:t>2 (b)</w:t>
      </w:r>
    </w:p>
    <w:p w:rsidR="003134AC" w:rsidRPr="009E31DB" w:rsidRDefault="003134AC" w:rsidP="0079337C">
      <w:pPr>
        <w:pStyle w:val="SingleTxtG"/>
        <w:rPr>
          <w:bCs/>
          <w:iCs/>
        </w:rPr>
      </w:pPr>
    </w:p>
    <w:p w:rsidR="003134AC" w:rsidRPr="009E31DB" w:rsidRDefault="003134AC" w:rsidP="003134AC">
      <w:pPr>
        <w:pStyle w:val="HChG"/>
      </w:pPr>
      <w:r w:rsidRPr="009E31DB">
        <w:br w:type="page"/>
      </w:r>
      <w:r w:rsidRPr="009E31DB">
        <w:lastRenderedPageBreak/>
        <w:t>Annex</w:t>
      </w:r>
    </w:p>
    <w:p w:rsidR="003134AC" w:rsidRPr="009E31DB" w:rsidRDefault="003134AC" w:rsidP="003134AC">
      <w:pPr>
        <w:pStyle w:val="HChG"/>
        <w:rPr>
          <w:bCs/>
        </w:rPr>
      </w:pPr>
      <w:r w:rsidRPr="009E31DB">
        <w:tab/>
      </w:r>
      <w:r w:rsidRPr="009E31DB">
        <w:tab/>
        <w:t xml:space="preserve">Views of the Human Rights Committee under </w:t>
      </w:r>
      <w:r w:rsidR="00312BBA">
        <w:t>article </w:t>
      </w:r>
      <w:r w:rsidRPr="009E31DB">
        <w:t xml:space="preserve">5, </w:t>
      </w:r>
      <w:r w:rsidR="00312BBA">
        <w:t>paragraph </w:t>
      </w:r>
      <w:r w:rsidRPr="009E31DB">
        <w:t>4, of the Optional Protocol to the International Covenant on Civil and Political rights (</w:t>
      </w:r>
      <w:r>
        <w:t>11</w:t>
      </w:r>
      <w:r w:rsidR="00D97597">
        <w:t>2</w:t>
      </w:r>
      <w:r>
        <w:t xml:space="preserve">th </w:t>
      </w:r>
      <w:r w:rsidRPr="009E31DB">
        <w:rPr>
          <w:bCs/>
        </w:rPr>
        <w:t>session)</w:t>
      </w:r>
    </w:p>
    <w:p w:rsidR="003134AC" w:rsidRPr="009E31DB" w:rsidRDefault="003134AC" w:rsidP="003134AC">
      <w:pPr>
        <w:pStyle w:val="SingleTxtG"/>
        <w:rPr>
          <w:b/>
          <w:bCs/>
        </w:rPr>
      </w:pPr>
      <w:r w:rsidRPr="009E31DB">
        <w:t>concerning</w:t>
      </w:r>
    </w:p>
    <w:p w:rsidR="003134AC" w:rsidRPr="009E31DB" w:rsidRDefault="003134AC" w:rsidP="003134AC">
      <w:pPr>
        <w:pStyle w:val="H1G"/>
      </w:pPr>
      <w:r w:rsidRPr="009E31DB">
        <w:tab/>
      </w:r>
      <w:r w:rsidRPr="009E31DB">
        <w:tab/>
        <w:t>Communica</w:t>
      </w:r>
      <w:r w:rsidR="00E90F1B">
        <w:t>tion No. </w:t>
      </w:r>
      <w:r>
        <w:t>19</w:t>
      </w:r>
      <w:r w:rsidR="000308D4">
        <w:t>29</w:t>
      </w:r>
      <w:r>
        <w:t>/20</w:t>
      </w:r>
      <w:r w:rsidR="000308D4">
        <w:t>10</w:t>
      </w:r>
      <w:r w:rsidR="0062786C" w:rsidRPr="0079337C">
        <w:rPr>
          <w:rStyle w:val="FootnoteReference"/>
          <w:b w:val="0"/>
          <w:bCs/>
          <w:sz w:val="20"/>
          <w:vertAlign w:val="baseline"/>
        </w:rPr>
        <w:footnoteReference w:customMarkFollows="1" w:id="2"/>
        <w:t>*</w:t>
      </w:r>
    </w:p>
    <w:p w:rsidR="003134AC" w:rsidRDefault="003134AC" w:rsidP="005F4586">
      <w:pPr>
        <w:pStyle w:val="SingleTxtG"/>
        <w:ind w:left="4536" w:hanging="3402"/>
        <w:jc w:val="left"/>
      </w:pPr>
      <w:r w:rsidRPr="009707F5">
        <w:rPr>
          <w:i/>
        </w:rPr>
        <w:t>Submitted by:</w:t>
      </w:r>
      <w:r w:rsidRPr="009E31DB">
        <w:tab/>
      </w:r>
      <w:r w:rsidR="000308D4">
        <w:t>Sergey Lozenko</w:t>
      </w:r>
      <w:r w:rsidRPr="00E76216">
        <w:t xml:space="preserve"> (represented by counsel</w:t>
      </w:r>
      <w:r w:rsidR="00D97597">
        <w:t>, Roman</w:t>
      </w:r>
      <w:r w:rsidR="005F4586">
        <w:t> </w:t>
      </w:r>
      <w:r w:rsidR="00D97597">
        <w:t>Kislyak</w:t>
      </w:r>
      <w:r w:rsidRPr="00E76216">
        <w:t>)</w:t>
      </w:r>
    </w:p>
    <w:p w:rsidR="003134AC" w:rsidRPr="009E31DB" w:rsidRDefault="003134AC" w:rsidP="003134AC">
      <w:pPr>
        <w:pStyle w:val="SingleTxtG"/>
        <w:ind w:left="4536" w:hanging="3402"/>
      </w:pPr>
      <w:r w:rsidRPr="009707F5">
        <w:rPr>
          <w:i/>
        </w:rPr>
        <w:t>Alleged victim:</w:t>
      </w:r>
      <w:r w:rsidRPr="009E31DB">
        <w:tab/>
        <w:t>The author</w:t>
      </w:r>
    </w:p>
    <w:p w:rsidR="003134AC" w:rsidRPr="009E31DB" w:rsidRDefault="003134AC" w:rsidP="003134AC">
      <w:pPr>
        <w:pStyle w:val="SingleTxtG"/>
        <w:ind w:left="4536" w:hanging="3402"/>
      </w:pPr>
      <w:r w:rsidRPr="009707F5">
        <w:rPr>
          <w:i/>
        </w:rPr>
        <w:t>State party:</w:t>
      </w:r>
      <w:r w:rsidRPr="009E31DB">
        <w:tab/>
      </w:r>
      <w:r>
        <w:t>Belarus</w:t>
      </w:r>
    </w:p>
    <w:p w:rsidR="003134AC" w:rsidRPr="009E31DB" w:rsidRDefault="003134AC" w:rsidP="003134AC">
      <w:pPr>
        <w:pStyle w:val="SingleTxtG"/>
        <w:ind w:left="4536" w:hanging="3402"/>
      </w:pPr>
      <w:r w:rsidRPr="009707F5">
        <w:rPr>
          <w:i/>
        </w:rPr>
        <w:t>Date of communication:</w:t>
      </w:r>
      <w:r w:rsidRPr="009E31DB">
        <w:tab/>
      </w:r>
      <w:r w:rsidR="000308D4">
        <w:t>13 June 2008</w:t>
      </w:r>
      <w:r w:rsidRPr="00E76216">
        <w:t xml:space="preserve"> (initial submission)</w:t>
      </w:r>
    </w:p>
    <w:p w:rsidR="003134AC" w:rsidRPr="009E31DB" w:rsidRDefault="003134AC" w:rsidP="003134AC">
      <w:pPr>
        <w:pStyle w:val="SingleTxtG"/>
      </w:pPr>
      <w:r w:rsidRPr="009E31DB">
        <w:tab/>
      </w:r>
      <w:r w:rsidRPr="009707F5">
        <w:rPr>
          <w:i/>
        </w:rPr>
        <w:t>The Human Rights Committee</w:t>
      </w:r>
      <w:r w:rsidRPr="009E31DB">
        <w:t xml:space="preserve">, established under </w:t>
      </w:r>
      <w:r w:rsidR="00312BBA">
        <w:t>article </w:t>
      </w:r>
      <w:r w:rsidRPr="009E31DB">
        <w:t xml:space="preserve">28 of the International Covenant on Civil and Political Rights, </w:t>
      </w:r>
    </w:p>
    <w:p w:rsidR="003134AC" w:rsidRPr="009E31DB" w:rsidRDefault="003134AC" w:rsidP="003134AC">
      <w:pPr>
        <w:pStyle w:val="SingleTxtG"/>
      </w:pPr>
      <w:r w:rsidRPr="009E31DB">
        <w:tab/>
      </w:r>
      <w:r w:rsidRPr="009707F5">
        <w:rPr>
          <w:i/>
        </w:rPr>
        <w:t xml:space="preserve">Meeting </w:t>
      </w:r>
      <w:r w:rsidRPr="0079337C">
        <w:rPr>
          <w:iCs/>
        </w:rPr>
        <w:t>on</w:t>
      </w:r>
      <w:r w:rsidRPr="009E31DB">
        <w:t xml:space="preserve"> </w:t>
      </w:r>
      <w:r w:rsidR="0062786C" w:rsidRPr="00130E81">
        <w:rPr>
          <w:lang w:val="en-US"/>
        </w:rPr>
        <w:t>24</w:t>
      </w:r>
      <w:r w:rsidR="0062786C" w:rsidRPr="009E31DB">
        <w:t xml:space="preserve"> </w:t>
      </w:r>
      <w:r w:rsidR="000308D4">
        <w:t>October</w:t>
      </w:r>
      <w:r w:rsidRPr="009E31DB">
        <w:t xml:space="preserve"> 201</w:t>
      </w:r>
      <w:r>
        <w:t>4</w:t>
      </w:r>
      <w:r w:rsidRPr="009E31DB">
        <w:t>,</w:t>
      </w:r>
    </w:p>
    <w:p w:rsidR="003134AC" w:rsidRPr="009E31DB" w:rsidRDefault="003134AC" w:rsidP="00BA3D80">
      <w:pPr>
        <w:pStyle w:val="SingleTxtG"/>
      </w:pPr>
      <w:r w:rsidRPr="009E31DB">
        <w:tab/>
      </w:r>
      <w:r w:rsidRPr="009707F5">
        <w:rPr>
          <w:i/>
        </w:rPr>
        <w:t>Having concluded</w:t>
      </w:r>
      <w:r w:rsidRPr="009E31DB">
        <w:t xml:space="preserve"> its consideration of communication No.</w:t>
      </w:r>
      <w:r w:rsidR="00312BBA" w:rsidRPr="00130E81">
        <w:rPr>
          <w:lang w:val="en-US"/>
        </w:rPr>
        <w:t> </w:t>
      </w:r>
      <w:r>
        <w:t>19</w:t>
      </w:r>
      <w:r w:rsidR="000308D4">
        <w:t>29</w:t>
      </w:r>
      <w:r>
        <w:t>/20</w:t>
      </w:r>
      <w:r w:rsidR="000308D4">
        <w:t>10</w:t>
      </w:r>
      <w:r w:rsidRPr="009E31DB">
        <w:t xml:space="preserve">, submitted to </w:t>
      </w:r>
      <w:r>
        <w:t xml:space="preserve">the Human Rights Committee by </w:t>
      </w:r>
      <w:r w:rsidR="000308D4">
        <w:t>Sergey Lozenko</w:t>
      </w:r>
      <w:r w:rsidRPr="009E31DB">
        <w:t xml:space="preserve"> under the Optional Protocol to the International Covenant on Civil and Political Rights,</w:t>
      </w:r>
    </w:p>
    <w:p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rsidR="003134AC" w:rsidRPr="009E31DB" w:rsidRDefault="003134AC" w:rsidP="003134AC">
      <w:pPr>
        <w:pStyle w:val="SingleTxtG"/>
      </w:pPr>
      <w:r w:rsidRPr="009E31DB">
        <w:tab/>
      </w:r>
      <w:r w:rsidRPr="009707F5">
        <w:rPr>
          <w:i/>
        </w:rPr>
        <w:t xml:space="preserve">Adopts </w:t>
      </w:r>
      <w:r w:rsidRPr="0079337C">
        <w:rPr>
          <w:iCs/>
        </w:rPr>
        <w:t>the following</w:t>
      </w:r>
      <w:r w:rsidRPr="009E31DB">
        <w:t>:</w:t>
      </w:r>
    </w:p>
    <w:p w:rsidR="003134AC" w:rsidRPr="009E31DB" w:rsidRDefault="003134AC" w:rsidP="003134AC">
      <w:pPr>
        <w:pStyle w:val="H1G"/>
      </w:pPr>
      <w:r w:rsidRPr="009E31DB">
        <w:tab/>
      </w:r>
      <w:r w:rsidRPr="009E31DB">
        <w:tab/>
        <w:t xml:space="preserve">Views under </w:t>
      </w:r>
      <w:r w:rsidR="00312BBA">
        <w:t>article </w:t>
      </w:r>
      <w:r w:rsidRPr="009E31DB">
        <w:t xml:space="preserve">5, </w:t>
      </w:r>
      <w:r w:rsidR="00312BBA">
        <w:t>paragraph </w:t>
      </w:r>
      <w:r w:rsidRPr="009E31DB">
        <w:t>4, of the Optional Protocol</w:t>
      </w:r>
    </w:p>
    <w:p w:rsidR="003134AC" w:rsidRPr="002E0420" w:rsidRDefault="003134AC" w:rsidP="00582FB3">
      <w:pPr>
        <w:pStyle w:val="SingleTxtG"/>
      </w:pPr>
      <w:r w:rsidRPr="002E0420">
        <w:t>1.</w:t>
      </w:r>
      <w:r w:rsidRPr="002E0420">
        <w:tab/>
      </w:r>
      <w:r w:rsidR="00FF4BF4" w:rsidRPr="002E0420">
        <w:t xml:space="preserve">The author </w:t>
      </w:r>
      <w:r w:rsidR="00D30034" w:rsidRPr="002E0420">
        <w:t xml:space="preserve">of the communication is </w:t>
      </w:r>
      <w:r w:rsidR="000308D4" w:rsidRPr="002E0420">
        <w:t xml:space="preserve">Sergey Lozenko, a national of Belarus born in 1979. He claims to be a victim of violation by Belarus of his rights under </w:t>
      </w:r>
      <w:r w:rsidR="00312BBA">
        <w:t>article </w:t>
      </w:r>
      <w:r w:rsidR="000308D4" w:rsidRPr="002E0420">
        <w:t>9</w:t>
      </w:r>
      <w:r w:rsidR="009E604C" w:rsidRPr="002E0420">
        <w:t xml:space="preserve">, </w:t>
      </w:r>
      <w:r w:rsidR="00312BBA">
        <w:t>paragraph </w:t>
      </w:r>
      <w:r w:rsidR="009E604C" w:rsidRPr="002E0420">
        <w:t>1</w:t>
      </w:r>
      <w:r w:rsidR="000308D4" w:rsidRPr="002E0420">
        <w:t xml:space="preserve">, </w:t>
      </w:r>
      <w:r w:rsidR="00312BBA">
        <w:t>article </w:t>
      </w:r>
      <w:r w:rsidR="000308D4" w:rsidRPr="002E0420">
        <w:t>14</w:t>
      </w:r>
      <w:r w:rsidR="009E604C" w:rsidRPr="002E0420">
        <w:t xml:space="preserve">, </w:t>
      </w:r>
      <w:r w:rsidR="00312BBA">
        <w:t>paragraph </w:t>
      </w:r>
      <w:r w:rsidR="009E604C" w:rsidRPr="002E0420">
        <w:t xml:space="preserve">1, </w:t>
      </w:r>
      <w:r w:rsidR="00312BBA">
        <w:t>article </w:t>
      </w:r>
      <w:r w:rsidR="009E604C" w:rsidRPr="002E0420">
        <w:t xml:space="preserve">19, </w:t>
      </w:r>
      <w:r w:rsidR="00312BBA">
        <w:t>paragraph </w:t>
      </w:r>
      <w:r w:rsidR="009E604C" w:rsidRPr="002E0420">
        <w:t>2</w:t>
      </w:r>
      <w:r w:rsidR="00582FB3">
        <w:rPr>
          <w:lang w:val="en-US"/>
        </w:rPr>
        <w:t>,</w:t>
      </w:r>
      <w:r w:rsidR="000308D4" w:rsidRPr="002E0420">
        <w:t xml:space="preserve"> and</w:t>
      </w:r>
      <w:r w:rsidR="009E604C" w:rsidRPr="002E0420">
        <w:t xml:space="preserve"> </w:t>
      </w:r>
      <w:r w:rsidR="00312BBA">
        <w:t>article </w:t>
      </w:r>
      <w:r w:rsidR="000308D4" w:rsidRPr="002E0420">
        <w:t xml:space="preserve">21 </w:t>
      </w:r>
      <w:r w:rsidR="00FF4BF4" w:rsidRPr="002E0420">
        <w:t>of the International Covenant on Civil and Political Rights. The Optional Protocol entered into force for the State party on 30 December 1992. The author is represented</w:t>
      </w:r>
      <w:r w:rsidR="00715DDD" w:rsidRPr="002E0420">
        <w:t xml:space="preserve"> by</w:t>
      </w:r>
      <w:r w:rsidR="00E17C73" w:rsidRPr="002E0420">
        <w:t xml:space="preserve"> counsel, Roman Kislyak</w:t>
      </w:r>
      <w:r w:rsidRPr="002E0420">
        <w:t xml:space="preserve">. </w:t>
      </w:r>
    </w:p>
    <w:p w:rsidR="003134AC" w:rsidRPr="009E31DB" w:rsidRDefault="003134AC" w:rsidP="003134AC">
      <w:pPr>
        <w:pStyle w:val="H23G"/>
      </w:pPr>
      <w:r w:rsidRPr="009E31DB">
        <w:tab/>
      </w:r>
      <w:r w:rsidRPr="009E31DB">
        <w:tab/>
      </w:r>
      <w:r w:rsidR="00E17C73">
        <w:t>Facts as presented by the author</w:t>
      </w:r>
    </w:p>
    <w:p w:rsidR="00DC7425" w:rsidRDefault="00DC7425" w:rsidP="00BA3D80">
      <w:pPr>
        <w:pStyle w:val="SingleTxtG"/>
      </w:pPr>
      <w:r>
        <w:t>2.1</w:t>
      </w:r>
      <w:r>
        <w:tab/>
      </w:r>
      <w:r w:rsidR="002D3481">
        <w:t>The author submits that o</w:t>
      </w:r>
      <w:r>
        <w:t xml:space="preserve">n 19 August 2007, </w:t>
      </w:r>
      <w:r w:rsidR="002D3481">
        <w:t>he</w:t>
      </w:r>
      <w:r>
        <w:t xml:space="preserve"> participated in a meeting of </w:t>
      </w:r>
      <w:r w:rsidR="00507612">
        <w:t>the BNF</w:t>
      </w:r>
      <w:r>
        <w:t xml:space="preserve"> political party</w:t>
      </w:r>
      <w:r w:rsidR="00507612">
        <w:t xml:space="preserve"> (hereinafter – the BNF)</w:t>
      </w:r>
      <w:r>
        <w:t xml:space="preserve"> in the city of Brest.</w:t>
      </w:r>
      <w:r w:rsidR="00507612">
        <w:t xml:space="preserve"> The meeting was held in a bar, where the party was renting the upper floor of the building. The purpose of the meeting was </w:t>
      </w:r>
      <w:r w:rsidR="00507612">
        <w:lastRenderedPageBreak/>
        <w:t>to meet a well-</w:t>
      </w:r>
      <w:r w:rsidR="00906CF5">
        <w:t xml:space="preserve">known writer and activist </w:t>
      </w:r>
      <w:r w:rsidR="00507612">
        <w:t>Pavel Severin</w:t>
      </w:r>
      <w:r w:rsidR="0080727E">
        <w:t>ts</w:t>
      </w:r>
      <w:r w:rsidR="00507612">
        <w:t xml:space="preserve"> and discuss his new book.</w:t>
      </w:r>
      <w:r>
        <w:t xml:space="preserve"> The meeting was interrupted by the police, who entered the meeting room and detained 28</w:t>
      </w:r>
      <w:r w:rsidR="00312BBA" w:rsidRPr="00130E81">
        <w:rPr>
          <w:lang w:val="en-US"/>
        </w:rPr>
        <w:t> </w:t>
      </w:r>
      <w:r>
        <w:t xml:space="preserve">persons, including the author. He was later </w:t>
      </w:r>
      <w:r w:rsidR="00302B85">
        <w:t xml:space="preserve">charged with </w:t>
      </w:r>
      <w:r>
        <w:t>an administrative offence</w:t>
      </w:r>
      <w:r w:rsidR="00507612">
        <w:t xml:space="preserve">. The police claimed that </w:t>
      </w:r>
      <w:r>
        <w:t>he had taken part in a meeting which had been held without</w:t>
      </w:r>
      <w:r w:rsidR="00302B85">
        <w:t xml:space="preserve"> obtaining prior authorization of the</w:t>
      </w:r>
      <w:r>
        <w:t xml:space="preserve"> authorities. </w:t>
      </w:r>
    </w:p>
    <w:p w:rsidR="00DC7425" w:rsidRDefault="00DC7425" w:rsidP="00582FB3">
      <w:pPr>
        <w:pStyle w:val="SingleTxtG"/>
      </w:pPr>
      <w:r>
        <w:t>2.2</w:t>
      </w:r>
      <w:r>
        <w:tab/>
      </w:r>
      <w:r w:rsidR="00186C37">
        <w:t>The author submits that</w:t>
      </w:r>
      <w:r w:rsidR="001443B8">
        <w:rPr>
          <w:lang w:val="en-US"/>
        </w:rPr>
        <w:t>,</w:t>
      </w:r>
      <w:r w:rsidR="00186C37">
        <w:t xml:space="preserve"> l</w:t>
      </w:r>
      <w:r w:rsidR="00302B85">
        <w:t>ater that same day</w:t>
      </w:r>
      <w:r>
        <w:t xml:space="preserve">, </w:t>
      </w:r>
      <w:r w:rsidR="00186C37">
        <w:t>he</w:t>
      </w:r>
      <w:r>
        <w:t xml:space="preserve"> was released without being provided with any documents justifying his detention</w:t>
      </w:r>
      <w:r w:rsidR="00853700" w:rsidRPr="00D443EB">
        <w:t>.</w:t>
      </w:r>
      <w:r>
        <w:t xml:space="preserve"> He claims that this violated the </w:t>
      </w:r>
      <w:r w:rsidR="00DA0FA4">
        <w:rPr>
          <w:snapToGrid w:val="0"/>
        </w:rPr>
        <w:t xml:space="preserve">Procedural Code </w:t>
      </w:r>
      <w:r w:rsidR="00C72218">
        <w:rPr>
          <w:snapToGrid w:val="0"/>
          <w:lang w:val="en-US"/>
        </w:rPr>
        <w:t>for the</w:t>
      </w:r>
      <w:r w:rsidR="00C72218">
        <w:rPr>
          <w:snapToGrid w:val="0"/>
        </w:rPr>
        <w:t xml:space="preserve"> </w:t>
      </w:r>
      <w:r w:rsidR="00C72218">
        <w:rPr>
          <w:snapToGrid w:val="0"/>
          <w:lang w:val="en-US"/>
        </w:rPr>
        <w:t>Enforcement</w:t>
      </w:r>
      <w:r w:rsidR="00C72218">
        <w:rPr>
          <w:snapToGrid w:val="0"/>
        </w:rPr>
        <w:t xml:space="preserve"> </w:t>
      </w:r>
      <w:r w:rsidR="00DA0FA4">
        <w:rPr>
          <w:snapToGrid w:val="0"/>
        </w:rPr>
        <w:t xml:space="preserve">of </w:t>
      </w:r>
      <w:r w:rsidR="00C72218">
        <w:rPr>
          <w:snapToGrid w:val="0"/>
          <w:lang w:val="en-US"/>
        </w:rPr>
        <w:t>A</w:t>
      </w:r>
      <w:r w:rsidR="00DA0FA4">
        <w:rPr>
          <w:snapToGrid w:val="0"/>
        </w:rPr>
        <w:t xml:space="preserve">dministrative </w:t>
      </w:r>
      <w:r w:rsidR="00C72218">
        <w:rPr>
          <w:snapToGrid w:val="0"/>
          <w:lang w:val="en-US"/>
        </w:rPr>
        <w:t>Penalties</w:t>
      </w:r>
      <w:r w:rsidR="00C72218">
        <w:t xml:space="preserve"> </w:t>
      </w:r>
      <w:r w:rsidR="00F87EC6">
        <w:t xml:space="preserve">since his detention for </w:t>
      </w:r>
      <w:r w:rsidR="00C72218">
        <w:rPr>
          <w:lang w:val="en-US"/>
        </w:rPr>
        <w:t>five and a half</w:t>
      </w:r>
      <w:r w:rsidR="00F87EC6" w:rsidRPr="00130E81">
        <w:rPr>
          <w:lang w:val="en-US"/>
        </w:rPr>
        <w:t> </w:t>
      </w:r>
      <w:r>
        <w:t>hours has not been officially documented. He claims that some of the other participants at the same meeting had been released immediately without any charges.</w:t>
      </w:r>
    </w:p>
    <w:p w:rsidR="00F6303A" w:rsidRDefault="00DC7425" w:rsidP="008468CE">
      <w:pPr>
        <w:pStyle w:val="SingleTxtG"/>
      </w:pPr>
      <w:r>
        <w:t>2.3</w:t>
      </w:r>
      <w:r>
        <w:tab/>
        <w:t xml:space="preserve">On 7 September 2007, the author’s case was heard by the Moscow </w:t>
      </w:r>
      <w:r w:rsidR="00C72218">
        <w:t xml:space="preserve">District Court </w:t>
      </w:r>
      <w:r>
        <w:t>of</w:t>
      </w:r>
      <w:r w:rsidR="00302B85">
        <w:t xml:space="preserve"> the city of</w:t>
      </w:r>
      <w:r>
        <w:t xml:space="preserve"> Brest. The court </w:t>
      </w:r>
      <w:r w:rsidR="00302B85">
        <w:t xml:space="preserve">sentenced the author to an administrative fine in the amount of </w:t>
      </w:r>
      <w:r w:rsidR="00507612">
        <w:t>62</w:t>
      </w:r>
      <w:r w:rsidR="003D047F">
        <w:t>,</w:t>
      </w:r>
      <w:r w:rsidR="00F87EC6">
        <w:t>000</w:t>
      </w:r>
      <w:r w:rsidR="00F87EC6" w:rsidRPr="00130E81">
        <w:rPr>
          <w:lang w:val="en-US"/>
        </w:rPr>
        <w:t> </w:t>
      </w:r>
      <w:r w:rsidR="00507612">
        <w:t>Belarus</w:t>
      </w:r>
      <w:r w:rsidR="00587219">
        <w:rPr>
          <w:lang w:val="en-US"/>
        </w:rPr>
        <w:t>ian</w:t>
      </w:r>
      <w:r w:rsidR="00507612">
        <w:t xml:space="preserve"> r</w:t>
      </w:r>
      <w:r w:rsidR="00587219">
        <w:rPr>
          <w:lang w:val="en-US"/>
        </w:rPr>
        <w:t>o</w:t>
      </w:r>
      <w:r w:rsidR="00507612">
        <w:t>ubles</w:t>
      </w:r>
      <w:r w:rsidR="00853700" w:rsidRPr="00D443EB">
        <w:t>.</w:t>
      </w:r>
      <w:r w:rsidR="00302B85">
        <w:t xml:space="preserve"> The court, in its decision, stated that the author</w:t>
      </w:r>
      <w:r w:rsidR="00587219">
        <w:rPr>
          <w:lang w:val="en-US"/>
        </w:rPr>
        <w:t xml:space="preserve"> had</w:t>
      </w:r>
      <w:r w:rsidR="00302B85">
        <w:t xml:space="preserve"> participated in </w:t>
      </w:r>
      <w:r w:rsidR="00F6303A">
        <w:t xml:space="preserve">an unauthorized public event, in violation of </w:t>
      </w:r>
      <w:r w:rsidR="00312BBA">
        <w:t>article </w:t>
      </w:r>
      <w:r w:rsidR="00F6303A">
        <w:t>23.34</w:t>
      </w:r>
      <w:r w:rsidR="00332516">
        <w:t xml:space="preserve">, </w:t>
      </w:r>
      <w:r w:rsidR="00312BBA">
        <w:t>paragraph </w:t>
      </w:r>
      <w:r w:rsidR="00332516">
        <w:t>1,</w:t>
      </w:r>
      <w:r w:rsidR="00F6303A">
        <w:t xml:space="preserve"> of the </w:t>
      </w:r>
      <w:r w:rsidR="00587219">
        <w:rPr>
          <w:lang w:val="en-US"/>
        </w:rPr>
        <w:t>C</w:t>
      </w:r>
      <w:r w:rsidR="00F6303A">
        <w:t xml:space="preserve">ode of </w:t>
      </w:r>
      <w:r w:rsidR="003630C4">
        <w:rPr>
          <w:lang w:val="en-US"/>
        </w:rPr>
        <w:t>A</w:t>
      </w:r>
      <w:r w:rsidR="00F6303A">
        <w:t xml:space="preserve">dministrative </w:t>
      </w:r>
      <w:r w:rsidR="003630C4">
        <w:rPr>
          <w:lang w:val="en-US"/>
        </w:rPr>
        <w:t>O</w:t>
      </w:r>
      <w:r w:rsidR="00F6303A">
        <w:t xml:space="preserve">ffences of Belarus. The court also stated that the author was summoned to the court hearing, but failed to appear, and asked the court to consider the case in his absence. </w:t>
      </w:r>
    </w:p>
    <w:p w:rsidR="0080727E" w:rsidRDefault="00DC7425" w:rsidP="002E0420">
      <w:pPr>
        <w:pStyle w:val="SingleTxtG"/>
      </w:pPr>
      <w:r>
        <w:t>2.4</w:t>
      </w:r>
      <w:r>
        <w:tab/>
      </w:r>
      <w:r w:rsidR="00F6303A">
        <w:t>The author submits that</w:t>
      </w:r>
      <w:r w:rsidR="003630C4">
        <w:rPr>
          <w:lang w:val="en-US"/>
        </w:rPr>
        <w:t>,</w:t>
      </w:r>
      <w:r w:rsidR="00F6303A">
        <w:t xml:space="preserve"> o</w:t>
      </w:r>
      <w:r>
        <w:t xml:space="preserve">n 18 September 2007, he appealed the decision to the Brest </w:t>
      </w:r>
      <w:r w:rsidR="0072768C">
        <w:rPr>
          <w:lang w:val="en-US"/>
        </w:rPr>
        <w:t>R</w:t>
      </w:r>
      <w:r>
        <w:t xml:space="preserve">egional </w:t>
      </w:r>
      <w:r w:rsidR="0072768C">
        <w:rPr>
          <w:lang w:val="en-US"/>
        </w:rPr>
        <w:t>C</w:t>
      </w:r>
      <w:r>
        <w:t>ourt</w:t>
      </w:r>
      <w:r w:rsidR="00F6303A">
        <w:t xml:space="preserve">, arguing that he was not participating in a “public event”, but that rather, it was a meeting of the BNF, to meet with a well-known writer. The author further claims that his detention was arbitrary, because several </w:t>
      </w:r>
      <w:r w:rsidR="00100087">
        <w:t>people</w:t>
      </w:r>
      <w:r w:rsidR="00F6303A">
        <w:t xml:space="preserve"> who were arrested were released without any charges. The author further submits that he was informed of the time and place for the administrative hearing, but the notice was given to him by a police officer, instead of a court clerk. The author submits that this proves that courts in Belarus are not independent</w:t>
      </w:r>
      <w:r w:rsidR="0072768C">
        <w:rPr>
          <w:lang w:val="en-US"/>
        </w:rPr>
        <w:t>,</w:t>
      </w:r>
      <w:r w:rsidR="00F6303A">
        <w:t xml:space="preserve"> and therefore he did</w:t>
      </w:r>
      <w:r w:rsidR="004C2D3A">
        <w:t xml:space="preserve"> not</w:t>
      </w:r>
      <w:r w:rsidR="00F6303A">
        <w:t xml:space="preserve"> participate in the court hearing.</w:t>
      </w:r>
    </w:p>
    <w:p w:rsidR="00DC7425" w:rsidRDefault="0080727E" w:rsidP="00312BBA">
      <w:pPr>
        <w:pStyle w:val="SingleTxtG"/>
      </w:pPr>
      <w:r>
        <w:t>2.5</w:t>
      </w:r>
      <w:r>
        <w:tab/>
        <w:t>The author further submits that</w:t>
      </w:r>
      <w:r w:rsidR="0072768C">
        <w:rPr>
          <w:lang w:val="en-US"/>
        </w:rPr>
        <w:t>,</w:t>
      </w:r>
      <w:r>
        <w:t xml:space="preserve"> on 11 October 2007, the Brest </w:t>
      </w:r>
      <w:r w:rsidR="0072768C">
        <w:rPr>
          <w:lang w:val="en-US"/>
        </w:rPr>
        <w:t>R</w:t>
      </w:r>
      <w:r>
        <w:t xml:space="preserve">egional </w:t>
      </w:r>
      <w:r w:rsidR="0072768C">
        <w:rPr>
          <w:lang w:val="en-US"/>
        </w:rPr>
        <w:t>C</w:t>
      </w:r>
      <w:r>
        <w:t xml:space="preserve">ourt </w:t>
      </w:r>
      <w:r w:rsidR="00DC7425">
        <w:t>upheld the decision of the first instance court.</w:t>
      </w:r>
      <w:r w:rsidR="00302B85">
        <w:t xml:space="preserve"> The regional cou</w:t>
      </w:r>
      <w:r>
        <w:t xml:space="preserve">rt confirmed that the author was participating in an unauthorized public event, which was proved by testimonies of two witnesses. </w:t>
      </w:r>
      <w:r w:rsidR="00100087">
        <w:t xml:space="preserve">Instead of a stated reason of a meeting of the political party, the participants were collecting signatures to repeal the </w:t>
      </w:r>
      <w:r w:rsidR="0072768C">
        <w:rPr>
          <w:lang w:val="en-US"/>
        </w:rPr>
        <w:t>L</w:t>
      </w:r>
      <w:r w:rsidR="00100087">
        <w:t xml:space="preserve">aw </w:t>
      </w:r>
      <w:r w:rsidR="0072768C">
        <w:rPr>
          <w:lang w:val="en-US"/>
        </w:rPr>
        <w:t>o</w:t>
      </w:r>
      <w:r w:rsidR="00FB0BB9">
        <w:t xml:space="preserve">n Freedom of Conscience and Religion. </w:t>
      </w:r>
      <w:r w:rsidR="00906CF5">
        <w:t>On 11</w:t>
      </w:r>
      <w:r w:rsidR="00906CF5" w:rsidRPr="00130E81">
        <w:rPr>
          <w:lang w:val="en-US"/>
        </w:rPr>
        <w:t> </w:t>
      </w:r>
      <w:r w:rsidR="00DC7425">
        <w:t xml:space="preserve">April 2008, the </w:t>
      </w:r>
      <w:r w:rsidR="00DC7425" w:rsidRPr="00EF6C23">
        <w:t xml:space="preserve">author </w:t>
      </w:r>
      <w:r w:rsidR="00EF6C23" w:rsidRPr="00EF6C23">
        <w:t xml:space="preserve">complained against </w:t>
      </w:r>
      <w:r w:rsidRPr="00EF6C23">
        <w:t>this decision</w:t>
      </w:r>
      <w:r w:rsidR="00DC7425" w:rsidRPr="00EF6C23">
        <w:t xml:space="preserve"> </w:t>
      </w:r>
      <w:r w:rsidR="00EF6C23" w:rsidRPr="00EF6C23">
        <w:t>under th</w:t>
      </w:r>
      <w:r w:rsidR="00EF6C23">
        <w:t>e</w:t>
      </w:r>
      <w:r w:rsidR="00EF6C23" w:rsidRPr="00EF6C23">
        <w:t xml:space="preserve"> supervisory review proceedings </w:t>
      </w:r>
      <w:r w:rsidR="00DC7425" w:rsidRPr="00EF6C23">
        <w:t>to the Chair o</w:t>
      </w:r>
      <w:r w:rsidR="00DC7425">
        <w:t>f the Supreme Court</w:t>
      </w:r>
      <w:r>
        <w:t xml:space="preserve"> of Belarus</w:t>
      </w:r>
      <w:r w:rsidR="00DC7425">
        <w:t>, who rejected his appeal on 17</w:t>
      </w:r>
      <w:r w:rsidR="00312BBA" w:rsidRPr="00130E81">
        <w:rPr>
          <w:lang w:val="en-US"/>
        </w:rPr>
        <w:t> </w:t>
      </w:r>
      <w:r w:rsidR="00DC7425">
        <w:t>May 2008.</w:t>
      </w:r>
      <w:r w:rsidR="00302B85">
        <w:t xml:space="preserve"> The author therefore contends that he has exhausted all available and effective domestic remedies. </w:t>
      </w:r>
    </w:p>
    <w:p w:rsidR="003134AC" w:rsidRDefault="007B3302" w:rsidP="007B3302">
      <w:pPr>
        <w:pStyle w:val="H23G"/>
      </w:pPr>
      <w:r>
        <w:tab/>
      </w:r>
      <w:r>
        <w:tab/>
      </w:r>
      <w:r w:rsidR="003134AC" w:rsidRPr="009666E1">
        <w:t>The complaint</w:t>
      </w:r>
    </w:p>
    <w:p w:rsidR="00DC7425" w:rsidRDefault="002D3481" w:rsidP="002E0420">
      <w:pPr>
        <w:pStyle w:val="SingleTxtG"/>
      </w:pPr>
      <w:r>
        <w:t>3.1</w:t>
      </w:r>
      <w:r>
        <w:tab/>
      </w:r>
      <w:r w:rsidR="00DC7425">
        <w:t>The author claims that his detention was arbitrary as it was not documented anywhere</w:t>
      </w:r>
      <w:r w:rsidR="004C2D3A">
        <w:t>,</w:t>
      </w:r>
      <w:r w:rsidR="00DC7425">
        <w:t xml:space="preserve"> in violation of </w:t>
      </w:r>
      <w:r w:rsidR="00312BBA">
        <w:t>article </w:t>
      </w:r>
      <w:r w:rsidR="00DC7425">
        <w:t xml:space="preserve">9, </w:t>
      </w:r>
      <w:r w:rsidR="00312BBA">
        <w:t>paragraph </w:t>
      </w:r>
      <w:r w:rsidR="00DC7425">
        <w:t>1</w:t>
      </w:r>
      <w:r w:rsidR="0072768C">
        <w:rPr>
          <w:lang w:val="en-US"/>
        </w:rPr>
        <w:t>,</w:t>
      </w:r>
      <w:r w:rsidR="00DC7425">
        <w:t xml:space="preserve"> of the Covenant. </w:t>
      </w:r>
      <w:r w:rsidR="00FB0BB9">
        <w:t>He further claims that not everyone was charged with an administrative office, and only</w:t>
      </w:r>
      <w:r w:rsidR="00DC7425">
        <w:t xml:space="preserve"> those who </w:t>
      </w:r>
      <w:r w:rsidR="003D047F">
        <w:t xml:space="preserve">were </w:t>
      </w:r>
      <w:r w:rsidR="00DC7425">
        <w:t>members of opposition parties or opposition activists</w:t>
      </w:r>
      <w:r w:rsidR="00FB0BB9">
        <w:t xml:space="preserve"> were targeted</w:t>
      </w:r>
      <w:r w:rsidR="00DC7425">
        <w:t>.</w:t>
      </w:r>
    </w:p>
    <w:p w:rsidR="00DC7425" w:rsidRDefault="002D3481" w:rsidP="002E0420">
      <w:pPr>
        <w:pStyle w:val="SingleTxtG"/>
      </w:pPr>
      <w:r>
        <w:t>3.2</w:t>
      </w:r>
      <w:r>
        <w:tab/>
      </w:r>
      <w:r w:rsidR="00DC7425">
        <w:t xml:space="preserve">The author claims that he was not properly informed of the date of the hearing of his case since it was the police officers who were responsible for delivering the court correspondence rather </w:t>
      </w:r>
      <w:r w:rsidR="00FB0BB9">
        <w:t>than</w:t>
      </w:r>
      <w:r w:rsidR="00DC7425">
        <w:t xml:space="preserve"> the court st</w:t>
      </w:r>
      <w:r w:rsidR="004C2D3A">
        <w:t>aff. He claims that this shows</w:t>
      </w:r>
      <w:r w:rsidR="00DC7425">
        <w:t xml:space="preserve"> lack of independence of the judiciary from the executive authorities. </w:t>
      </w:r>
      <w:r w:rsidR="00FB0BB9">
        <w:t>He claims that the court was</w:t>
      </w:r>
      <w:r w:rsidR="004C2D3A">
        <w:t xml:space="preserve"> not</w:t>
      </w:r>
      <w:r w:rsidR="00DC7425">
        <w:t xml:space="preserve"> independent or impartial, in violation of his rights under </w:t>
      </w:r>
      <w:r w:rsidR="00312BBA">
        <w:t>article </w:t>
      </w:r>
      <w:r w:rsidR="00DC7425">
        <w:t xml:space="preserve">14, </w:t>
      </w:r>
      <w:r w:rsidR="00312BBA">
        <w:t>paragraph </w:t>
      </w:r>
      <w:r w:rsidR="00DC7425">
        <w:t>1, of the Covenant.</w:t>
      </w:r>
    </w:p>
    <w:p w:rsidR="00DC7425" w:rsidRDefault="002D3481" w:rsidP="00BA3D80">
      <w:pPr>
        <w:pStyle w:val="SingleTxtG"/>
        <w:rPr>
          <w:b/>
          <w:bCs/>
        </w:rPr>
      </w:pPr>
      <w:r>
        <w:t>3.3</w:t>
      </w:r>
      <w:r>
        <w:tab/>
      </w:r>
      <w:r w:rsidR="00DC7425">
        <w:t xml:space="preserve">The author was convicted for violating the </w:t>
      </w:r>
      <w:r w:rsidR="0072768C">
        <w:rPr>
          <w:lang w:val="en-US"/>
        </w:rPr>
        <w:t>L</w:t>
      </w:r>
      <w:r w:rsidR="00DC7425">
        <w:t xml:space="preserve">aw </w:t>
      </w:r>
      <w:r w:rsidR="0072768C">
        <w:rPr>
          <w:lang w:val="en-US"/>
        </w:rPr>
        <w:t>o</w:t>
      </w:r>
      <w:r w:rsidR="00DC7425">
        <w:t xml:space="preserve">n </w:t>
      </w:r>
      <w:r w:rsidR="0072768C">
        <w:rPr>
          <w:lang w:val="en-US"/>
        </w:rPr>
        <w:t>P</w:t>
      </w:r>
      <w:r w:rsidR="00DC7425">
        <w:t xml:space="preserve">ublic </w:t>
      </w:r>
      <w:r w:rsidR="0072768C">
        <w:rPr>
          <w:lang w:val="en-US"/>
        </w:rPr>
        <w:t>E</w:t>
      </w:r>
      <w:r w:rsidR="00DC7425">
        <w:t>vents. He claims th</w:t>
      </w:r>
      <w:r w:rsidR="00906CF5">
        <w:t>at section</w:t>
      </w:r>
      <w:r w:rsidR="00906CF5" w:rsidRPr="00130E81">
        <w:rPr>
          <w:lang w:val="en-US"/>
        </w:rPr>
        <w:t> </w:t>
      </w:r>
      <w:r w:rsidR="00332516">
        <w:t xml:space="preserve">3, </w:t>
      </w:r>
      <w:r w:rsidR="00312BBA">
        <w:t>paragraph </w:t>
      </w:r>
      <w:r w:rsidR="00332516">
        <w:t>2</w:t>
      </w:r>
      <w:r w:rsidR="0072768C">
        <w:rPr>
          <w:lang w:val="en-US"/>
        </w:rPr>
        <w:t>,</w:t>
      </w:r>
      <w:r w:rsidR="00332516">
        <w:t xml:space="preserve"> of th</w:t>
      </w:r>
      <w:r w:rsidR="0072768C">
        <w:rPr>
          <w:lang w:val="en-US"/>
        </w:rPr>
        <w:t>at</w:t>
      </w:r>
      <w:r w:rsidR="00DC7425">
        <w:t xml:space="preserve"> law states that it does not apply to public events organized and conducted by trade unions, political parties, unions of employees</w:t>
      </w:r>
      <w:r w:rsidR="0072768C">
        <w:rPr>
          <w:lang w:val="en-US"/>
        </w:rPr>
        <w:t xml:space="preserve"> and</w:t>
      </w:r>
      <w:r w:rsidR="00DC7425">
        <w:t xml:space="preserve"> religious and other organizations</w:t>
      </w:r>
      <w:r w:rsidR="00332516">
        <w:t xml:space="preserve">. </w:t>
      </w:r>
      <w:r w:rsidR="004C2D3A">
        <w:t>The author claims that t</w:t>
      </w:r>
      <w:r w:rsidR="00332516">
        <w:t xml:space="preserve">he interruption of the meeting by police </w:t>
      </w:r>
      <w:r w:rsidR="00332516">
        <w:lastRenderedPageBreak/>
        <w:t>officer</w:t>
      </w:r>
      <w:r w:rsidR="00447237">
        <w:t>s</w:t>
      </w:r>
      <w:r w:rsidR="00332516">
        <w:t xml:space="preserve"> and subsequent administrative charges violated </w:t>
      </w:r>
      <w:r w:rsidR="004C2D3A">
        <w:t>his</w:t>
      </w:r>
      <w:r w:rsidR="00332516">
        <w:t xml:space="preserve"> rights under </w:t>
      </w:r>
      <w:r w:rsidR="00312BBA">
        <w:t>article</w:t>
      </w:r>
      <w:r w:rsidR="00F87EC6" w:rsidRPr="00130E81">
        <w:rPr>
          <w:lang w:val="en-US"/>
        </w:rPr>
        <w:t>s</w:t>
      </w:r>
      <w:r w:rsidR="00312BBA">
        <w:t> </w:t>
      </w:r>
      <w:r w:rsidR="00332516">
        <w:t>19 and 21 of the Covenant.</w:t>
      </w:r>
    </w:p>
    <w:p w:rsidR="008F02E2" w:rsidRDefault="007B3302" w:rsidP="007B3302">
      <w:pPr>
        <w:pStyle w:val="H23G"/>
      </w:pPr>
      <w:r>
        <w:tab/>
      </w:r>
      <w:r>
        <w:tab/>
      </w:r>
      <w:r w:rsidR="00906CF5">
        <w:t>State party’</w:t>
      </w:r>
      <w:r w:rsidR="003134AC" w:rsidRPr="00574BC4">
        <w:t xml:space="preserve">s observations on </w:t>
      </w:r>
      <w:r w:rsidR="008F02E2">
        <w:t>admissibility and merits</w:t>
      </w:r>
    </w:p>
    <w:p w:rsidR="008F02E2" w:rsidRDefault="00307164" w:rsidP="00BA3D80">
      <w:pPr>
        <w:pStyle w:val="SingleTxtG"/>
        <w:rPr>
          <w:snapToGrid w:val="0"/>
        </w:rPr>
      </w:pPr>
      <w:r w:rsidRPr="006C6C87">
        <w:t>4.1</w:t>
      </w:r>
      <w:r w:rsidRPr="006C6C87">
        <w:tab/>
        <w:t>On</w:t>
      </w:r>
      <w:r w:rsidR="008F02E2">
        <w:t xml:space="preserve"> 8 July 2010, </w:t>
      </w:r>
      <w:r w:rsidR="009F2B34">
        <w:t>t</w:t>
      </w:r>
      <w:r w:rsidR="009F2B34" w:rsidRPr="00B94530">
        <w:t xml:space="preserve">he State party </w:t>
      </w:r>
      <w:r w:rsidR="009F2B34">
        <w:t xml:space="preserve">challenged the </w:t>
      </w:r>
      <w:r w:rsidR="009F2B34" w:rsidRPr="00B94530">
        <w:t>admissibility</w:t>
      </w:r>
      <w:r w:rsidR="009F2B34">
        <w:t xml:space="preserve"> of the communication arguing that the communication was brought </w:t>
      </w:r>
      <w:r w:rsidR="0072768C">
        <w:t xml:space="preserve">to the Committee </w:t>
      </w:r>
      <w:r w:rsidR="009F2B34">
        <w:t xml:space="preserve">by a third party, and not the individual himself, as required by </w:t>
      </w:r>
      <w:r w:rsidR="00312BBA">
        <w:t>article </w:t>
      </w:r>
      <w:r w:rsidR="009F2B34">
        <w:t>1 of the Optional Protocol to the Covenant</w:t>
      </w:r>
      <w:r w:rsidR="009F2B34">
        <w:rPr>
          <w:snapToGrid w:val="0"/>
        </w:rPr>
        <w:t>. The State party submits that the Committee does</w:t>
      </w:r>
      <w:r w:rsidR="0072768C">
        <w:rPr>
          <w:snapToGrid w:val="0"/>
        </w:rPr>
        <w:t xml:space="preserve"> </w:t>
      </w:r>
      <w:r w:rsidR="009F2B34">
        <w:rPr>
          <w:snapToGrid w:val="0"/>
        </w:rPr>
        <w:t>n</w:t>
      </w:r>
      <w:r w:rsidR="0072768C">
        <w:rPr>
          <w:snapToGrid w:val="0"/>
        </w:rPr>
        <w:t>o</w:t>
      </w:r>
      <w:r w:rsidR="009F2B34">
        <w:rPr>
          <w:snapToGrid w:val="0"/>
        </w:rPr>
        <w:t>t have the competence to consider communications submitted by</w:t>
      </w:r>
      <w:r w:rsidR="00FB0BB9">
        <w:rPr>
          <w:snapToGrid w:val="0"/>
        </w:rPr>
        <w:t xml:space="preserve"> </w:t>
      </w:r>
      <w:r w:rsidR="009F2B34">
        <w:rPr>
          <w:snapToGrid w:val="0"/>
        </w:rPr>
        <w:t xml:space="preserve">third parties. </w:t>
      </w:r>
    </w:p>
    <w:p w:rsidR="009F2B34" w:rsidRDefault="009F2B34" w:rsidP="00582FB3">
      <w:pPr>
        <w:pStyle w:val="SingleTxtG"/>
        <w:rPr>
          <w:snapToGrid w:val="0"/>
        </w:rPr>
      </w:pPr>
      <w:r>
        <w:rPr>
          <w:snapToGrid w:val="0"/>
        </w:rPr>
        <w:t>4.2</w:t>
      </w:r>
      <w:r>
        <w:rPr>
          <w:snapToGrid w:val="0"/>
        </w:rPr>
        <w:tab/>
        <w:t xml:space="preserve">Regarding the merits of the communication, the State party submits that the author was arrested on 19 August 2007 only because he was participating in an unauthorized gathering, in violation of </w:t>
      </w:r>
      <w:r w:rsidR="0072768C">
        <w:rPr>
          <w:snapToGrid w:val="0"/>
        </w:rPr>
        <w:t xml:space="preserve">article 23.34, paragraph 1, of </w:t>
      </w:r>
      <w:r>
        <w:rPr>
          <w:snapToGrid w:val="0"/>
        </w:rPr>
        <w:t xml:space="preserve">the </w:t>
      </w:r>
      <w:r w:rsidR="0072768C">
        <w:rPr>
          <w:snapToGrid w:val="0"/>
        </w:rPr>
        <w:t>C</w:t>
      </w:r>
      <w:r>
        <w:rPr>
          <w:snapToGrid w:val="0"/>
        </w:rPr>
        <w:t xml:space="preserve">ode of </w:t>
      </w:r>
      <w:r w:rsidR="0072768C">
        <w:rPr>
          <w:snapToGrid w:val="0"/>
        </w:rPr>
        <w:t>A</w:t>
      </w:r>
      <w:r>
        <w:rPr>
          <w:snapToGrid w:val="0"/>
        </w:rPr>
        <w:t xml:space="preserve">dministrative </w:t>
      </w:r>
      <w:r w:rsidR="0072768C">
        <w:rPr>
          <w:snapToGrid w:val="0"/>
        </w:rPr>
        <w:t>O</w:t>
      </w:r>
      <w:r>
        <w:rPr>
          <w:snapToGrid w:val="0"/>
        </w:rPr>
        <w:t xml:space="preserve">ffences. The State party submits that the author failed to follow relevant laws and regulations, which require the organizers to obtain an authorization before holding a “mass event or protest”. </w:t>
      </w:r>
    </w:p>
    <w:p w:rsidR="001E06D9" w:rsidRDefault="009F2B34" w:rsidP="008468CE">
      <w:pPr>
        <w:pStyle w:val="SingleTxtG"/>
        <w:rPr>
          <w:snapToGrid w:val="0"/>
        </w:rPr>
      </w:pPr>
      <w:r>
        <w:rPr>
          <w:snapToGrid w:val="0"/>
        </w:rPr>
        <w:t>4.3</w:t>
      </w:r>
      <w:r>
        <w:rPr>
          <w:snapToGrid w:val="0"/>
        </w:rPr>
        <w:tab/>
        <w:t xml:space="preserve">The State party therefore submits that the actions by the police officers to disrupt the unauthorized event were fully justified. </w:t>
      </w:r>
      <w:r w:rsidR="009654ED">
        <w:rPr>
          <w:snapToGrid w:val="0"/>
        </w:rPr>
        <w:t>The State party submits that</w:t>
      </w:r>
      <w:r w:rsidR="0072768C">
        <w:rPr>
          <w:snapToGrid w:val="0"/>
        </w:rPr>
        <w:t>,</w:t>
      </w:r>
      <w:r w:rsidR="009654ED">
        <w:rPr>
          <w:snapToGrid w:val="0"/>
        </w:rPr>
        <w:t xml:space="preserve"> during the arrest, the police officers </w:t>
      </w:r>
      <w:r w:rsidR="0072768C">
        <w:rPr>
          <w:snapToGrid w:val="0"/>
        </w:rPr>
        <w:t xml:space="preserve">did not </w:t>
      </w:r>
      <w:r w:rsidR="009654ED">
        <w:rPr>
          <w:snapToGrid w:val="0"/>
        </w:rPr>
        <w:t>use physical force, and no</w:t>
      </w:r>
      <w:r w:rsidR="0072768C">
        <w:rPr>
          <w:snapToGrid w:val="0"/>
        </w:rPr>
        <w:t xml:space="preserve"> one</w:t>
      </w:r>
      <w:r w:rsidR="009654ED">
        <w:rPr>
          <w:snapToGrid w:val="0"/>
        </w:rPr>
        <w:t xml:space="preserve"> was tortured or subjected to </w:t>
      </w:r>
      <w:r w:rsidR="001E06D9">
        <w:rPr>
          <w:snapToGrid w:val="0"/>
        </w:rPr>
        <w:t xml:space="preserve">cruel, inhuman or degrading treatment. </w:t>
      </w:r>
    </w:p>
    <w:p w:rsidR="004D150D" w:rsidRDefault="001E06D9" w:rsidP="0079337C">
      <w:pPr>
        <w:pStyle w:val="SingleTxtG"/>
        <w:rPr>
          <w:snapToGrid w:val="0"/>
        </w:rPr>
      </w:pPr>
      <w:r>
        <w:rPr>
          <w:snapToGrid w:val="0"/>
        </w:rPr>
        <w:t>4.4</w:t>
      </w:r>
      <w:r>
        <w:rPr>
          <w:snapToGrid w:val="0"/>
        </w:rPr>
        <w:tab/>
        <w:t xml:space="preserve">Furthermore, the State party contends that the Procedural Code </w:t>
      </w:r>
      <w:r w:rsidR="00F81719">
        <w:rPr>
          <w:snapToGrid w:val="0"/>
        </w:rPr>
        <w:t xml:space="preserve">for the Enforcement </w:t>
      </w:r>
      <w:r>
        <w:rPr>
          <w:snapToGrid w:val="0"/>
        </w:rPr>
        <w:t xml:space="preserve">of </w:t>
      </w:r>
      <w:r w:rsidR="00F81719">
        <w:rPr>
          <w:snapToGrid w:val="0"/>
        </w:rPr>
        <w:t>A</w:t>
      </w:r>
      <w:r>
        <w:rPr>
          <w:snapToGrid w:val="0"/>
        </w:rPr>
        <w:t xml:space="preserve">dministrative </w:t>
      </w:r>
      <w:r w:rsidR="00F81719">
        <w:rPr>
          <w:snapToGrid w:val="0"/>
        </w:rPr>
        <w:t xml:space="preserve">Penalties </w:t>
      </w:r>
      <w:r>
        <w:rPr>
          <w:snapToGrid w:val="0"/>
        </w:rPr>
        <w:t>allows the author to file a complaint against an administrative judge</w:t>
      </w:r>
      <w:r w:rsidR="004D150D">
        <w:rPr>
          <w:snapToGrid w:val="0"/>
        </w:rPr>
        <w:t xml:space="preserve"> or any relevant representative of the agency that is tasked with investigating the administrative offen</w:t>
      </w:r>
      <w:r w:rsidR="00F81719">
        <w:rPr>
          <w:snapToGrid w:val="0"/>
        </w:rPr>
        <w:t>c</w:t>
      </w:r>
      <w:r w:rsidR="004D150D">
        <w:rPr>
          <w:snapToGrid w:val="0"/>
        </w:rPr>
        <w:t xml:space="preserve">e. According to </w:t>
      </w:r>
      <w:r w:rsidR="00312BBA">
        <w:rPr>
          <w:snapToGrid w:val="0"/>
        </w:rPr>
        <w:t>article </w:t>
      </w:r>
      <w:r w:rsidR="004D150D">
        <w:rPr>
          <w:snapToGrid w:val="0"/>
        </w:rPr>
        <w:t>12.11 of th</w:t>
      </w:r>
      <w:r w:rsidR="00F81719">
        <w:rPr>
          <w:snapToGrid w:val="0"/>
        </w:rPr>
        <w:t>e</w:t>
      </w:r>
      <w:r w:rsidR="004D150D">
        <w:rPr>
          <w:snapToGrid w:val="0"/>
        </w:rPr>
        <w:t xml:space="preserve"> </w:t>
      </w:r>
      <w:r w:rsidR="00F81719">
        <w:rPr>
          <w:snapToGrid w:val="0"/>
        </w:rPr>
        <w:t>code</w:t>
      </w:r>
      <w:r w:rsidR="004D150D">
        <w:rPr>
          <w:snapToGrid w:val="0"/>
        </w:rPr>
        <w:t xml:space="preserve">, the author has a right to file a formal complaint within </w:t>
      </w:r>
      <w:r w:rsidR="00F81719">
        <w:rPr>
          <w:snapToGrid w:val="0"/>
        </w:rPr>
        <w:t>six</w:t>
      </w:r>
      <w:r w:rsidR="004D150D">
        <w:rPr>
          <w:snapToGrid w:val="0"/>
        </w:rPr>
        <w:t xml:space="preserve"> months of the decision regarding the administrative offen</w:t>
      </w:r>
      <w:r w:rsidR="00F81719">
        <w:rPr>
          <w:snapToGrid w:val="0"/>
        </w:rPr>
        <w:t>c</w:t>
      </w:r>
      <w:r w:rsidR="004D150D">
        <w:rPr>
          <w:snapToGrid w:val="0"/>
        </w:rPr>
        <w:t>e</w:t>
      </w:r>
      <w:r w:rsidR="00853700">
        <w:rPr>
          <w:snapToGrid w:val="0"/>
        </w:rPr>
        <w:t>.</w:t>
      </w:r>
      <w:r w:rsidR="00EF6C23">
        <w:rPr>
          <w:rStyle w:val="FootnoteReference"/>
          <w:snapToGrid w:val="0"/>
        </w:rPr>
        <w:footnoteReference w:id="3"/>
      </w:r>
      <w:r w:rsidR="004D150D">
        <w:rPr>
          <w:snapToGrid w:val="0"/>
        </w:rPr>
        <w:t xml:space="preserve"> Th</w:t>
      </w:r>
      <w:r w:rsidR="00F81719">
        <w:rPr>
          <w:snapToGrid w:val="0"/>
        </w:rPr>
        <w:t>at</w:t>
      </w:r>
      <w:r w:rsidR="004D150D">
        <w:rPr>
          <w:snapToGrid w:val="0"/>
        </w:rPr>
        <w:t xml:space="preserve"> right ensures full protection of rights and freedoms of all citizens. Moreover, the author can always file a complaint with the prosecutor’s office, which was not done in this case. The State party contends that th</w:t>
      </w:r>
      <w:r w:rsidR="00F81719">
        <w:rPr>
          <w:snapToGrid w:val="0"/>
        </w:rPr>
        <w:t>o</w:t>
      </w:r>
      <w:r w:rsidR="004D150D">
        <w:rPr>
          <w:snapToGrid w:val="0"/>
        </w:rPr>
        <w:t xml:space="preserve">se remedies have not been exhausted by the author. The State party therefore claims that the Committee has no basis to consider the present communication, and that due care should be exercised by the Committee while registering new individual complaints. </w:t>
      </w:r>
    </w:p>
    <w:p w:rsidR="00843359" w:rsidRDefault="00843359" w:rsidP="00F87EC6">
      <w:pPr>
        <w:pStyle w:val="SingleTxtG"/>
        <w:rPr>
          <w:snapToGrid w:val="0"/>
        </w:rPr>
      </w:pPr>
      <w:r>
        <w:rPr>
          <w:snapToGrid w:val="0"/>
        </w:rPr>
        <w:t>4.5</w:t>
      </w:r>
      <w:r>
        <w:rPr>
          <w:snapToGrid w:val="0"/>
        </w:rPr>
        <w:tab/>
        <w:t>On 4 September</w:t>
      </w:r>
      <w:r w:rsidR="00EF6C23">
        <w:rPr>
          <w:snapToGrid w:val="0"/>
        </w:rPr>
        <w:t xml:space="preserve"> 2010</w:t>
      </w:r>
      <w:r>
        <w:rPr>
          <w:snapToGrid w:val="0"/>
        </w:rPr>
        <w:t>, the State party reiterates its position regarding the fact that the present communication was submitted by a third party and therefore should not be considered by the Committee. The State party further submits that the confidential correspondence intended for the author is received by Ms</w:t>
      </w:r>
      <w:r w:rsidR="00F87EC6">
        <w:rPr>
          <w:snapToGrid w:val="0"/>
        </w:rPr>
        <w:t>. </w:t>
      </w:r>
      <w:r>
        <w:rPr>
          <w:snapToGrid w:val="0"/>
        </w:rPr>
        <w:t>X</w:t>
      </w:r>
      <w:r w:rsidR="00853700">
        <w:rPr>
          <w:snapToGrid w:val="0"/>
        </w:rPr>
        <w:t>.</w:t>
      </w:r>
      <w:r>
        <w:rPr>
          <w:snapToGrid w:val="0"/>
        </w:rPr>
        <w:t xml:space="preserve"> Based </w:t>
      </w:r>
      <w:r w:rsidR="00F81719">
        <w:rPr>
          <w:snapToGrid w:val="0"/>
        </w:rPr>
        <w:t>there</w:t>
      </w:r>
      <w:r>
        <w:rPr>
          <w:snapToGrid w:val="0"/>
        </w:rPr>
        <w:t xml:space="preserve">on, the State party submits that it will “suspend further consideration” of the present communication. </w:t>
      </w:r>
    </w:p>
    <w:p w:rsidR="00332516" w:rsidRDefault="00AC7462" w:rsidP="00BA3D80">
      <w:pPr>
        <w:pStyle w:val="SingleTxtG"/>
        <w:rPr>
          <w:b/>
          <w:bCs/>
        </w:rPr>
      </w:pPr>
      <w:r>
        <w:t>4.6</w:t>
      </w:r>
      <w:r>
        <w:tab/>
        <w:t>On 25 January 2012, the State party</w:t>
      </w:r>
      <w:r>
        <w:rPr>
          <w:bCs/>
        </w:rPr>
        <w:t xml:space="preserve"> submit</w:t>
      </w:r>
      <w:r w:rsidR="00684E65">
        <w:rPr>
          <w:bCs/>
          <w:lang w:val="en-US"/>
        </w:rPr>
        <w:t>ted that upon</w:t>
      </w:r>
      <w:r>
        <w:rPr>
          <w:lang w:val="en-US"/>
        </w:rPr>
        <w:t xml:space="preserve"> becoming a party to the Optional Protocol, </w:t>
      </w:r>
      <w:r w:rsidR="00684E65" w:rsidRPr="00684E65">
        <w:t xml:space="preserve">it had agreed, under article 1 thereof to recognize the competence of the Committee to receive and consider communications from individuals subject to its jurisdiction who claim to be victims of a violation by the State party of any rights protected by the Covenant. It notes, however, that that recognition was undertaken </w:t>
      </w:r>
      <w:r>
        <w:rPr>
          <w:lang w:val="en-US"/>
        </w:rPr>
        <w:t xml:space="preserve">in conjunction with other provisions of the Optional Protocol, including those </w:t>
      </w:r>
      <w:r w:rsidR="00F81719">
        <w:rPr>
          <w:lang w:val="en-US"/>
        </w:rPr>
        <w:t>establishing</w:t>
      </w:r>
      <w:r>
        <w:rPr>
          <w:lang w:val="en-US"/>
        </w:rPr>
        <w:t xml:space="preserve"> criteria regarding petitioners and </w:t>
      </w:r>
      <w:r w:rsidR="00F81719">
        <w:rPr>
          <w:lang w:val="en-US"/>
        </w:rPr>
        <w:t xml:space="preserve">the </w:t>
      </w:r>
      <w:r>
        <w:rPr>
          <w:lang w:val="en-US"/>
        </w:rPr>
        <w:t>admissibility of their communi</w:t>
      </w:r>
      <w:r w:rsidR="00F87EC6">
        <w:rPr>
          <w:lang w:val="en-US"/>
        </w:rPr>
        <w:t>cations, in particular articles </w:t>
      </w:r>
      <w:r>
        <w:rPr>
          <w:lang w:val="en-US"/>
        </w:rPr>
        <w:t xml:space="preserve">2 and 5. </w:t>
      </w:r>
      <w:r w:rsidR="00F81719">
        <w:rPr>
          <w:lang w:val="en-US"/>
        </w:rPr>
        <w:t xml:space="preserve">The State party </w:t>
      </w:r>
      <w:r>
        <w:rPr>
          <w:lang w:val="en-US"/>
        </w:rPr>
        <w:t>maintains that</w:t>
      </w:r>
      <w:r w:rsidR="00F81719">
        <w:rPr>
          <w:lang w:val="en-US"/>
        </w:rPr>
        <w:t>,</w:t>
      </w:r>
      <w:r>
        <w:rPr>
          <w:lang w:val="en-US"/>
        </w:rPr>
        <w:t xml:space="preserve"> under the Optional Protocol</w:t>
      </w:r>
      <w:r w:rsidR="00F81719">
        <w:rPr>
          <w:lang w:val="en-US"/>
        </w:rPr>
        <w:t>,</w:t>
      </w:r>
      <w:r>
        <w:rPr>
          <w:lang w:val="en-US"/>
        </w:rPr>
        <w:t xml:space="preserve"> State</w:t>
      </w:r>
      <w:r w:rsidR="00F81719">
        <w:rPr>
          <w:lang w:val="en-US"/>
        </w:rPr>
        <w:t>s</w:t>
      </w:r>
      <w:r>
        <w:rPr>
          <w:lang w:val="en-US"/>
        </w:rPr>
        <w:t xml:space="preserve"> parties have no obligation </w:t>
      </w:r>
      <w:r w:rsidR="00F81719">
        <w:rPr>
          <w:lang w:val="en-US"/>
        </w:rPr>
        <w:t>to recognize</w:t>
      </w:r>
      <w:r>
        <w:rPr>
          <w:lang w:val="en-US"/>
        </w:rPr>
        <w:t xml:space="preserve"> the Committee’s rules of procedure </w:t>
      </w:r>
      <w:r w:rsidR="00F81719">
        <w:rPr>
          <w:lang w:val="en-US"/>
        </w:rPr>
        <w:t xml:space="preserve">nor </w:t>
      </w:r>
      <w:r>
        <w:rPr>
          <w:lang w:val="en-US"/>
        </w:rPr>
        <w:t>its interpretation of the provisions</w:t>
      </w:r>
      <w:r w:rsidR="00F81719">
        <w:rPr>
          <w:lang w:val="en-US"/>
        </w:rPr>
        <w:t xml:space="preserve"> of the Optional Protocol</w:t>
      </w:r>
      <w:r>
        <w:rPr>
          <w:lang w:val="en-US"/>
        </w:rPr>
        <w:t xml:space="preserve">, which could only be </w:t>
      </w:r>
      <w:r w:rsidR="00F81719">
        <w:rPr>
          <w:lang w:val="en-US"/>
        </w:rPr>
        <w:t xml:space="preserve">effective </w:t>
      </w:r>
      <w:r>
        <w:rPr>
          <w:lang w:val="en-US"/>
        </w:rPr>
        <w:t xml:space="preserve">when done in </w:t>
      </w:r>
      <w:r>
        <w:rPr>
          <w:lang w:val="en-US"/>
        </w:rPr>
        <w:lastRenderedPageBreak/>
        <w:t>accordance with the Vienna Convention of the Law on Treaties. It submits that</w:t>
      </w:r>
      <w:r w:rsidR="00F81719">
        <w:rPr>
          <w:lang w:val="en-US"/>
        </w:rPr>
        <w:t>,</w:t>
      </w:r>
      <w:r>
        <w:rPr>
          <w:lang w:val="en-US"/>
        </w:rPr>
        <w:t xml:space="preserve"> in relation to the complaint procedure</w:t>
      </w:r>
      <w:r w:rsidR="00F81719">
        <w:rPr>
          <w:lang w:val="en-US"/>
        </w:rPr>
        <w:t>,</w:t>
      </w:r>
      <w:r>
        <w:rPr>
          <w:lang w:val="en-US"/>
        </w:rPr>
        <w:t xml:space="preserve"> State</w:t>
      </w:r>
      <w:r w:rsidR="00F81719">
        <w:rPr>
          <w:lang w:val="en-US"/>
        </w:rPr>
        <w:t>s</w:t>
      </w:r>
      <w:r>
        <w:rPr>
          <w:lang w:val="en-US"/>
        </w:rPr>
        <w:t xml:space="preserve"> </w:t>
      </w:r>
      <w:r w:rsidR="00F81719">
        <w:rPr>
          <w:lang w:val="en-US"/>
        </w:rPr>
        <w:t>p</w:t>
      </w:r>
      <w:r>
        <w:rPr>
          <w:lang w:val="en-US"/>
        </w:rPr>
        <w:t>arties should be guided first and foremost by the provisions of the Optional Protocol</w:t>
      </w:r>
      <w:r w:rsidR="00F81719">
        <w:rPr>
          <w:lang w:val="en-US"/>
        </w:rPr>
        <w:t>,</w:t>
      </w:r>
      <w:r>
        <w:rPr>
          <w:lang w:val="en-US"/>
        </w:rPr>
        <w:t xml:space="preserve"> and that references to the Committee’s long</w:t>
      </w:r>
      <w:r w:rsidR="00F81719">
        <w:rPr>
          <w:lang w:val="en-US"/>
        </w:rPr>
        <w:t>-</w:t>
      </w:r>
      <w:r>
        <w:rPr>
          <w:lang w:val="en-US"/>
        </w:rPr>
        <w:t>standing practice, methods of work, case law are not subject</w:t>
      </w:r>
      <w:r w:rsidR="00F81719">
        <w:rPr>
          <w:lang w:val="en-US"/>
        </w:rPr>
        <w:t>s</w:t>
      </w:r>
      <w:r>
        <w:rPr>
          <w:lang w:val="en-US"/>
        </w:rPr>
        <w:t xml:space="preserve"> of the Optional Protocol. It further submits that any communication registered in violation of the provisions of the Optional Protocol will be viewed by the State party as incompatible with the </w:t>
      </w:r>
      <w:r w:rsidR="00F81719">
        <w:rPr>
          <w:lang w:val="en-US"/>
        </w:rPr>
        <w:t xml:space="preserve">Optional </w:t>
      </w:r>
      <w:r>
        <w:rPr>
          <w:lang w:val="en-US"/>
        </w:rPr>
        <w:t>Protocol and will be rejected without comments on the admissibility or merits</w:t>
      </w:r>
      <w:r w:rsidR="00684E65">
        <w:rPr>
          <w:lang w:val="en-US"/>
        </w:rPr>
        <w:t>,</w:t>
      </w:r>
      <w:r>
        <w:rPr>
          <w:lang w:val="en-US"/>
        </w:rPr>
        <w:t xml:space="preserve"> </w:t>
      </w:r>
      <w:r w:rsidR="00684E65">
        <w:rPr>
          <w:lang w:val="en-US"/>
        </w:rPr>
        <w:t>and any</w:t>
      </w:r>
      <w:r>
        <w:rPr>
          <w:lang w:val="en-US"/>
        </w:rPr>
        <w:t xml:space="preserve"> decision taken by the Committee on such </w:t>
      </w:r>
      <w:r w:rsidR="00684E65">
        <w:rPr>
          <w:lang w:val="en-US"/>
        </w:rPr>
        <w:t>rejected</w:t>
      </w:r>
      <w:r>
        <w:rPr>
          <w:lang w:val="en-US"/>
        </w:rPr>
        <w:t xml:space="preserve"> communications will be considered by its authorities as “invalid”</w:t>
      </w:r>
      <w:r w:rsidRPr="001461F7">
        <w:t>.</w:t>
      </w:r>
    </w:p>
    <w:p w:rsidR="00F35149" w:rsidRDefault="00FF6FAA" w:rsidP="00F35149">
      <w:pPr>
        <w:pStyle w:val="H23G"/>
      </w:pPr>
      <w:r>
        <w:tab/>
      </w:r>
      <w:r>
        <w:tab/>
      </w:r>
      <w:r w:rsidR="00F35149" w:rsidRPr="006C6C87">
        <w:t>Issues and proceedings before the Committee</w:t>
      </w:r>
    </w:p>
    <w:p w:rsidR="00FF6FAA" w:rsidRPr="00ED06EC" w:rsidRDefault="002E0420" w:rsidP="002E0420">
      <w:pPr>
        <w:pStyle w:val="H4G"/>
      </w:pPr>
      <w:r>
        <w:tab/>
      </w:r>
      <w:r>
        <w:tab/>
      </w:r>
      <w:r w:rsidR="00FF6FAA">
        <w:t>The State party’</w:t>
      </w:r>
      <w:r w:rsidR="00FF6FAA" w:rsidRPr="00ED06EC">
        <w:t xml:space="preserve">s </w:t>
      </w:r>
      <w:r w:rsidR="003006DE">
        <w:t>lack of cooperation</w:t>
      </w:r>
      <w:r w:rsidR="00FF6FAA" w:rsidRPr="00ED06EC">
        <w:t xml:space="preserve"> </w:t>
      </w:r>
    </w:p>
    <w:p w:rsidR="00FF6FAA" w:rsidRDefault="00FF6FAA" w:rsidP="00FF6FAA">
      <w:pPr>
        <w:pStyle w:val="SingleTxtG"/>
      </w:pPr>
      <w:r>
        <w:t>5.1</w:t>
      </w:r>
      <w:r>
        <w:tab/>
        <w:t xml:space="preserve">The Committee notes the State party’s observation that </w:t>
      </w:r>
      <w:r w:rsidR="00684E65">
        <w:rPr>
          <w:lang w:val="en-US"/>
        </w:rPr>
        <w:t xml:space="preserve">the </w:t>
      </w:r>
      <w:r>
        <w:t xml:space="preserve">registration of communications submitted by a third party (lawyers, other persons) on behalf of individuals claiming a violation of their rights constitutes an abuse of the mandate of the Committee and of the right to submit a communication. </w:t>
      </w:r>
    </w:p>
    <w:p w:rsidR="00FF6FAA" w:rsidRDefault="00FF6FAA" w:rsidP="00BA3D80">
      <w:pPr>
        <w:pStyle w:val="SingleTxtG"/>
      </w:pPr>
      <w:r>
        <w:t>5.2</w:t>
      </w:r>
      <w:r>
        <w:tab/>
        <w:t>The Committee recalls that</w:t>
      </w:r>
      <w:r w:rsidR="00C462C6">
        <w:rPr>
          <w:lang w:val="en-US"/>
        </w:rPr>
        <w:t>, under</w:t>
      </w:r>
      <w:r>
        <w:t xml:space="preserve"> </w:t>
      </w:r>
      <w:r w:rsidR="00312BBA">
        <w:t>article </w:t>
      </w:r>
      <w:r>
        <w:t xml:space="preserve">39, </w:t>
      </w:r>
      <w:r w:rsidR="00312BBA">
        <w:t>paragraph </w:t>
      </w:r>
      <w:r>
        <w:t>2, of the Covenant</w:t>
      </w:r>
      <w:r w:rsidR="00C462C6">
        <w:rPr>
          <w:lang w:val="en-US"/>
        </w:rPr>
        <w:t>, it is</w:t>
      </w:r>
      <w:r>
        <w:t xml:space="preserve"> empower</w:t>
      </w:r>
      <w:r w:rsidR="00C462C6">
        <w:rPr>
          <w:lang w:val="en-US"/>
        </w:rPr>
        <w:t>ed</w:t>
      </w:r>
      <w:r>
        <w:t xml:space="preserve"> to establish its own rules of procedure, which the States parties have agreed to recognize. </w:t>
      </w:r>
      <w:r w:rsidR="00CF5F67">
        <w:rPr>
          <w:lang w:val="en-US"/>
        </w:rPr>
        <w:t>It</w:t>
      </w:r>
      <w:r>
        <w:t xml:space="preserve"> further observes that, by adhering to the Optional Protocol, a State party to the Covenant recognizes the competence of the Committee to receive and consider communications from individuals claiming to be victims of violations of any of the rights set forth in the Covenant (preamble and </w:t>
      </w:r>
      <w:r w:rsidR="00312BBA">
        <w:t>art</w:t>
      </w:r>
      <w:r w:rsidR="00CF5F67">
        <w:rPr>
          <w:lang w:val="en-US"/>
        </w:rPr>
        <w:t>.</w:t>
      </w:r>
      <w:r w:rsidR="00312BBA">
        <w:t> </w:t>
      </w:r>
      <w:r>
        <w:t>1</w:t>
      </w:r>
      <w:r w:rsidR="00CF5F67">
        <w:rPr>
          <w:lang w:val="en-US"/>
        </w:rPr>
        <w:t xml:space="preserve"> of the Optional Protocol</w:t>
      </w:r>
      <w:r>
        <w:t xml:space="preserve">). </w:t>
      </w:r>
      <w:r w:rsidRPr="00BA3D80">
        <w:t>The Committee</w:t>
      </w:r>
      <w:r w:rsidR="00FD3818" w:rsidRPr="00BA3D80">
        <w:t xml:space="preserve"> recalls</w:t>
      </w:r>
      <w:r w:rsidR="00D75269" w:rsidRPr="00BA3D80">
        <w:t xml:space="preserve"> its practice</w:t>
      </w:r>
      <w:r w:rsidR="00FD3818" w:rsidRPr="00BA3D80">
        <w:t xml:space="preserve">, </w:t>
      </w:r>
      <w:r w:rsidR="00EB5F74">
        <w:t xml:space="preserve">as </w:t>
      </w:r>
      <w:r w:rsidR="00FD3818" w:rsidRPr="00BA3D80">
        <w:t>reflected in rule</w:t>
      </w:r>
      <w:r w:rsidR="007E59CB" w:rsidRPr="00BA3D80">
        <w:t xml:space="preserve"> 96</w:t>
      </w:r>
      <w:r w:rsidR="00C462C6" w:rsidRPr="00BA3D80">
        <w:t xml:space="preserve"> </w:t>
      </w:r>
      <w:r w:rsidR="007E59CB" w:rsidRPr="00BA3D80">
        <w:t xml:space="preserve">(b) </w:t>
      </w:r>
      <w:r w:rsidR="00FD3818" w:rsidRPr="00BA3D80">
        <w:t>of its rules of procedure</w:t>
      </w:r>
      <w:r w:rsidR="00853700" w:rsidRPr="00BA3D80">
        <w:t>,</w:t>
      </w:r>
      <w:r w:rsidR="00D75269" w:rsidRPr="00BA3D80">
        <w:t xml:space="preserve"> that </w:t>
      </w:r>
      <w:r w:rsidR="00FD3818" w:rsidRPr="00582FB3">
        <w:t xml:space="preserve">individuals </w:t>
      </w:r>
      <w:r w:rsidR="00D75269" w:rsidRPr="008468CE">
        <w:t xml:space="preserve">may </w:t>
      </w:r>
      <w:r w:rsidR="00FD3818" w:rsidRPr="008468CE">
        <w:t xml:space="preserve">be represented by a person </w:t>
      </w:r>
      <w:r w:rsidRPr="0079337C">
        <w:t>of</w:t>
      </w:r>
      <w:r w:rsidR="00FD3818" w:rsidRPr="0079337C">
        <w:t xml:space="preserve"> their</w:t>
      </w:r>
      <w:r w:rsidRPr="0079337C">
        <w:t xml:space="preserve"> choice</w:t>
      </w:r>
      <w:r w:rsidR="00FD3818" w:rsidRPr="0079337C">
        <w:t>, provided</w:t>
      </w:r>
      <w:r w:rsidR="007E59CB" w:rsidRPr="0079337C">
        <w:t xml:space="preserve"> that</w:t>
      </w:r>
      <w:r w:rsidR="00FD3818" w:rsidRPr="0079337C">
        <w:t xml:space="preserve"> the representative is duly authori</w:t>
      </w:r>
      <w:r w:rsidR="00EB5F74">
        <w:t>z</w:t>
      </w:r>
      <w:r w:rsidR="00FD3818" w:rsidRPr="00BA3D80">
        <w:t>ed</w:t>
      </w:r>
      <w:r w:rsidRPr="00BA3D80">
        <w:t>.</w:t>
      </w:r>
      <w:r>
        <w:t xml:space="preserve"> Implicit in a State’s adherence to the </w:t>
      </w:r>
      <w:r w:rsidR="00467355">
        <w:rPr>
          <w:lang w:val="en-US"/>
        </w:rPr>
        <w:t xml:space="preserve">Optional </w:t>
      </w:r>
      <w:r>
        <w:t xml:space="preserve">Protocol is </w:t>
      </w:r>
      <w:r w:rsidR="00CF5F67">
        <w:rPr>
          <w:lang w:val="en-US"/>
        </w:rPr>
        <w:t>the</w:t>
      </w:r>
      <w:r w:rsidR="00CF5F67">
        <w:t xml:space="preserve"> </w:t>
      </w:r>
      <w:r>
        <w:t>undertaking to cooperate with the Committee in good faith so as to permit and enable it to consider such communications, and after examination</w:t>
      </w:r>
      <w:r w:rsidR="00CF5F67">
        <w:rPr>
          <w:lang w:val="en-US"/>
        </w:rPr>
        <w:t xml:space="preserve"> thereof</w:t>
      </w:r>
      <w:r>
        <w:t xml:space="preserve">, to forward its </w:t>
      </w:r>
      <w:r w:rsidR="00CF5F67">
        <w:rPr>
          <w:lang w:val="en-US"/>
        </w:rPr>
        <w:t>V</w:t>
      </w:r>
      <w:r>
        <w:t>iews to the State party and the individual (</w:t>
      </w:r>
      <w:r w:rsidR="00312BBA">
        <w:t>art</w:t>
      </w:r>
      <w:r w:rsidR="00CF5F67">
        <w:rPr>
          <w:lang w:val="en-US"/>
        </w:rPr>
        <w:t>.</w:t>
      </w:r>
      <w:r w:rsidR="00312BBA">
        <w:t> </w:t>
      </w:r>
      <w:r w:rsidR="00906CF5">
        <w:t>5, paras</w:t>
      </w:r>
      <w:r w:rsidR="00CF5F67">
        <w:rPr>
          <w:lang w:val="en-US"/>
        </w:rPr>
        <w:t>.</w:t>
      </w:r>
      <w:r w:rsidR="00906CF5" w:rsidRPr="00130E81">
        <w:rPr>
          <w:lang w:val="en-US"/>
        </w:rPr>
        <w:t> </w:t>
      </w:r>
      <w:r>
        <w:t>1 and 4). It is incompatible with th</w:t>
      </w:r>
      <w:r w:rsidR="00CF5F67">
        <w:rPr>
          <w:lang w:val="en-US"/>
        </w:rPr>
        <w:t>o</w:t>
      </w:r>
      <w:r>
        <w:t>se obligations for a State party to take any action that would prevent or frustrate the Committee in its consideration and examination of a communication</w:t>
      </w:r>
      <w:r w:rsidR="00CF5F67">
        <w:rPr>
          <w:lang w:val="en-US"/>
        </w:rPr>
        <w:t>,</w:t>
      </w:r>
      <w:r>
        <w:t xml:space="preserve"> and in the expression of its Views.</w:t>
      </w:r>
      <w:r>
        <w:rPr>
          <w:rStyle w:val="FootnoteReference"/>
        </w:rPr>
        <w:footnoteReference w:id="4"/>
      </w:r>
      <w:r>
        <w:t xml:space="preserve"> It is for the Committee to determine whether a communication should be registered. The Committee observes that,</w:t>
      </w:r>
      <w:r w:rsidR="00572556">
        <w:t xml:space="preserve"> by refusing the right of an individual to be represented and</w:t>
      </w:r>
      <w:r>
        <w:t xml:space="preserve"> by failing to accept the competence of the Committee to determine whether a communication </w:t>
      </w:r>
      <w:r w:rsidR="00CF5F67">
        <w:rPr>
          <w:lang w:val="en-US"/>
        </w:rPr>
        <w:t>should</w:t>
      </w:r>
      <w:r w:rsidR="00CF5F67">
        <w:t xml:space="preserve"> </w:t>
      </w:r>
      <w:r>
        <w:t xml:space="preserve">be registered and by declaring beforehand that it will not accept the </w:t>
      </w:r>
      <w:r w:rsidR="00CF5F67">
        <w:rPr>
          <w:lang w:val="en-US"/>
        </w:rPr>
        <w:t xml:space="preserve">Committee’s </w:t>
      </w:r>
      <w:r>
        <w:t xml:space="preserve">determination on the admissibility </w:t>
      </w:r>
      <w:r w:rsidR="00CF5F67">
        <w:rPr>
          <w:lang w:val="en-US"/>
        </w:rPr>
        <w:t>or</w:t>
      </w:r>
      <w:r w:rsidR="00CF5F67">
        <w:t xml:space="preserve"> </w:t>
      </w:r>
      <w:r>
        <w:t xml:space="preserve">on the merits of the communication, the State party </w:t>
      </w:r>
      <w:r w:rsidR="00CF5F67">
        <w:rPr>
          <w:lang w:val="en-US"/>
        </w:rPr>
        <w:t>is</w:t>
      </w:r>
      <w:r w:rsidR="00CF5F67">
        <w:t xml:space="preserve"> </w:t>
      </w:r>
      <w:r>
        <w:t>violat</w:t>
      </w:r>
      <w:r w:rsidR="00CF5F67">
        <w:rPr>
          <w:lang w:val="en-US"/>
        </w:rPr>
        <w:t>ing</w:t>
      </w:r>
      <w:r>
        <w:t xml:space="preserve"> its obligations under </w:t>
      </w:r>
      <w:r w:rsidR="00312BBA">
        <w:t>article </w:t>
      </w:r>
      <w:r>
        <w:t>1 of the Optional Protocol.</w:t>
      </w:r>
    </w:p>
    <w:p w:rsidR="00F75DD2" w:rsidRPr="007B3302" w:rsidRDefault="00F35149" w:rsidP="00F75DD2">
      <w:pPr>
        <w:pStyle w:val="H4G"/>
      </w:pPr>
      <w:r>
        <w:tab/>
      </w:r>
      <w:r w:rsidR="002A686B">
        <w:tab/>
      </w:r>
      <w:r w:rsidR="00F75DD2" w:rsidRPr="007B3302">
        <w:t>Consideration of admissibility</w:t>
      </w:r>
    </w:p>
    <w:p w:rsidR="00F75DD2" w:rsidRPr="001461F7" w:rsidRDefault="00F75DD2" w:rsidP="00F75DD2">
      <w:pPr>
        <w:pStyle w:val="SingleTxtG"/>
      </w:pPr>
      <w:r>
        <w:t>6</w:t>
      </w:r>
      <w:r w:rsidRPr="001461F7">
        <w:t>.1</w:t>
      </w:r>
      <w:r w:rsidRPr="001461F7">
        <w:tab/>
        <w:t>Before considering any claim contained in a communication, the Human Rights Committee must, in accordance with rule 93 of its rules of procedure, decide whether or not the case is admissible under the Optional Protocol to the Covenant.</w:t>
      </w:r>
    </w:p>
    <w:p w:rsidR="00F75DD2" w:rsidRDefault="00F75DD2" w:rsidP="00F75DD2">
      <w:pPr>
        <w:pStyle w:val="SingleTxtG"/>
      </w:pPr>
      <w:r>
        <w:t>6</w:t>
      </w:r>
      <w:r w:rsidRPr="001461F7">
        <w:t>.2</w:t>
      </w:r>
      <w:r w:rsidRPr="001461F7">
        <w:tab/>
        <w:t xml:space="preserve">The Committee has ascertained, as required under </w:t>
      </w:r>
      <w:r w:rsidR="00312BBA">
        <w:t>article </w:t>
      </w:r>
      <w:r w:rsidRPr="001461F7">
        <w:t xml:space="preserve">5, </w:t>
      </w:r>
      <w:r w:rsidR="00312BBA">
        <w:t>paragraph </w:t>
      </w:r>
      <w:r w:rsidRPr="001461F7">
        <w:t xml:space="preserve">2 (a), of the Optional Protocol, that the same matter is not being examined under another procedure of international investigation or settlement. </w:t>
      </w:r>
    </w:p>
    <w:p w:rsidR="00F75DD2" w:rsidRDefault="00F75DD2" w:rsidP="00BA3D80">
      <w:pPr>
        <w:pStyle w:val="SingleTxtG"/>
      </w:pPr>
      <w:r>
        <w:lastRenderedPageBreak/>
        <w:t>6</w:t>
      </w:r>
      <w:r w:rsidR="00853700">
        <w:t>.3</w:t>
      </w:r>
      <w:r>
        <w:tab/>
      </w:r>
      <w:r w:rsidRPr="009B6358">
        <w:t>The Committee</w:t>
      </w:r>
      <w:r w:rsidR="002A686B">
        <w:t xml:space="preserve"> further</w:t>
      </w:r>
      <w:r w:rsidRPr="009B6358">
        <w:t xml:space="preserve"> notes that the State party has challenged the admissibility of the communication </w:t>
      </w:r>
      <w:r w:rsidR="00D643FE">
        <w:rPr>
          <w:lang w:val="en-US"/>
        </w:rPr>
        <w:t>on the grounds of</w:t>
      </w:r>
      <w:r w:rsidR="00D643FE" w:rsidRPr="009B6358">
        <w:t xml:space="preserve"> </w:t>
      </w:r>
      <w:r w:rsidRPr="009B6358">
        <w:t xml:space="preserve">non-exhaustion of domestic remedies under </w:t>
      </w:r>
      <w:r w:rsidR="00312BBA">
        <w:t>article </w:t>
      </w:r>
      <w:r w:rsidRPr="009B6358">
        <w:t xml:space="preserve">5, </w:t>
      </w:r>
      <w:r w:rsidR="00312BBA">
        <w:t>paragraph </w:t>
      </w:r>
      <w:r w:rsidRPr="009B6358">
        <w:t>2</w:t>
      </w:r>
      <w:r w:rsidR="00906CF5" w:rsidRPr="00130E81">
        <w:rPr>
          <w:lang w:val="en-US"/>
        </w:rPr>
        <w:t> </w:t>
      </w:r>
      <w:r w:rsidRPr="009B6358">
        <w:t>(b), of the Optional Protocol</w:t>
      </w:r>
      <w:r>
        <w:t xml:space="preserve"> on the ground</w:t>
      </w:r>
      <w:r w:rsidRPr="009B6358">
        <w:t xml:space="preserve"> that the author ha</w:t>
      </w:r>
      <w:r w:rsidR="00CF5F67">
        <w:rPr>
          <w:lang w:val="en-US"/>
        </w:rPr>
        <w:t>s</w:t>
      </w:r>
      <w:r w:rsidRPr="009B6358">
        <w:t xml:space="preserve"> not </w:t>
      </w:r>
      <w:r w:rsidR="006274BB">
        <w:rPr>
          <w:lang w:val="en-US"/>
        </w:rPr>
        <w:t>appealed to</w:t>
      </w:r>
      <w:r w:rsidR="006274BB" w:rsidRPr="009B6358">
        <w:t xml:space="preserve"> </w:t>
      </w:r>
      <w:r w:rsidRPr="009B6358">
        <w:t xml:space="preserve">the </w:t>
      </w:r>
      <w:r w:rsidR="00CF5F67">
        <w:rPr>
          <w:lang w:val="en-US"/>
        </w:rPr>
        <w:t>Procurator’s</w:t>
      </w:r>
      <w:r w:rsidR="00CF5F67">
        <w:t xml:space="preserve"> </w:t>
      </w:r>
      <w:r w:rsidRPr="009B6358">
        <w:t>Office under the superviso</w:t>
      </w:r>
      <w:r>
        <w:t xml:space="preserve">ry review </w:t>
      </w:r>
      <w:r w:rsidR="006274BB">
        <w:rPr>
          <w:lang w:val="en-US"/>
        </w:rPr>
        <w:t>procedure</w:t>
      </w:r>
      <w:r>
        <w:t xml:space="preserve">. </w:t>
      </w:r>
      <w:r w:rsidR="001178C2" w:rsidRPr="001178C2">
        <w:t xml:space="preserve">The Committee recalls its jurisprudence, according to which a petition for supervisory review to a </w:t>
      </w:r>
      <w:r w:rsidR="006274BB" w:rsidRPr="001178C2">
        <w:t>prosecutor’s office</w:t>
      </w:r>
      <w:r w:rsidR="001178C2" w:rsidRPr="001178C2">
        <w:t>, allowing review</w:t>
      </w:r>
      <w:r w:rsidR="006274BB">
        <w:t xml:space="preserve"> of</w:t>
      </w:r>
      <w:r w:rsidR="001178C2" w:rsidRPr="001178C2">
        <w:t xml:space="preserve"> court decisions that have taken effect does not constitute a remedy which has to be exhausted for the purposes of </w:t>
      </w:r>
      <w:r w:rsidR="00312BBA">
        <w:t>article </w:t>
      </w:r>
      <w:r w:rsidR="001178C2" w:rsidRPr="001178C2">
        <w:t xml:space="preserve">5, </w:t>
      </w:r>
      <w:r w:rsidR="00312BBA">
        <w:t>paragraph </w:t>
      </w:r>
      <w:r w:rsidR="001178C2" w:rsidRPr="001178C2">
        <w:t>2 (b), of the Optional Protocol</w:t>
      </w:r>
      <w:r w:rsidR="001178C2">
        <w:t>.</w:t>
      </w:r>
      <w:r w:rsidR="001178C2" w:rsidRPr="00B6380E">
        <w:rPr>
          <w:vertAlign w:val="superscript"/>
        </w:rPr>
        <w:footnoteReference w:id="5"/>
      </w:r>
      <w:r w:rsidR="001178C2">
        <w:t xml:space="preserve"> </w:t>
      </w:r>
      <w:r w:rsidR="001178C2" w:rsidRPr="001178C2">
        <w:t xml:space="preserve">Accordingly, it considers that it is not precluded by </w:t>
      </w:r>
      <w:r w:rsidR="00312BBA">
        <w:t>article </w:t>
      </w:r>
      <w:r w:rsidR="001178C2" w:rsidRPr="001178C2">
        <w:t xml:space="preserve">5, </w:t>
      </w:r>
      <w:r w:rsidR="00312BBA">
        <w:t>paragraph </w:t>
      </w:r>
      <w:r w:rsidR="001178C2" w:rsidRPr="001178C2">
        <w:t>2 (b), of the Optional Protocol from examining this part of the communication.</w:t>
      </w:r>
      <w:r w:rsidR="003006DE" w:rsidRPr="00DC128E">
        <w:rPr>
          <w:vertAlign w:val="superscript"/>
        </w:rPr>
        <w:t xml:space="preserve"> </w:t>
      </w:r>
    </w:p>
    <w:p w:rsidR="001C2C4D" w:rsidRPr="00130E81" w:rsidRDefault="001C2C4D" w:rsidP="00582FB3">
      <w:pPr>
        <w:pStyle w:val="SingleTxtG"/>
        <w:rPr>
          <w:lang w:val="en-US"/>
        </w:rPr>
      </w:pPr>
      <w:r>
        <w:t>6.4</w:t>
      </w:r>
      <w:r>
        <w:tab/>
      </w:r>
      <w:r w:rsidRPr="00A36331">
        <w:t xml:space="preserve">The Committee takes note of the author’s claim that his rights under </w:t>
      </w:r>
      <w:r w:rsidR="00312BBA">
        <w:t>article </w:t>
      </w:r>
      <w:r>
        <w:t>9</w:t>
      </w:r>
      <w:r w:rsidR="000F7F55">
        <w:t xml:space="preserve">, </w:t>
      </w:r>
      <w:r w:rsidR="00312BBA">
        <w:t>paragraph </w:t>
      </w:r>
      <w:r w:rsidR="000F7F55">
        <w:t xml:space="preserve">1, and </w:t>
      </w:r>
      <w:r w:rsidR="00312BBA">
        <w:t>article </w:t>
      </w:r>
      <w:r w:rsidR="000F7F55">
        <w:t xml:space="preserve">14, </w:t>
      </w:r>
      <w:r w:rsidR="00312BBA">
        <w:t>paragraph </w:t>
      </w:r>
      <w:r w:rsidR="000F7F55">
        <w:t>1</w:t>
      </w:r>
      <w:r w:rsidR="00582FB3">
        <w:t>,</w:t>
      </w:r>
      <w:r w:rsidRPr="00A36331">
        <w:t xml:space="preserve"> of the Covenant have been violated</w:t>
      </w:r>
      <w:r>
        <w:t xml:space="preserve"> </w:t>
      </w:r>
      <w:r w:rsidR="00366007">
        <w:t>since</w:t>
      </w:r>
      <w:r w:rsidR="0027477A">
        <w:t xml:space="preserve"> his arrest “was not documented anywhere”, and</w:t>
      </w:r>
      <w:r w:rsidR="00366007">
        <w:t xml:space="preserve"> the notice to appear in court was delivered to him by a police officer</w:t>
      </w:r>
      <w:r w:rsidR="0027477A">
        <w:t>, not a court clerk, showing that</w:t>
      </w:r>
      <w:r w:rsidR="00366007">
        <w:t xml:space="preserve"> the</w:t>
      </w:r>
      <w:r>
        <w:t xml:space="preserve"> State party’s courts are not independent. </w:t>
      </w:r>
      <w:r w:rsidRPr="00A36331">
        <w:t>However, in the absence of</w:t>
      </w:r>
      <w:r>
        <w:t xml:space="preserve"> further explanations </w:t>
      </w:r>
      <w:r w:rsidR="003006DE">
        <w:t>or evidence in support of th</w:t>
      </w:r>
      <w:r w:rsidR="006274BB">
        <w:rPr>
          <w:lang w:val="en-US"/>
        </w:rPr>
        <w:t>o</w:t>
      </w:r>
      <w:r w:rsidR="003006DE">
        <w:t>se</w:t>
      </w:r>
      <w:r w:rsidRPr="00A36331">
        <w:t xml:space="preserve"> claim</w:t>
      </w:r>
      <w:r w:rsidR="003006DE">
        <w:t>s, the Committee finds them</w:t>
      </w:r>
      <w:r w:rsidRPr="00A36331">
        <w:t xml:space="preserve"> insufficiently substantiated, for purposes o</w:t>
      </w:r>
      <w:r w:rsidR="003006DE">
        <w:t>f admissibility, and declares them</w:t>
      </w:r>
      <w:r w:rsidRPr="00A36331">
        <w:t xml:space="preserve"> inadmissible under </w:t>
      </w:r>
      <w:r w:rsidR="00312BBA">
        <w:t>article </w:t>
      </w:r>
      <w:r w:rsidRPr="00A36331">
        <w:t>2 of the Optional Protocol</w:t>
      </w:r>
      <w:r w:rsidR="00D3406E" w:rsidRPr="00130E81">
        <w:rPr>
          <w:lang w:val="en-US"/>
        </w:rPr>
        <w:t>.</w:t>
      </w:r>
    </w:p>
    <w:p w:rsidR="00F75DD2" w:rsidRPr="007B3302" w:rsidRDefault="00366007" w:rsidP="00F75DD2">
      <w:pPr>
        <w:pStyle w:val="SingleTxtG"/>
      </w:pPr>
      <w:r>
        <w:t>6.5</w:t>
      </w:r>
      <w:r w:rsidR="00F75DD2" w:rsidRPr="007B3302">
        <w:tab/>
        <w:t>The Committee considers that the author</w:t>
      </w:r>
      <w:r>
        <w:t xml:space="preserve"> has</w:t>
      </w:r>
      <w:r w:rsidR="00F75DD2">
        <w:t xml:space="preserve"> sufficiently substantiated </w:t>
      </w:r>
      <w:r>
        <w:t>his</w:t>
      </w:r>
      <w:r w:rsidR="00F75DD2" w:rsidRPr="007B3302">
        <w:t xml:space="preserve"> claim</w:t>
      </w:r>
      <w:r w:rsidR="00F75DD2">
        <w:t>s</w:t>
      </w:r>
      <w:r w:rsidR="00F75DD2" w:rsidRPr="007B3302">
        <w:t xml:space="preserve"> under article</w:t>
      </w:r>
      <w:r>
        <w:t>s</w:t>
      </w:r>
      <w:r w:rsidR="00F87EC6" w:rsidRPr="00130E81">
        <w:rPr>
          <w:lang w:val="en-US"/>
        </w:rPr>
        <w:t> </w:t>
      </w:r>
      <w:r w:rsidR="00F75DD2">
        <w:t>19 and 21</w:t>
      </w:r>
      <w:r w:rsidR="00F75DD2" w:rsidRPr="007B3302">
        <w:t xml:space="preserve"> </w:t>
      </w:r>
      <w:r w:rsidR="00F75DD2">
        <w:t>o</w:t>
      </w:r>
      <w:r w:rsidR="00F75DD2" w:rsidRPr="007B3302">
        <w:t>f the Covenant</w:t>
      </w:r>
      <w:r w:rsidR="00F75DD2">
        <w:t xml:space="preserve"> </w:t>
      </w:r>
      <w:r w:rsidR="00F75DD2" w:rsidRPr="007B3302">
        <w:t>for purposes of admissibility, declares</w:t>
      </w:r>
      <w:r w:rsidR="00F75DD2">
        <w:t xml:space="preserve"> them</w:t>
      </w:r>
      <w:r w:rsidR="00F75DD2" w:rsidRPr="007B3302">
        <w:t xml:space="preserve"> admissible and proceeds to </w:t>
      </w:r>
      <w:r w:rsidR="00F75DD2">
        <w:t>their</w:t>
      </w:r>
      <w:r w:rsidR="00F75DD2" w:rsidRPr="007B3302">
        <w:t xml:space="preserve"> examination on the merits.</w:t>
      </w:r>
    </w:p>
    <w:p w:rsidR="00F75DD2" w:rsidRPr="007E3A21" w:rsidRDefault="00F75DD2" w:rsidP="00F75DD2">
      <w:pPr>
        <w:pStyle w:val="H4G"/>
      </w:pPr>
      <w:r>
        <w:tab/>
      </w:r>
      <w:r>
        <w:tab/>
        <w:t>Consideration of merits</w:t>
      </w:r>
    </w:p>
    <w:p w:rsidR="00F75DD2" w:rsidRPr="007B3302" w:rsidRDefault="00F75DD2" w:rsidP="00F75DD2">
      <w:pPr>
        <w:pStyle w:val="SingleTxtG"/>
      </w:pPr>
      <w:r>
        <w:t>7</w:t>
      </w:r>
      <w:r w:rsidR="00853700">
        <w:t>.1</w:t>
      </w:r>
      <w:r w:rsidRPr="007B3302">
        <w:tab/>
        <w:t>The Human Rights Committee has considered the present communication in</w:t>
      </w:r>
      <w:r w:rsidR="006274BB">
        <w:rPr>
          <w:lang w:val="en-US"/>
        </w:rPr>
        <w:t xml:space="preserve"> the</w:t>
      </w:r>
      <w:r w:rsidRPr="007B3302">
        <w:t xml:space="preserve"> light of all the information made available to it by the parties, as required under </w:t>
      </w:r>
      <w:r w:rsidR="00312BBA">
        <w:t>article </w:t>
      </w:r>
      <w:r w:rsidRPr="007B3302">
        <w:t xml:space="preserve">5, </w:t>
      </w:r>
      <w:r w:rsidR="00312BBA">
        <w:t>paragraph </w:t>
      </w:r>
      <w:r w:rsidRPr="007B3302">
        <w:t>1, of the Optional Protocol.</w:t>
      </w:r>
    </w:p>
    <w:p w:rsidR="00F75DD2" w:rsidRDefault="00F75DD2" w:rsidP="00BA3D80">
      <w:pPr>
        <w:pStyle w:val="SingleTxtG"/>
      </w:pPr>
      <w:r>
        <w:t>7</w:t>
      </w:r>
      <w:r w:rsidR="00853700">
        <w:t>.2</w:t>
      </w:r>
      <w:r w:rsidRPr="007B3302">
        <w:tab/>
        <w:t>The issue before the Committee is whether</w:t>
      </w:r>
      <w:r>
        <w:t xml:space="preserve"> the author </w:t>
      </w:r>
      <w:r w:rsidR="00D20035">
        <w:rPr>
          <w:lang w:val="en-US"/>
        </w:rPr>
        <w:t>being prevented from</w:t>
      </w:r>
      <w:r w:rsidR="00995408">
        <w:t xml:space="preserve"> participat</w:t>
      </w:r>
      <w:r w:rsidR="00D20035">
        <w:t>ing</w:t>
      </w:r>
      <w:r w:rsidR="00995408">
        <w:t xml:space="preserve"> in a gathering</w:t>
      </w:r>
      <w:r w:rsidR="00EF6C23">
        <w:t xml:space="preserve"> which took place in a meeting room situated on the first floor of a bar</w:t>
      </w:r>
      <w:r w:rsidR="00D20035">
        <w:t>,</w:t>
      </w:r>
      <w:r w:rsidR="00995408">
        <w:t xml:space="preserve"> and </w:t>
      </w:r>
      <w:r w:rsidR="00D20035">
        <w:rPr>
          <w:lang w:val="en-US"/>
        </w:rPr>
        <w:t xml:space="preserve">being </w:t>
      </w:r>
      <w:r>
        <w:t>subsequent</w:t>
      </w:r>
      <w:r w:rsidR="00D20035">
        <w:rPr>
          <w:lang w:val="en-US"/>
        </w:rPr>
        <w:t>ly</w:t>
      </w:r>
      <w:r>
        <w:t xml:space="preserve"> apprehen</w:t>
      </w:r>
      <w:r w:rsidR="00D20035">
        <w:rPr>
          <w:lang w:val="en-US"/>
        </w:rPr>
        <w:t>ded</w:t>
      </w:r>
      <w:r>
        <w:t xml:space="preserve"> and sentence</w:t>
      </w:r>
      <w:r w:rsidR="00D20035">
        <w:rPr>
          <w:lang w:val="en-US"/>
        </w:rPr>
        <w:t>d</w:t>
      </w:r>
      <w:r>
        <w:t xml:space="preserve"> to an administrative fine</w:t>
      </w:r>
      <w:r w:rsidR="00D20035">
        <w:rPr>
          <w:lang w:val="en-US"/>
        </w:rPr>
        <w:t>,</w:t>
      </w:r>
      <w:r>
        <w:t xml:space="preserve"> </w:t>
      </w:r>
      <w:r w:rsidRPr="007B3302">
        <w:t>constitute</w:t>
      </w:r>
      <w:r>
        <w:t>d</w:t>
      </w:r>
      <w:r w:rsidRPr="007B3302">
        <w:t xml:space="preserve"> a violation of the author</w:t>
      </w:r>
      <w:r w:rsidR="00995408">
        <w:t>’s</w:t>
      </w:r>
      <w:r w:rsidRPr="007B3302">
        <w:t xml:space="preserve"> rights under article</w:t>
      </w:r>
      <w:r w:rsidR="00CD1D9B">
        <w:t>s</w:t>
      </w:r>
      <w:r w:rsidR="00F87EC6" w:rsidRPr="00130E81">
        <w:rPr>
          <w:lang w:val="en-US"/>
        </w:rPr>
        <w:t> </w:t>
      </w:r>
      <w:r w:rsidRPr="007B3302">
        <w:t xml:space="preserve">19 </w:t>
      </w:r>
      <w:r w:rsidR="00CD1D9B">
        <w:t>and</w:t>
      </w:r>
      <w:r>
        <w:t xml:space="preserve"> 21 </w:t>
      </w:r>
      <w:r w:rsidRPr="007B3302">
        <w:t xml:space="preserve">of the Covenant. </w:t>
      </w:r>
    </w:p>
    <w:p w:rsidR="00F75DD2" w:rsidRPr="00402884" w:rsidRDefault="00F75DD2" w:rsidP="00F75DD2">
      <w:pPr>
        <w:pStyle w:val="SingleTxtG"/>
        <w:rPr>
          <w:lang w:val="en-US"/>
        </w:rPr>
      </w:pPr>
      <w:r>
        <w:t>7.3</w:t>
      </w:r>
      <w:r>
        <w:tab/>
      </w:r>
      <w:r w:rsidRPr="007B3302">
        <w:t>The Committee</w:t>
      </w:r>
      <w:r>
        <w:t xml:space="preserve"> </w:t>
      </w:r>
      <w:r w:rsidRPr="007B3302">
        <w:t xml:space="preserve">recalls that </w:t>
      </w:r>
      <w:r w:rsidR="00312BBA">
        <w:t>article </w:t>
      </w:r>
      <w:r w:rsidRPr="007B3302">
        <w:t xml:space="preserve">19, </w:t>
      </w:r>
      <w:r w:rsidR="00312BBA">
        <w:t>paragraph </w:t>
      </w:r>
      <w:r w:rsidRPr="007B3302">
        <w:t>2</w:t>
      </w:r>
      <w:r>
        <w:t>,</w:t>
      </w:r>
      <w:r w:rsidRPr="007B3302">
        <w:t xml:space="preserve"> of the Covenant requires State parties to guarantee the right to freedom of expression, including the freedom to</w:t>
      </w:r>
      <w:r>
        <w:t xml:space="preserve"> seek, receive and</w:t>
      </w:r>
      <w:r w:rsidRPr="007B3302">
        <w:t xml:space="preserve"> impart information</w:t>
      </w:r>
      <w:r>
        <w:t xml:space="preserve"> and ideas of all kinds, regardless of frontiers, either orally, in writing or in print</w:t>
      </w:r>
      <w:r w:rsidRPr="007B3302">
        <w:t>. The Committee re</w:t>
      </w:r>
      <w:r w:rsidR="00F87EC6">
        <w:t>fers to its general comment No.</w:t>
      </w:r>
      <w:r w:rsidR="00F87EC6" w:rsidRPr="00130E81">
        <w:rPr>
          <w:lang w:val="en-US"/>
        </w:rPr>
        <w:t> </w:t>
      </w:r>
      <w:r w:rsidRPr="007B3302">
        <w:t>34 (2011) on freedoms of opinion and expression, according to which freedom of opinion and freedom of expression are indispensable conditions for the full development of the person. They are essential for any society and constitute the foundation stone for every free and democratic society.</w:t>
      </w:r>
      <w:r w:rsidRPr="00A50676">
        <w:rPr>
          <w:rStyle w:val="FootnoteReference"/>
          <w:sz w:val="20"/>
        </w:rPr>
        <w:footnoteReference w:id="6"/>
      </w:r>
    </w:p>
    <w:p w:rsidR="00F75DD2" w:rsidRDefault="00F75DD2" w:rsidP="00BA3D80">
      <w:pPr>
        <w:pStyle w:val="SingleTxtG"/>
      </w:pPr>
      <w:r>
        <w:t>7.4</w:t>
      </w:r>
      <w:r w:rsidR="000F7F55">
        <w:tab/>
      </w:r>
      <w:r>
        <w:t xml:space="preserve">The Committee also notes that the </w:t>
      </w:r>
      <w:r w:rsidRPr="007B0F4F">
        <w:t xml:space="preserve">right of peaceful assembly, as guaranteed under </w:t>
      </w:r>
      <w:r w:rsidR="00312BBA">
        <w:t>article </w:t>
      </w:r>
      <w:r w:rsidRPr="007B0F4F">
        <w:t>21 of the Covenant, is a fundamental human right, being essential for public expression of one’s views and opinions and indispensable in a democratic society.</w:t>
      </w:r>
      <w:r>
        <w:rPr>
          <w:rStyle w:val="FootnoteReference"/>
        </w:rPr>
        <w:footnoteReference w:id="7"/>
      </w:r>
      <w:r w:rsidRPr="007B0F4F">
        <w:t xml:space="preserve"> This right </w:t>
      </w:r>
      <w:r w:rsidR="00EF6C23" w:rsidRPr="00EF6C23">
        <w:t xml:space="preserve">includes the right to </w:t>
      </w:r>
      <w:r w:rsidRPr="00EF6C23">
        <w:t>organiz</w:t>
      </w:r>
      <w:r w:rsidR="00EF6C23" w:rsidRPr="00EF6C23">
        <w:t>e</w:t>
      </w:r>
      <w:r w:rsidRPr="00EF6C23">
        <w:t xml:space="preserve"> and participat</w:t>
      </w:r>
      <w:r w:rsidR="00EF6C23" w:rsidRPr="00EF6C23">
        <w:t>e</w:t>
      </w:r>
      <w:r w:rsidRPr="007B0F4F">
        <w:t xml:space="preserve"> in a </w:t>
      </w:r>
      <w:r>
        <w:t xml:space="preserve">peaceful assembly and manifestation </w:t>
      </w:r>
      <w:r w:rsidRPr="007B0F4F">
        <w:t>with the intent to support or disapprove one or another particular cause.</w:t>
      </w:r>
    </w:p>
    <w:p w:rsidR="00F75DD2" w:rsidRPr="009761C1" w:rsidRDefault="00F75DD2" w:rsidP="00582FB3">
      <w:pPr>
        <w:pStyle w:val="SingleTxtG"/>
      </w:pPr>
      <w:r>
        <w:t>7.5</w:t>
      </w:r>
      <w:r w:rsidR="000F7F55">
        <w:tab/>
      </w:r>
      <w:r w:rsidRPr="00831C98">
        <w:t xml:space="preserve">The Committee takes </w:t>
      </w:r>
      <w:r>
        <w:t xml:space="preserve">a </w:t>
      </w:r>
      <w:r w:rsidRPr="00831C98">
        <w:t>note of author’</w:t>
      </w:r>
      <w:r w:rsidR="00DE3079">
        <w:t>s</w:t>
      </w:r>
      <w:r w:rsidRPr="00831C98">
        <w:t xml:space="preserve"> </w:t>
      </w:r>
      <w:r w:rsidR="00DE3079">
        <w:t>claims</w:t>
      </w:r>
      <w:r w:rsidRPr="00831C98">
        <w:t xml:space="preserve"> that </w:t>
      </w:r>
      <w:r w:rsidR="00CD1D9B">
        <w:t>he was</w:t>
      </w:r>
      <w:r w:rsidRPr="00831C98">
        <w:t xml:space="preserve"> </w:t>
      </w:r>
      <w:r w:rsidR="00DA0FA4" w:rsidRPr="00831C98">
        <w:t xml:space="preserve">detained </w:t>
      </w:r>
      <w:r w:rsidR="00DA0FA4">
        <w:t>during</w:t>
      </w:r>
      <w:r w:rsidR="00CD1D9B">
        <w:t xml:space="preserve"> his participation in a meeting of a political party </w:t>
      </w:r>
      <w:r w:rsidRPr="00831C98">
        <w:t>and charged for committing</w:t>
      </w:r>
      <w:r w:rsidR="00DA0FA4">
        <w:t xml:space="preserve"> an</w:t>
      </w:r>
      <w:r w:rsidRPr="00831C98">
        <w:t xml:space="preserve"> administrative </w:t>
      </w:r>
      <w:r w:rsidRPr="00831C98">
        <w:lastRenderedPageBreak/>
        <w:t xml:space="preserve">offence. </w:t>
      </w:r>
      <w:r w:rsidR="009761C1" w:rsidRPr="009761C1">
        <w:t>The issue before the Committee therefore is to consider whether</w:t>
      </w:r>
      <w:r w:rsidR="007C6D81">
        <w:t xml:space="preserve"> the State party</w:t>
      </w:r>
      <w:r w:rsidR="009761C1" w:rsidRPr="009761C1">
        <w:t>, by p</w:t>
      </w:r>
      <w:r w:rsidR="00DA0FA4" w:rsidRPr="009761C1">
        <w:t>reventing the author</w:t>
      </w:r>
      <w:r w:rsidRPr="009761C1">
        <w:t xml:space="preserve"> </w:t>
      </w:r>
      <w:r w:rsidR="00DA0FA4" w:rsidRPr="009761C1">
        <w:t>from participating in a meeting under the auspices of a political party</w:t>
      </w:r>
      <w:r w:rsidRPr="009761C1">
        <w:t xml:space="preserve">, detaining and charging </w:t>
      </w:r>
      <w:r w:rsidR="00DA0FA4" w:rsidRPr="009761C1">
        <w:t>him with an administrative offen</w:t>
      </w:r>
      <w:r w:rsidR="00D20035">
        <w:t>c</w:t>
      </w:r>
      <w:r w:rsidR="00DA0FA4" w:rsidRPr="009761C1">
        <w:t>e and subsequent</w:t>
      </w:r>
      <w:r w:rsidR="00CE4937" w:rsidRPr="009761C1">
        <w:t>ly</w:t>
      </w:r>
      <w:r w:rsidR="00DA0FA4" w:rsidRPr="009761C1">
        <w:t xml:space="preserve"> sentenc</w:t>
      </w:r>
      <w:r w:rsidR="00CE4937" w:rsidRPr="009761C1">
        <w:t>ing him</w:t>
      </w:r>
      <w:r w:rsidR="00DA0FA4" w:rsidRPr="009761C1">
        <w:t xml:space="preserve"> to a fine</w:t>
      </w:r>
      <w:r w:rsidR="009761C1" w:rsidRPr="009761C1">
        <w:t>,</w:t>
      </w:r>
      <w:r w:rsidR="00DA0FA4" w:rsidRPr="009761C1">
        <w:t xml:space="preserve"> </w:t>
      </w:r>
      <w:r w:rsidR="007C6D81">
        <w:t>has unjustifiably</w:t>
      </w:r>
      <w:r w:rsidR="009761C1" w:rsidRPr="009761C1">
        <w:t xml:space="preserve"> restrict</w:t>
      </w:r>
      <w:r w:rsidR="007C6D81">
        <w:t>ed</w:t>
      </w:r>
      <w:r w:rsidR="009761C1" w:rsidRPr="009761C1">
        <w:t xml:space="preserve"> </w:t>
      </w:r>
      <w:r w:rsidR="00DA0FA4" w:rsidRPr="009761C1">
        <w:t>his</w:t>
      </w:r>
      <w:r w:rsidRPr="009761C1">
        <w:t xml:space="preserve"> rights </w:t>
      </w:r>
      <w:r w:rsidR="009761C1" w:rsidRPr="009761C1">
        <w:t xml:space="preserve">as </w:t>
      </w:r>
      <w:r w:rsidRPr="009761C1">
        <w:t xml:space="preserve">guaranteed </w:t>
      </w:r>
      <w:r w:rsidR="00D20035">
        <w:t>in</w:t>
      </w:r>
      <w:r w:rsidRPr="009761C1">
        <w:t xml:space="preserve"> article</w:t>
      </w:r>
      <w:r w:rsidR="007C6D81">
        <w:t>s</w:t>
      </w:r>
      <w:r w:rsidR="00B01C24">
        <w:t> </w:t>
      </w:r>
      <w:r w:rsidRPr="009761C1">
        <w:t xml:space="preserve">19 </w:t>
      </w:r>
      <w:r w:rsidR="00D443EB" w:rsidRPr="009761C1">
        <w:t>and</w:t>
      </w:r>
      <w:r w:rsidR="001178C2" w:rsidRPr="009761C1">
        <w:t xml:space="preserve"> </w:t>
      </w:r>
      <w:r w:rsidRPr="009761C1">
        <w:t xml:space="preserve">21 of the Covenant. </w:t>
      </w:r>
    </w:p>
    <w:p w:rsidR="00F75DD2" w:rsidRPr="009761C1" w:rsidRDefault="006A2ABA" w:rsidP="000F2DE9">
      <w:pPr>
        <w:pStyle w:val="SingleTxtG"/>
      </w:pPr>
      <w:r w:rsidRPr="009761C1">
        <w:t>7.6</w:t>
      </w:r>
      <w:r w:rsidR="00F75DD2" w:rsidRPr="009761C1">
        <w:tab/>
        <w:t xml:space="preserve">The Committee recalls that </w:t>
      </w:r>
      <w:r w:rsidR="00312BBA">
        <w:t>article </w:t>
      </w:r>
      <w:r w:rsidR="00F75DD2" w:rsidRPr="009761C1">
        <w:t xml:space="preserve">19, </w:t>
      </w:r>
      <w:r w:rsidR="00312BBA">
        <w:t>paragraph </w:t>
      </w:r>
      <w:r w:rsidR="00F75DD2" w:rsidRPr="009761C1">
        <w:t>3 of the Covenant allows certain restrictions, but only as pro</w:t>
      </w:r>
      <w:r w:rsidR="00B01C24">
        <w:t>vided by law and necessary: (a) </w:t>
      </w:r>
      <w:r w:rsidR="00F75DD2" w:rsidRPr="009761C1">
        <w:t xml:space="preserve">for respect of the rights </w:t>
      </w:r>
      <w:r w:rsidR="00B01C24">
        <w:t>or reputation of others; or (b) </w:t>
      </w:r>
      <w:r w:rsidR="00F75DD2" w:rsidRPr="009761C1">
        <w:t>for the protection of national security or of public order (</w:t>
      </w:r>
      <w:r w:rsidR="00F75DD2" w:rsidRPr="00141B4A">
        <w:rPr>
          <w:i/>
          <w:iCs/>
        </w:rPr>
        <w:t>ordre public</w:t>
      </w:r>
      <w:r w:rsidR="00F75DD2" w:rsidRPr="009761C1">
        <w:t xml:space="preserve">), or of public health or morals. </w:t>
      </w:r>
      <w:r w:rsidR="008C58E4" w:rsidRPr="009761C1">
        <w:t>It observes that any restriction on the exercise of the right</w:t>
      </w:r>
      <w:r w:rsidR="00B80ED5">
        <w:t>s provided for</w:t>
      </w:r>
      <w:r w:rsidR="008C58E4" w:rsidRPr="009761C1">
        <w:t xml:space="preserve"> </w:t>
      </w:r>
      <w:r w:rsidR="00B80ED5">
        <w:t>in</w:t>
      </w:r>
      <w:r w:rsidR="008C58E4" w:rsidRPr="009761C1">
        <w:t xml:space="preserve"> </w:t>
      </w:r>
      <w:r w:rsidR="00312BBA">
        <w:t>article </w:t>
      </w:r>
      <w:r w:rsidR="008C58E4" w:rsidRPr="009761C1">
        <w:t>19</w:t>
      </w:r>
      <w:r w:rsidR="00B80ED5">
        <w:t xml:space="preserve">, </w:t>
      </w:r>
      <w:r w:rsidR="00312BBA">
        <w:t>paragraph </w:t>
      </w:r>
      <w:r w:rsidR="00B80ED5">
        <w:t>2,</w:t>
      </w:r>
      <w:r w:rsidR="008C58E4" w:rsidRPr="009761C1">
        <w:t xml:space="preserve"> must conform to the strict test of necessity</w:t>
      </w:r>
      <w:r w:rsidR="00B80ED5">
        <w:t xml:space="preserve"> and proportionality</w:t>
      </w:r>
      <w:r w:rsidR="00AB0196" w:rsidRPr="009761C1">
        <w:t xml:space="preserve"> and must be directly related to the specific need on which they are predicated</w:t>
      </w:r>
      <w:r w:rsidR="008C58E4" w:rsidRPr="009761C1">
        <w:t>.</w:t>
      </w:r>
      <w:r w:rsidR="00AB0196" w:rsidRPr="009761C1">
        <w:rPr>
          <w:rStyle w:val="FootnoteReference"/>
          <w:sz w:val="20"/>
        </w:rPr>
        <w:footnoteReference w:id="8"/>
      </w:r>
      <w:r w:rsidR="00B073A2" w:rsidRPr="009761C1">
        <w:t xml:space="preserve"> </w:t>
      </w:r>
      <w:r w:rsidR="00F75DD2" w:rsidRPr="009761C1">
        <w:t xml:space="preserve">The Committee further notes that no restrictions may be placed on the right guaranteed under </w:t>
      </w:r>
      <w:r w:rsidR="00312BBA">
        <w:t>article </w:t>
      </w:r>
      <w:r w:rsidR="00F75DD2" w:rsidRPr="009761C1">
        <w:t>21 other than those imposed in conformity with the law and which are necessary in a democratic society in the interests of national security or public safety, public order (</w:t>
      </w:r>
      <w:r w:rsidR="00F75DD2" w:rsidRPr="00141B4A">
        <w:rPr>
          <w:i/>
          <w:iCs/>
        </w:rPr>
        <w:t>ordre public</w:t>
      </w:r>
      <w:r w:rsidR="00F75DD2" w:rsidRPr="009761C1">
        <w:t xml:space="preserve">), the protection of public health or morals or the protection of the rights and freedoms of others. </w:t>
      </w:r>
    </w:p>
    <w:p w:rsidR="003C5D66" w:rsidRPr="009761C1" w:rsidRDefault="00F75DD2" w:rsidP="00BA3D80">
      <w:pPr>
        <w:pStyle w:val="SingleTxtG"/>
        <w:rPr>
          <w:snapToGrid w:val="0"/>
        </w:rPr>
      </w:pPr>
      <w:r w:rsidRPr="009761C1">
        <w:t>7.</w:t>
      </w:r>
      <w:r w:rsidR="006A2ABA" w:rsidRPr="009761C1">
        <w:t>7</w:t>
      </w:r>
      <w:r w:rsidRPr="009761C1">
        <w:tab/>
      </w:r>
      <w:r w:rsidR="00D443EB" w:rsidRPr="009761C1">
        <w:t xml:space="preserve">The Committee notes the State party’s argument that the author was arrested </w:t>
      </w:r>
      <w:r w:rsidR="00CA2AFF" w:rsidRPr="009761C1">
        <w:rPr>
          <w:snapToGrid w:val="0"/>
        </w:rPr>
        <w:t xml:space="preserve">because he was participating in an unauthorized gathering, in violation of </w:t>
      </w:r>
      <w:r w:rsidR="00D20035">
        <w:rPr>
          <w:snapToGrid w:val="0"/>
        </w:rPr>
        <w:t>article </w:t>
      </w:r>
      <w:r w:rsidR="00D20035" w:rsidRPr="007C6D81">
        <w:rPr>
          <w:snapToGrid w:val="0"/>
        </w:rPr>
        <w:t xml:space="preserve">23.34, </w:t>
      </w:r>
      <w:r w:rsidR="00D20035">
        <w:rPr>
          <w:snapToGrid w:val="0"/>
        </w:rPr>
        <w:t>paragraph </w:t>
      </w:r>
      <w:r w:rsidR="00D20035" w:rsidRPr="007C6D81">
        <w:rPr>
          <w:snapToGrid w:val="0"/>
        </w:rPr>
        <w:t xml:space="preserve">1, </w:t>
      </w:r>
      <w:r w:rsidR="00FA5669">
        <w:rPr>
          <w:snapToGrid w:val="0"/>
        </w:rPr>
        <w:t xml:space="preserve">of </w:t>
      </w:r>
      <w:r w:rsidR="00CA2AFF" w:rsidRPr="009761C1">
        <w:rPr>
          <w:snapToGrid w:val="0"/>
        </w:rPr>
        <w:t xml:space="preserve">the </w:t>
      </w:r>
      <w:r w:rsidR="00D20035">
        <w:rPr>
          <w:snapToGrid w:val="0"/>
        </w:rPr>
        <w:t>C</w:t>
      </w:r>
      <w:r w:rsidR="00CA2AFF" w:rsidRPr="009761C1">
        <w:rPr>
          <w:snapToGrid w:val="0"/>
        </w:rPr>
        <w:t xml:space="preserve">ode of </w:t>
      </w:r>
      <w:r w:rsidR="00D20035">
        <w:rPr>
          <w:snapToGrid w:val="0"/>
        </w:rPr>
        <w:t>A</w:t>
      </w:r>
      <w:r w:rsidR="00CA2AFF" w:rsidRPr="007C6D81">
        <w:rPr>
          <w:snapToGrid w:val="0"/>
        </w:rPr>
        <w:t xml:space="preserve">dministrative </w:t>
      </w:r>
      <w:r w:rsidR="00D20035">
        <w:rPr>
          <w:snapToGrid w:val="0"/>
        </w:rPr>
        <w:t>O</w:t>
      </w:r>
      <w:r w:rsidR="00CA2AFF" w:rsidRPr="007C6D81">
        <w:rPr>
          <w:snapToGrid w:val="0"/>
        </w:rPr>
        <w:t xml:space="preserve">ffences, and that the actions by the police officers to </w:t>
      </w:r>
      <w:r w:rsidR="00636B39" w:rsidRPr="009761C1">
        <w:rPr>
          <w:snapToGrid w:val="0"/>
        </w:rPr>
        <w:t xml:space="preserve">put an end </w:t>
      </w:r>
      <w:r w:rsidR="00995A1B">
        <w:rPr>
          <w:snapToGrid w:val="0"/>
        </w:rPr>
        <w:t>to</w:t>
      </w:r>
      <w:r w:rsidR="00636B39" w:rsidRPr="009761C1">
        <w:rPr>
          <w:snapToGrid w:val="0"/>
        </w:rPr>
        <w:t xml:space="preserve"> </w:t>
      </w:r>
      <w:r w:rsidR="00CA2AFF" w:rsidRPr="009761C1">
        <w:rPr>
          <w:snapToGrid w:val="0"/>
        </w:rPr>
        <w:t xml:space="preserve">the unauthorized event were justified since the organizers </w:t>
      </w:r>
      <w:r w:rsidR="0088056A" w:rsidRPr="009761C1">
        <w:rPr>
          <w:snapToGrid w:val="0"/>
        </w:rPr>
        <w:t xml:space="preserve">had not </w:t>
      </w:r>
      <w:r w:rsidR="00CA2AFF" w:rsidRPr="009761C1">
        <w:rPr>
          <w:snapToGrid w:val="0"/>
        </w:rPr>
        <w:t>obtain</w:t>
      </w:r>
      <w:r w:rsidR="0088056A" w:rsidRPr="009761C1">
        <w:rPr>
          <w:snapToGrid w:val="0"/>
        </w:rPr>
        <w:t>ed</w:t>
      </w:r>
      <w:r w:rsidR="00CA2AFF" w:rsidRPr="009761C1">
        <w:rPr>
          <w:snapToGrid w:val="0"/>
        </w:rPr>
        <w:t xml:space="preserve"> authorization before</w:t>
      </w:r>
      <w:r w:rsidR="00636B39" w:rsidRPr="009761C1">
        <w:rPr>
          <w:snapToGrid w:val="0"/>
        </w:rPr>
        <w:t>hand</w:t>
      </w:r>
      <w:r w:rsidR="00CA2AFF" w:rsidRPr="009761C1">
        <w:rPr>
          <w:snapToGrid w:val="0"/>
        </w:rPr>
        <w:t xml:space="preserve">. </w:t>
      </w:r>
      <w:r w:rsidR="00636B39" w:rsidRPr="009761C1">
        <w:rPr>
          <w:snapToGrid w:val="0"/>
        </w:rPr>
        <w:t>It also notes, however, that t</w:t>
      </w:r>
      <w:r w:rsidR="002E44F6" w:rsidRPr="005152B0">
        <w:rPr>
          <w:snapToGrid w:val="0"/>
        </w:rPr>
        <w:t xml:space="preserve">he State party has failed to demonstrate that the author’s detention and fine, even if based on law, were necessary, for one of the legitimate purposes of </w:t>
      </w:r>
      <w:r w:rsidR="00312BBA">
        <w:rPr>
          <w:snapToGrid w:val="0"/>
        </w:rPr>
        <w:t>article </w:t>
      </w:r>
      <w:r w:rsidR="002E44F6" w:rsidRPr="005152B0">
        <w:rPr>
          <w:snapToGrid w:val="0"/>
        </w:rPr>
        <w:t xml:space="preserve">19, </w:t>
      </w:r>
      <w:r w:rsidR="00312BBA">
        <w:rPr>
          <w:snapToGrid w:val="0"/>
        </w:rPr>
        <w:t>paragraph </w:t>
      </w:r>
      <w:r w:rsidR="002E44F6" w:rsidRPr="005152B0">
        <w:rPr>
          <w:snapToGrid w:val="0"/>
        </w:rPr>
        <w:t>3</w:t>
      </w:r>
      <w:r w:rsidR="009761C1">
        <w:rPr>
          <w:snapToGrid w:val="0"/>
        </w:rPr>
        <w:t>,</w:t>
      </w:r>
      <w:r w:rsidR="002E44F6" w:rsidRPr="009761C1">
        <w:rPr>
          <w:snapToGrid w:val="0"/>
        </w:rPr>
        <w:t xml:space="preserve"> of the Covenant.</w:t>
      </w:r>
      <w:r w:rsidR="00B80ED5">
        <w:rPr>
          <w:snapToGrid w:val="0"/>
        </w:rPr>
        <w:t xml:space="preserve"> The State party further failed to justify why the authorization was needed for holding a meeting in a private space rented by the political party.</w:t>
      </w:r>
      <w:r w:rsidR="002E44F6" w:rsidRPr="009761C1">
        <w:rPr>
          <w:snapToGrid w:val="0"/>
        </w:rPr>
        <w:t xml:space="preserve"> </w:t>
      </w:r>
      <w:r w:rsidR="00636B39" w:rsidRPr="009761C1">
        <w:rPr>
          <w:snapToGrid w:val="0"/>
        </w:rPr>
        <w:t>In th</w:t>
      </w:r>
      <w:r w:rsidR="00FA5669">
        <w:rPr>
          <w:snapToGrid w:val="0"/>
        </w:rPr>
        <w:t>at</w:t>
      </w:r>
      <w:r w:rsidR="00636B39" w:rsidRPr="009761C1">
        <w:rPr>
          <w:snapToGrid w:val="0"/>
        </w:rPr>
        <w:t xml:space="preserve"> </w:t>
      </w:r>
      <w:r w:rsidR="00636B39" w:rsidRPr="007C6D81">
        <w:rPr>
          <w:snapToGrid w:val="0"/>
        </w:rPr>
        <w:t>connection, t</w:t>
      </w:r>
      <w:r w:rsidR="002E44F6" w:rsidRPr="007C6D81">
        <w:rPr>
          <w:snapToGrid w:val="0"/>
        </w:rPr>
        <w:t xml:space="preserve">he Committee recalls that </w:t>
      </w:r>
      <w:r w:rsidR="002E44F6" w:rsidRPr="009761C1">
        <w:t>it is for the State party to demonstrate that the restrictions imposed were necessary in the case in question.</w:t>
      </w:r>
      <w:r w:rsidR="003C5D66" w:rsidRPr="009761C1">
        <w:rPr>
          <w:rStyle w:val="FootnoteReference"/>
        </w:rPr>
        <w:footnoteReference w:id="9"/>
      </w:r>
    </w:p>
    <w:p w:rsidR="00F75DD2" w:rsidRPr="009761C1" w:rsidRDefault="00D95F7E" w:rsidP="002E0420">
      <w:pPr>
        <w:pStyle w:val="SingleTxtG"/>
      </w:pPr>
      <w:r w:rsidRPr="009761C1">
        <w:t>7.8.</w:t>
      </w:r>
      <w:r w:rsidR="0062786C">
        <w:tab/>
      </w:r>
      <w:r w:rsidR="00F75DD2" w:rsidRPr="009761C1">
        <w:t xml:space="preserve">In the circumstances described above and in the absence of any </w:t>
      </w:r>
      <w:r w:rsidR="003C5D66" w:rsidRPr="009761C1">
        <w:t>other pertinent</w:t>
      </w:r>
      <w:r w:rsidR="00510FCB" w:rsidRPr="009761C1">
        <w:t xml:space="preserve"> </w:t>
      </w:r>
      <w:r w:rsidR="00F75DD2" w:rsidRPr="009761C1">
        <w:t>information</w:t>
      </w:r>
      <w:r w:rsidR="003C5D66" w:rsidRPr="009761C1">
        <w:t xml:space="preserve"> </w:t>
      </w:r>
      <w:r w:rsidR="00F75DD2" w:rsidRPr="009761C1">
        <w:t xml:space="preserve">from the State party to justify the restriction for purposes of </w:t>
      </w:r>
      <w:r w:rsidR="00312BBA">
        <w:t>article </w:t>
      </w:r>
      <w:r w:rsidR="00F75DD2" w:rsidRPr="009761C1">
        <w:t xml:space="preserve">19, </w:t>
      </w:r>
      <w:r w:rsidR="00312BBA">
        <w:t>paragraph </w:t>
      </w:r>
      <w:r w:rsidR="00F75DD2" w:rsidRPr="009761C1">
        <w:t xml:space="preserve">3, the Committee concludes that the authors’ rights under </w:t>
      </w:r>
      <w:r w:rsidR="00312BBA">
        <w:t>article </w:t>
      </w:r>
      <w:r w:rsidR="00F75DD2" w:rsidRPr="009761C1">
        <w:t xml:space="preserve">19, </w:t>
      </w:r>
      <w:r w:rsidR="00312BBA">
        <w:t>paragraph </w:t>
      </w:r>
      <w:r w:rsidR="00F75DD2" w:rsidRPr="009761C1">
        <w:t>2</w:t>
      </w:r>
      <w:r w:rsidR="005D08E4">
        <w:t>, of the Covenant were violated</w:t>
      </w:r>
      <w:r w:rsidR="00510FCB" w:rsidRPr="009761C1">
        <w:t xml:space="preserve">. </w:t>
      </w:r>
      <w:r w:rsidR="00995A1B">
        <w:t>F</w:t>
      </w:r>
      <w:r w:rsidR="000D0BF8">
        <w:t>o</w:t>
      </w:r>
      <w:r w:rsidR="00995A1B">
        <w:t>r the same reason</w:t>
      </w:r>
      <w:r w:rsidR="00B80ED5">
        <w:t xml:space="preserve">, namely, the absence of any pertinent information from the State party to justify restrictions under </w:t>
      </w:r>
      <w:r w:rsidR="00312BBA">
        <w:t>article </w:t>
      </w:r>
      <w:r w:rsidR="00B80ED5">
        <w:t xml:space="preserve">21, </w:t>
      </w:r>
      <w:r w:rsidR="00510FCB" w:rsidRPr="009761C1">
        <w:t xml:space="preserve">the Committee concludes that </w:t>
      </w:r>
      <w:r w:rsidR="00636B39" w:rsidRPr="009761C1">
        <w:t xml:space="preserve">the author’s rights under </w:t>
      </w:r>
      <w:r w:rsidR="00312BBA">
        <w:t>article </w:t>
      </w:r>
      <w:r w:rsidR="00F75DD2" w:rsidRPr="009761C1">
        <w:t>21 of the Covenant have</w:t>
      </w:r>
      <w:r w:rsidR="00636B39" w:rsidRPr="009761C1">
        <w:t xml:space="preserve"> also</w:t>
      </w:r>
      <w:r w:rsidR="00F75DD2" w:rsidRPr="009761C1">
        <w:t xml:space="preserve"> been violated. </w:t>
      </w:r>
    </w:p>
    <w:p w:rsidR="00F75DD2" w:rsidRPr="009B6358" w:rsidRDefault="00F75DD2" w:rsidP="00582FB3">
      <w:pPr>
        <w:pStyle w:val="SingleTxtG"/>
      </w:pPr>
      <w:r>
        <w:t>8.</w:t>
      </w:r>
      <w:r>
        <w:tab/>
      </w:r>
      <w:r w:rsidRPr="009B6358">
        <w:t xml:space="preserve">The Human Rights Committee, acting under </w:t>
      </w:r>
      <w:r w:rsidR="00312BBA">
        <w:t>article </w:t>
      </w:r>
      <w:r w:rsidRPr="009B6358">
        <w:t xml:space="preserve">5, </w:t>
      </w:r>
      <w:r w:rsidR="00312BBA">
        <w:t>paragraph </w:t>
      </w:r>
      <w:r w:rsidRPr="009B6358">
        <w:t xml:space="preserve">4, of the Optional Protocol to the International Covenant on Civil and Political Rights, is of the view that the facts before it disclose a violation by Belarus of </w:t>
      </w:r>
      <w:r w:rsidR="00312BBA">
        <w:t>article </w:t>
      </w:r>
      <w:r w:rsidRPr="009B6358">
        <w:t xml:space="preserve">19, </w:t>
      </w:r>
      <w:r w:rsidR="00312BBA">
        <w:t>paragraph </w:t>
      </w:r>
      <w:r w:rsidRPr="009B6358">
        <w:t>2</w:t>
      </w:r>
      <w:r w:rsidR="00995408">
        <w:t xml:space="preserve">, and </w:t>
      </w:r>
      <w:r w:rsidR="00312BBA">
        <w:t>article </w:t>
      </w:r>
      <w:r w:rsidR="00995408">
        <w:t xml:space="preserve">21 </w:t>
      </w:r>
      <w:r w:rsidRPr="009B6358">
        <w:t>of the Covenant</w:t>
      </w:r>
      <w:r w:rsidR="007B1B64">
        <w:t>.</w:t>
      </w:r>
    </w:p>
    <w:p w:rsidR="00F75DD2" w:rsidRPr="007B3302" w:rsidRDefault="00F75DD2" w:rsidP="002E0420">
      <w:pPr>
        <w:pStyle w:val="SingleTxtG"/>
      </w:pPr>
      <w:r>
        <w:t>9</w:t>
      </w:r>
      <w:r w:rsidRPr="007B3302">
        <w:t>.</w:t>
      </w:r>
      <w:r w:rsidRPr="007B3302">
        <w:tab/>
      </w:r>
      <w:r>
        <w:rPr>
          <w:lang w:val="en-US"/>
        </w:rPr>
        <w:t xml:space="preserve">In accordance with </w:t>
      </w:r>
      <w:r w:rsidR="00312BBA">
        <w:rPr>
          <w:lang w:val="en-US"/>
        </w:rPr>
        <w:t>article </w:t>
      </w:r>
      <w:r>
        <w:rPr>
          <w:lang w:val="en-US"/>
        </w:rPr>
        <w:t xml:space="preserve">2, </w:t>
      </w:r>
      <w:r w:rsidR="00312BBA">
        <w:rPr>
          <w:lang w:val="en-US"/>
        </w:rPr>
        <w:t>paragraph </w:t>
      </w:r>
      <w:r>
        <w:rPr>
          <w:lang w:val="en-US"/>
        </w:rPr>
        <w:t>3 (a), of the Covenant, the State party is under an o</w:t>
      </w:r>
      <w:r w:rsidR="00995408">
        <w:rPr>
          <w:lang w:val="en-US"/>
        </w:rPr>
        <w:t>bligation to provide the author</w:t>
      </w:r>
      <w:r>
        <w:rPr>
          <w:lang w:val="en-US"/>
        </w:rPr>
        <w:t xml:space="preserve"> with an effective remedy, including reimbursement of </w:t>
      </w:r>
      <w:r w:rsidR="00995408">
        <w:rPr>
          <w:lang w:val="en-US"/>
        </w:rPr>
        <w:t>any legal costs incurred by him</w:t>
      </w:r>
      <w:r>
        <w:rPr>
          <w:lang w:val="en-US"/>
        </w:rPr>
        <w:t>, together with compensation</w:t>
      </w:r>
      <w:r w:rsidR="00853700">
        <w:rPr>
          <w:lang w:val="en-US"/>
        </w:rPr>
        <w:t>.</w:t>
      </w:r>
      <w:r w:rsidRPr="007B3302">
        <w:t xml:space="preserve"> The State party is also under the obligation to take steps to prevent similar violations in the future.</w:t>
      </w:r>
    </w:p>
    <w:p w:rsidR="00F75DD2" w:rsidRDefault="00F75DD2" w:rsidP="002E0420">
      <w:pPr>
        <w:pStyle w:val="SingleTxtG"/>
        <w:rPr>
          <w:lang w:val="fr-CH"/>
        </w:rPr>
      </w:pPr>
      <w:r>
        <w:t>10</w:t>
      </w:r>
      <w:r w:rsidRPr="007B3302">
        <w:t>.</w:t>
      </w:r>
      <w:r w:rsidRPr="007B3302">
        <w:tab/>
        <w:t xml:space="preserve">Bearing in mind that, by becoming a party to the Optional Protocol, the State party has recognized the competence of the Committee to determine whether there has been a </w:t>
      </w:r>
      <w:r w:rsidRPr="007B3302">
        <w:lastRenderedPageBreak/>
        <w:t xml:space="preserve">violation of the Covenant or not and that, pursuant to </w:t>
      </w:r>
      <w:r w:rsidR="00312BBA">
        <w:t>article </w:t>
      </w:r>
      <w:r w:rsidRPr="007B3302">
        <w:t>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2E0420" w:rsidRPr="002E0420" w:rsidRDefault="002E0420" w:rsidP="002E0420">
      <w:pPr>
        <w:pStyle w:val="SingleTxtG"/>
        <w:spacing w:before="240" w:after="0"/>
        <w:jc w:val="center"/>
        <w:rPr>
          <w:u w:val="single"/>
          <w:lang w:val="fr-CH"/>
        </w:rPr>
      </w:pPr>
      <w:r>
        <w:rPr>
          <w:u w:val="single"/>
          <w:lang w:val="fr-CH"/>
        </w:rPr>
        <w:tab/>
      </w:r>
      <w:r>
        <w:rPr>
          <w:u w:val="single"/>
          <w:lang w:val="fr-CH"/>
        </w:rPr>
        <w:tab/>
      </w:r>
      <w:r>
        <w:rPr>
          <w:u w:val="single"/>
          <w:lang w:val="fr-CH"/>
        </w:rPr>
        <w:tab/>
      </w:r>
    </w:p>
    <w:sectPr w:rsidR="002E0420" w:rsidRPr="002E0420" w:rsidSect="00F82D5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AA" w:rsidRDefault="00196CAA"/>
  </w:endnote>
  <w:endnote w:type="continuationSeparator" w:id="0">
    <w:p w:rsidR="00196CAA" w:rsidRDefault="00196CAA"/>
  </w:endnote>
  <w:endnote w:type="continuationNotice" w:id="1">
    <w:p w:rsidR="00196CAA" w:rsidRDefault="0019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6" w:rsidRPr="00781C83" w:rsidRDefault="003C5D66"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2F780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6" w:rsidRPr="00781C83" w:rsidRDefault="003C5D66"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2F7800">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6" w:rsidRDefault="00196CAA">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3C5D66">
      <w:t>GE.14-</w:t>
    </w:r>
    <w:r w:rsidR="00547DD0">
      <w:t>22604</w:t>
    </w:r>
    <w:r w:rsidR="00783AA5">
      <w:t xml:space="preserve">  (E)</w:t>
    </w:r>
    <w:r w:rsidR="00783AA5">
      <w:br/>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r w:rsidR="00783AA5" w:rsidRPr="00783AA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AA" w:rsidRPr="000B175B" w:rsidRDefault="00196CAA" w:rsidP="000B175B">
      <w:pPr>
        <w:tabs>
          <w:tab w:val="right" w:pos="2155"/>
        </w:tabs>
        <w:spacing w:after="80"/>
        <w:ind w:left="680"/>
        <w:rPr>
          <w:u w:val="single"/>
        </w:rPr>
      </w:pPr>
      <w:r>
        <w:rPr>
          <w:u w:val="single"/>
        </w:rPr>
        <w:tab/>
      </w:r>
    </w:p>
  </w:footnote>
  <w:footnote w:type="continuationSeparator" w:id="0">
    <w:p w:rsidR="00196CAA" w:rsidRPr="00FC68B7" w:rsidRDefault="00196CAA" w:rsidP="00FC68B7">
      <w:pPr>
        <w:tabs>
          <w:tab w:val="left" w:pos="2155"/>
        </w:tabs>
        <w:spacing w:after="80"/>
        <w:ind w:left="680"/>
        <w:rPr>
          <w:u w:val="single"/>
        </w:rPr>
      </w:pPr>
      <w:r>
        <w:rPr>
          <w:u w:val="single"/>
        </w:rPr>
        <w:tab/>
      </w:r>
    </w:p>
  </w:footnote>
  <w:footnote w:type="continuationNotice" w:id="1">
    <w:p w:rsidR="00196CAA" w:rsidRDefault="00196CAA"/>
  </w:footnote>
  <w:footnote w:id="2">
    <w:p w:rsidR="0062786C" w:rsidRPr="0079337C" w:rsidRDefault="0062786C" w:rsidP="00AE5818">
      <w:pPr>
        <w:pStyle w:val="FootnoteText"/>
        <w:rPr>
          <w:lang w:val="en-US"/>
        </w:rPr>
      </w:pPr>
      <w:r>
        <w:rPr>
          <w:rStyle w:val="FootnoteReference"/>
        </w:rPr>
        <w:tab/>
      </w:r>
      <w:r w:rsidRPr="00402884">
        <w:rPr>
          <w:rStyle w:val="FootnoteReference"/>
          <w:sz w:val="20"/>
          <w:vertAlign w:val="baseline"/>
        </w:rPr>
        <w:t>*</w:t>
      </w:r>
      <w:r>
        <w:rPr>
          <w:rStyle w:val="FootnoteReference"/>
          <w:sz w:val="20"/>
          <w:vertAlign w:val="baseline"/>
        </w:rPr>
        <w:tab/>
      </w:r>
      <w:r w:rsidRPr="00402884">
        <w:t xml:space="preserve">The following members of the Committee participated in the examination of the present communication: Yadh Ben Achour, Lazhari Bouzid, Christine Chanet, Ahmad Amin Fathalla, Cornelis Flinterman, Yuji Iwasawa, Walter Kaelin, Zonke Zanele Majodina, Gerald L. Neuman, </w:t>
      </w:r>
      <w:r w:rsidR="00AE5818">
        <w:t xml:space="preserve">Sir </w:t>
      </w:r>
      <w:r w:rsidRPr="00402884">
        <w:t>Nigel Rodley, V</w:t>
      </w:r>
      <w:r w:rsidR="00AE5818">
        <w:rPr>
          <w:lang w:val="en-US"/>
        </w:rPr>
        <w:t>í</w:t>
      </w:r>
      <w:r w:rsidRPr="00402884">
        <w:t>ctor Manuel Rodríguez-Rescia, Fabi</w:t>
      </w:r>
      <w:r w:rsidR="00AE5818">
        <w:t>á</w:t>
      </w:r>
      <w:r w:rsidRPr="00402884">
        <w:t>n Omar Salvioli, Dheerujlall Seetulsingh, Anja Seibert-Fohr, Yuval Shany, Konstantine Vardzelashvili, Margo Waterval and Andrei Paul Zl</w:t>
      </w:r>
      <w:r w:rsidR="00AE5818" w:rsidRPr="009C0C10">
        <w:rPr>
          <w:bCs/>
          <w:szCs w:val="18"/>
        </w:rPr>
        <w:t>ă</w:t>
      </w:r>
      <w:r w:rsidRPr="00402884">
        <w:t>tescu.</w:t>
      </w:r>
    </w:p>
  </w:footnote>
  <w:footnote w:id="3">
    <w:p w:rsidR="003C5D66" w:rsidRPr="00EF6C23" w:rsidRDefault="003C5D66" w:rsidP="00BA3D80">
      <w:pPr>
        <w:pStyle w:val="FootnoteText"/>
      </w:pPr>
      <w:r w:rsidRPr="0079337C">
        <w:rPr>
          <w:lang w:val="en-US"/>
        </w:rPr>
        <w:tab/>
      </w:r>
      <w:r>
        <w:rPr>
          <w:rStyle w:val="FootnoteReference"/>
        </w:rPr>
        <w:footnoteRef/>
      </w:r>
      <w:r w:rsidRPr="00D443EB">
        <w:tab/>
      </w:r>
      <w:r w:rsidRPr="00EF6C23">
        <w:t>From the materials on file</w:t>
      </w:r>
      <w:r w:rsidR="00F81719">
        <w:t>,</w:t>
      </w:r>
      <w:r w:rsidRPr="00EF6C23">
        <w:t xml:space="preserve"> it transpires that</w:t>
      </w:r>
      <w:r w:rsidR="00F81719">
        <w:t>,</w:t>
      </w:r>
      <w:r w:rsidRPr="00EF6C23">
        <w:t xml:space="preserve"> in his </w:t>
      </w:r>
      <w:r w:rsidRPr="00853700">
        <w:t>appeal</w:t>
      </w:r>
      <w:r w:rsidRPr="00EF6C23">
        <w:t xml:space="preserve"> to the Chair of the Supreme Court of 11 April 2008, the author specifically invoked </w:t>
      </w:r>
      <w:r w:rsidR="00312BBA">
        <w:t>article </w:t>
      </w:r>
      <w:r w:rsidRPr="00EF6C23">
        <w:t>12.11 of th</w:t>
      </w:r>
      <w:r>
        <w:t>e</w:t>
      </w:r>
      <w:r w:rsidRPr="00EF6C23">
        <w:t xml:space="preserve"> Procedural Code on </w:t>
      </w:r>
      <w:r w:rsidR="00F81719">
        <w:t>the Enforcement</w:t>
      </w:r>
      <w:r w:rsidR="00F81719" w:rsidRPr="00EF6C23">
        <w:t xml:space="preserve"> </w:t>
      </w:r>
      <w:r w:rsidRPr="00EF6C23">
        <w:t xml:space="preserve">of </w:t>
      </w:r>
      <w:r w:rsidR="00F81719">
        <w:t>A</w:t>
      </w:r>
      <w:r w:rsidRPr="00EF6C23">
        <w:t xml:space="preserve">dministrative </w:t>
      </w:r>
      <w:r w:rsidR="00F81719">
        <w:t>Penalties</w:t>
      </w:r>
      <w:r w:rsidR="00F81719" w:rsidRPr="00EF6C23">
        <w:t xml:space="preserve"> </w:t>
      </w:r>
      <w:r w:rsidRPr="00EF6C23">
        <w:t>(</w:t>
      </w:r>
      <w:r w:rsidRPr="00BA3D80">
        <w:t xml:space="preserve">see </w:t>
      </w:r>
      <w:r w:rsidR="00312BBA" w:rsidRPr="00BA3D80">
        <w:t>para</w:t>
      </w:r>
      <w:r w:rsidR="00F81719" w:rsidRPr="00BA3D80">
        <w:t>.</w:t>
      </w:r>
      <w:r w:rsidR="00312BBA" w:rsidRPr="00BA3D80">
        <w:t> </w:t>
      </w:r>
      <w:r w:rsidRPr="00582FB3">
        <w:t>2.5</w:t>
      </w:r>
      <w:r w:rsidRPr="00EF6C23">
        <w:t xml:space="preserve"> above).</w:t>
      </w:r>
    </w:p>
  </w:footnote>
  <w:footnote w:id="4">
    <w:p w:rsidR="003C5D66" w:rsidRPr="002E0420" w:rsidRDefault="003C5D66" w:rsidP="002E0420">
      <w:pPr>
        <w:pStyle w:val="FootnoteText"/>
      </w:pPr>
      <w:r w:rsidRPr="00BA3D80">
        <w:tab/>
      </w:r>
      <w:r w:rsidRPr="00BA3D80">
        <w:rPr>
          <w:rStyle w:val="FootnoteReference"/>
        </w:rPr>
        <w:footnoteRef/>
      </w:r>
      <w:r w:rsidRPr="00BA3D80">
        <w:tab/>
        <w:t>See,</w:t>
      </w:r>
      <w:r w:rsidR="00F87EC6" w:rsidRPr="00BA3D80">
        <w:t xml:space="preserve"> inter alia, communications No. </w:t>
      </w:r>
      <w:r w:rsidRPr="00BA3D80">
        <w:t xml:space="preserve">869/1999, </w:t>
      </w:r>
      <w:r w:rsidRPr="00BA3D80">
        <w:rPr>
          <w:i/>
          <w:iCs/>
        </w:rPr>
        <w:t xml:space="preserve">Piandiong et al. </w:t>
      </w:r>
      <w:r w:rsidRPr="0079337C">
        <w:t xml:space="preserve">v. </w:t>
      </w:r>
      <w:r w:rsidRPr="00BA3D80">
        <w:rPr>
          <w:i/>
          <w:iCs/>
        </w:rPr>
        <w:t>the Philippines</w:t>
      </w:r>
      <w:r w:rsidRPr="00BA3D80">
        <w:t>, Views ad</w:t>
      </w:r>
      <w:r w:rsidR="00F87EC6" w:rsidRPr="00BA3D80">
        <w:t>opted on 19 October 2000, para. 5.1; and No. </w:t>
      </w:r>
      <w:r w:rsidRPr="00BA3D80">
        <w:t xml:space="preserve">1948/2010, </w:t>
      </w:r>
      <w:r w:rsidRPr="00BA3D80">
        <w:rPr>
          <w:i/>
          <w:iCs/>
        </w:rPr>
        <w:t>Denis Turchenyak et al.</w:t>
      </w:r>
      <w:r w:rsidRPr="0079337C">
        <w:t>v.</w:t>
      </w:r>
      <w:r w:rsidRPr="00BA3D80">
        <w:rPr>
          <w:i/>
          <w:iCs/>
        </w:rPr>
        <w:t xml:space="preserve"> Belarus</w:t>
      </w:r>
      <w:r w:rsidRPr="00BA3D80">
        <w:t>, Views</w:t>
      </w:r>
      <w:r w:rsidR="00F87EC6" w:rsidRPr="00BA3D80">
        <w:t xml:space="preserve"> adopted on 24 July 2013, para. </w:t>
      </w:r>
      <w:r w:rsidRPr="00582FB3">
        <w:t>5.2.</w:t>
      </w:r>
    </w:p>
  </w:footnote>
  <w:footnote w:id="5">
    <w:p w:rsidR="003C5D66" w:rsidRPr="002E0420" w:rsidRDefault="003C5D66" w:rsidP="00BA3D80">
      <w:pPr>
        <w:pStyle w:val="FootnoteText"/>
      </w:pPr>
      <w:r w:rsidRPr="002E0420">
        <w:tab/>
      </w:r>
      <w:r w:rsidRPr="00853700">
        <w:rPr>
          <w:rStyle w:val="FootnoteReference"/>
        </w:rPr>
        <w:footnoteRef/>
      </w:r>
      <w:r w:rsidR="00F87EC6">
        <w:tab/>
        <w:t>Communication No. </w:t>
      </w:r>
      <w:r w:rsidRPr="002E0420">
        <w:t xml:space="preserve">1873/2009, </w:t>
      </w:r>
      <w:r w:rsidRPr="00F87EC6">
        <w:rPr>
          <w:i/>
          <w:iCs/>
        </w:rPr>
        <w:t xml:space="preserve">Alekseev </w:t>
      </w:r>
      <w:r w:rsidRPr="0079337C">
        <w:t>v.</w:t>
      </w:r>
      <w:r w:rsidRPr="00F87EC6">
        <w:rPr>
          <w:i/>
          <w:iCs/>
        </w:rPr>
        <w:t xml:space="preserve"> Russian Federation</w:t>
      </w:r>
      <w:r w:rsidRPr="002E0420">
        <w:t>, Views adop</w:t>
      </w:r>
      <w:r w:rsidR="00F87EC6">
        <w:t>ted on 25 October 2013, para. </w:t>
      </w:r>
      <w:r w:rsidRPr="002E0420">
        <w:t xml:space="preserve">8.4. </w:t>
      </w:r>
    </w:p>
  </w:footnote>
  <w:footnote w:id="6">
    <w:p w:rsidR="003C5D66" w:rsidRPr="002E0420" w:rsidRDefault="003C5D66" w:rsidP="00BA3D80">
      <w:pPr>
        <w:pStyle w:val="FootnoteText"/>
      </w:pPr>
      <w:r w:rsidRPr="002E0420">
        <w:tab/>
      </w:r>
      <w:r w:rsidRPr="00853700">
        <w:rPr>
          <w:rStyle w:val="FootnoteReference"/>
        </w:rPr>
        <w:footnoteRef/>
      </w:r>
      <w:r w:rsidRPr="00853700">
        <w:rPr>
          <w:vertAlign w:val="superscript"/>
        </w:rPr>
        <w:t xml:space="preserve"> </w:t>
      </w:r>
      <w:r w:rsidRPr="002E0420">
        <w:tab/>
        <w:t xml:space="preserve">See the </w:t>
      </w:r>
      <w:r w:rsidR="00F87EC6">
        <w:t>Committee’s general comment No. </w:t>
      </w:r>
      <w:r w:rsidRPr="002E0420">
        <w:t>34 (2011) on freedoms o</w:t>
      </w:r>
      <w:r w:rsidR="00F87EC6">
        <w:t>f opinion and expression, para. </w:t>
      </w:r>
      <w:r w:rsidRPr="002E0420">
        <w:t>2.</w:t>
      </w:r>
    </w:p>
  </w:footnote>
  <w:footnote w:id="7">
    <w:p w:rsidR="003C5D66" w:rsidRPr="002E0420" w:rsidRDefault="003C5D66" w:rsidP="002E0420">
      <w:pPr>
        <w:pStyle w:val="FootnoteText"/>
      </w:pPr>
      <w:r w:rsidRPr="002E0420">
        <w:tab/>
      </w:r>
      <w:r w:rsidRPr="00853700">
        <w:rPr>
          <w:rStyle w:val="FootnoteReference"/>
        </w:rPr>
        <w:footnoteRef/>
      </w:r>
      <w:r w:rsidRPr="00853700">
        <w:rPr>
          <w:vertAlign w:val="superscript"/>
        </w:rPr>
        <w:t xml:space="preserve"> </w:t>
      </w:r>
      <w:r w:rsidR="00F87EC6">
        <w:tab/>
        <w:t>See communication No. </w:t>
      </w:r>
      <w:r w:rsidRPr="002E0420">
        <w:t xml:space="preserve">1948/2010, </w:t>
      </w:r>
      <w:r w:rsidRPr="00F87EC6">
        <w:rPr>
          <w:i/>
          <w:iCs/>
        </w:rPr>
        <w:t xml:space="preserve">Turchenyak et al. </w:t>
      </w:r>
      <w:r w:rsidRPr="0079337C">
        <w:t>v.</w:t>
      </w:r>
      <w:r w:rsidRPr="00F87EC6">
        <w:rPr>
          <w:i/>
          <w:iCs/>
        </w:rPr>
        <w:t xml:space="preserve"> Belarus</w:t>
      </w:r>
      <w:r w:rsidRPr="002E0420">
        <w:t>, Views</w:t>
      </w:r>
      <w:r w:rsidR="00F87EC6">
        <w:t xml:space="preserve"> adopted on 24 July 2013, para. </w:t>
      </w:r>
      <w:r w:rsidRPr="002E0420">
        <w:t>7.4.</w:t>
      </w:r>
    </w:p>
  </w:footnote>
  <w:footnote w:id="8">
    <w:p w:rsidR="003C5D66" w:rsidRPr="002E0420" w:rsidRDefault="003C5D66" w:rsidP="00BA3D80">
      <w:pPr>
        <w:pStyle w:val="FootnoteText"/>
      </w:pPr>
      <w:r w:rsidRPr="002E0420">
        <w:tab/>
      </w:r>
      <w:r w:rsidRPr="00853700">
        <w:rPr>
          <w:rStyle w:val="FootnoteReference"/>
        </w:rPr>
        <w:footnoteRef/>
      </w:r>
      <w:r w:rsidRPr="002E0420">
        <w:t xml:space="preserve"> </w:t>
      </w:r>
      <w:r w:rsidRPr="002E0420">
        <w:tab/>
      </w:r>
      <w:r w:rsidR="00B01C24">
        <w:t>Committee’s general comment No. </w:t>
      </w:r>
      <w:r w:rsidRPr="002E0420">
        <w:t>34 (2011) on freedoms o</w:t>
      </w:r>
      <w:r w:rsidR="00B01C24">
        <w:t>f opinion and expression, para. </w:t>
      </w:r>
      <w:r w:rsidRPr="002E0420">
        <w:t>22. See also, for example, communicat</w:t>
      </w:r>
      <w:r w:rsidR="00B01C24">
        <w:t>ion No. </w:t>
      </w:r>
      <w:r w:rsidRPr="002E0420">
        <w:t xml:space="preserve">1948/2010, </w:t>
      </w:r>
      <w:r w:rsidRPr="00B01C24">
        <w:rPr>
          <w:i/>
          <w:iCs/>
        </w:rPr>
        <w:t xml:space="preserve">Turchenyak et al. </w:t>
      </w:r>
      <w:r w:rsidRPr="0079337C">
        <w:t>v.</w:t>
      </w:r>
      <w:r w:rsidRPr="00B01C24">
        <w:rPr>
          <w:i/>
          <w:iCs/>
        </w:rPr>
        <w:t xml:space="preserve"> Belarus</w:t>
      </w:r>
      <w:r w:rsidRPr="002E0420">
        <w:t xml:space="preserve"> </w:t>
      </w:r>
      <w:r w:rsidR="00D20035">
        <w:t>(</w:t>
      </w:r>
      <w:r w:rsidR="00D20035" w:rsidRPr="00BA3D80">
        <w:t>see note</w:t>
      </w:r>
      <w:r w:rsidR="00F06497">
        <w:t xml:space="preserve"> 6</w:t>
      </w:r>
      <w:r w:rsidR="00D20035" w:rsidRPr="00BA3D80">
        <w:t xml:space="preserve"> above</w:t>
      </w:r>
      <w:r w:rsidR="00D20035">
        <w:t>)</w:t>
      </w:r>
      <w:r w:rsidR="00B01C24">
        <w:t>, para. </w:t>
      </w:r>
      <w:r w:rsidRPr="002E0420">
        <w:t>7.7.</w:t>
      </w:r>
    </w:p>
  </w:footnote>
  <w:footnote w:id="9">
    <w:p w:rsidR="003C5D66" w:rsidRPr="00B27E31" w:rsidRDefault="003C5D66" w:rsidP="00BA3D80">
      <w:pPr>
        <w:pStyle w:val="FootnoteText"/>
      </w:pPr>
      <w:r>
        <w:tab/>
      </w:r>
      <w:r w:rsidRPr="00B27E31">
        <w:rPr>
          <w:rStyle w:val="FootnoteReference"/>
        </w:rPr>
        <w:footnoteRef/>
      </w:r>
      <w:r w:rsidRPr="00B27E31">
        <w:t xml:space="preserve"> </w:t>
      </w:r>
      <w:r>
        <w:tab/>
      </w:r>
      <w:r w:rsidRPr="00B27E31">
        <w:t>See,</w:t>
      </w:r>
      <w:r w:rsidR="00B01C24">
        <w:t xml:space="preserve"> for example, communication No. </w:t>
      </w:r>
      <w:r w:rsidRPr="00B27E31">
        <w:t xml:space="preserve">1948/2010, </w:t>
      </w:r>
      <w:r w:rsidRPr="00B27E31">
        <w:rPr>
          <w:i/>
        </w:rPr>
        <w:t xml:space="preserve">Turchenyak et al. </w:t>
      </w:r>
      <w:r w:rsidRPr="00402884">
        <w:rPr>
          <w:iCs/>
        </w:rPr>
        <w:t>v.</w:t>
      </w:r>
      <w:r w:rsidRPr="00B27E31">
        <w:rPr>
          <w:i/>
        </w:rPr>
        <w:t xml:space="preserve"> Belarus</w:t>
      </w:r>
      <w:r w:rsidRPr="00B27E31">
        <w:t xml:space="preserve"> </w:t>
      </w:r>
      <w:r w:rsidR="00D20035">
        <w:t>(</w:t>
      </w:r>
      <w:r w:rsidR="00D20035" w:rsidRPr="00BA3D80">
        <w:t xml:space="preserve">see note </w:t>
      </w:r>
      <w:r w:rsidR="00F06497">
        <w:t xml:space="preserve">6 </w:t>
      </w:r>
      <w:r w:rsidR="00D20035" w:rsidRPr="00BA3D80">
        <w:t>above</w:t>
      </w:r>
      <w:r w:rsidR="00D20035">
        <w:t>)</w:t>
      </w:r>
      <w:r w:rsidRPr="00B27E31">
        <w:t xml:space="preserve">, </w:t>
      </w:r>
      <w:r w:rsidR="00312BBA">
        <w:t>para</w:t>
      </w:r>
      <w:r w:rsidR="00B01C24">
        <w:t>.</w:t>
      </w:r>
      <w:r w:rsidR="00312BBA">
        <w:t> </w:t>
      </w:r>
      <w:r w:rsidRPr="00B27E31">
        <w:t>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6" w:rsidRPr="00781C83" w:rsidRDefault="003C5D66" w:rsidP="00781C83">
    <w:pPr>
      <w:pStyle w:val="Header"/>
    </w:pPr>
    <w:r>
      <w:t>CCPR/C/112/D/1929/2010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D66" w:rsidRPr="00781C83" w:rsidRDefault="003C5D66" w:rsidP="00781C83">
    <w:pPr>
      <w:pStyle w:val="Header"/>
      <w:jc w:val="right"/>
    </w:pPr>
    <w:r>
      <w:t>CCPR/C/112/D/1929/2010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2"/>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E2"/>
    <w:rsid w:val="000170C3"/>
    <w:rsid w:val="00023024"/>
    <w:rsid w:val="00025D41"/>
    <w:rsid w:val="0002635B"/>
    <w:rsid w:val="000272B3"/>
    <w:rsid w:val="000308D4"/>
    <w:rsid w:val="0003387B"/>
    <w:rsid w:val="00035983"/>
    <w:rsid w:val="00036F3F"/>
    <w:rsid w:val="000377A5"/>
    <w:rsid w:val="0004092D"/>
    <w:rsid w:val="00041994"/>
    <w:rsid w:val="00050F6B"/>
    <w:rsid w:val="00055DF8"/>
    <w:rsid w:val="00055FFE"/>
    <w:rsid w:val="0005782B"/>
    <w:rsid w:val="00057E97"/>
    <w:rsid w:val="00060C3A"/>
    <w:rsid w:val="00062B51"/>
    <w:rsid w:val="00066476"/>
    <w:rsid w:val="00072C8C"/>
    <w:rsid w:val="000733B5"/>
    <w:rsid w:val="00081815"/>
    <w:rsid w:val="00081BF7"/>
    <w:rsid w:val="0008245C"/>
    <w:rsid w:val="00091F15"/>
    <w:rsid w:val="000931C0"/>
    <w:rsid w:val="00096784"/>
    <w:rsid w:val="000970C1"/>
    <w:rsid w:val="000A310C"/>
    <w:rsid w:val="000A43EF"/>
    <w:rsid w:val="000A5559"/>
    <w:rsid w:val="000B02C3"/>
    <w:rsid w:val="000B175B"/>
    <w:rsid w:val="000B1788"/>
    <w:rsid w:val="000B3A0F"/>
    <w:rsid w:val="000B4EF7"/>
    <w:rsid w:val="000C2AB9"/>
    <w:rsid w:val="000C2C03"/>
    <w:rsid w:val="000C2D2E"/>
    <w:rsid w:val="000C2E06"/>
    <w:rsid w:val="000C46B7"/>
    <w:rsid w:val="000C4DA0"/>
    <w:rsid w:val="000D0ABB"/>
    <w:rsid w:val="000D0BF8"/>
    <w:rsid w:val="000D6775"/>
    <w:rsid w:val="000E0415"/>
    <w:rsid w:val="000E20F8"/>
    <w:rsid w:val="000E5628"/>
    <w:rsid w:val="000F2DE9"/>
    <w:rsid w:val="000F39F9"/>
    <w:rsid w:val="000F3E44"/>
    <w:rsid w:val="000F6A6B"/>
    <w:rsid w:val="000F7E69"/>
    <w:rsid w:val="000F7F55"/>
    <w:rsid w:val="00100087"/>
    <w:rsid w:val="00100AE1"/>
    <w:rsid w:val="001037D9"/>
    <w:rsid w:val="001103AA"/>
    <w:rsid w:val="001133DB"/>
    <w:rsid w:val="00117506"/>
    <w:rsid w:val="0011787A"/>
    <w:rsid w:val="001178C2"/>
    <w:rsid w:val="00123712"/>
    <w:rsid w:val="001306DD"/>
    <w:rsid w:val="00130D48"/>
    <w:rsid w:val="00130E81"/>
    <w:rsid w:val="00131B64"/>
    <w:rsid w:val="0013235B"/>
    <w:rsid w:val="001340B3"/>
    <w:rsid w:val="00137249"/>
    <w:rsid w:val="00141B4A"/>
    <w:rsid w:val="00142286"/>
    <w:rsid w:val="001443B8"/>
    <w:rsid w:val="0015244F"/>
    <w:rsid w:val="00154DA5"/>
    <w:rsid w:val="00157820"/>
    <w:rsid w:val="00161364"/>
    <w:rsid w:val="00162DB2"/>
    <w:rsid w:val="00164C92"/>
    <w:rsid w:val="00165F3A"/>
    <w:rsid w:val="00170DDB"/>
    <w:rsid w:val="001721A9"/>
    <w:rsid w:val="0017277A"/>
    <w:rsid w:val="0017300C"/>
    <w:rsid w:val="00173BAF"/>
    <w:rsid w:val="001756D6"/>
    <w:rsid w:val="001758E2"/>
    <w:rsid w:val="00182503"/>
    <w:rsid w:val="00183968"/>
    <w:rsid w:val="00186C37"/>
    <w:rsid w:val="00187DB4"/>
    <w:rsid w:val="001965C0"/>
    <w:rsid w:val="00196CAA"/>
    <w:rsid w:val="00196CDF"/>
    <w:rsid w:val="001A09DE"/>
    <w:rsid w:val="001A2C08"/>
    <w:rsid w:val="001A32CB"/>
    <w:rsid w:val="001A4429"/>
    <w:rsid w:val="001A660B"/>
    <w:rsid w:val="001A6686"/>
    <w:rsid w:val="001A723C"/>
    <w:rsid w:val="001A7E43"/>
    <w:rsid w:val="001B4041"/>
    <w:rsid w:val="001B48DF"/>
    <w:rsid w:val="001B4B04"/>
    <w:rsid w:val="001C2C4D"/>
    <w:rsid w:val="001C4EE6"/>
    <w:rsid w:val="001C5BED"/>
    <w:rsid w:val="001C657F"/>
    <w:rsid w:val="001C6663"/>
    <w:rsid w:val="001C7895"/>
    <w:rsid w:val="001D02A2"/>
    <w:rsid w:val="001D0C8C"/>
    <w:rsid w:val="001D26DF"/>
    <w:rsid w:val="001D3743"/>
    <w:rsid w:val="001D3A03"/>
    <w:rsid w:val="001E06D9"/>
    <w:rsid w:val="001E10EC"/>
    <w:rsid w:val="001E48A9"/>
    <w:rsid w:val="001E718D"/>
    <w:rsid w:val="00202DA8"/>
    <w:rsid w:val="002069CC"/>
    <w:rsid w:val="00210E29"/>
    <w:rsid w:val="00211E0B"/>
    <w:rsid w:val="00217D74"/>
    <w:rsid w:val="00220677"/>
    <w:rsid w:val="00222689"/>
    <w:rsid w:val="0022501D"/>
    <w:rsid w:val="002256A1"/>
    <w:rsid w:val="00225E5E"/>
    <w:rsid w:val="0023127B"/>
    <w:rsid w:val="002314F8"/>
    <w:rsid w:val="0023210C"/>
    <w:rsid w:val="002355EF"/>
    <w:rsid w:val="002361D0"/>
    <w:rsid w:val="00240564"/>
    <w:rsid w:val="0025162E"/>
    <w:rsid w:val="0025487E"/>
    <w:rsid w:val="002633B3"/>
    <w:rsid w:val="002650C2"/>
    <w:rsid w:val="00266EB7"/>
    <w:rsid w:val="00267F5F"/>
    <w:rsid w:val="00271484"/>
    <w:rsid w:val="00273B14"/>
    <w:rsid w:val="0027477A"/>
    <w:rsid w:val="00281144"/>
    <w:rsid w:val="00282899"/>
    <w:rsid w:val="002863A9"/>
    <w:rsid w:val="00286B4D"/>
    <w:rsid w:val="0029365C"/>
    <w:rsid w:val="00293B90"/>
    <w:rsid w:val="002A4B67"/>
    <w:rsid w:val="002A686B"/>
    <w:rsid w:val="002A728F"/>
    <w:rsid w:val="002B3B76"/>
    <w:rsid w:val="002B3F1E"/>
    <w:rsid w:val="002C5BCD"/>
    <w:rsid w:val="002D18B7"/>
    <w:rsid w:val="002D3481"/>
    <w:rsid w:val="002D3AF5"/>
    <w:rsid w:val="002D4CB1"/>
    <w:rsid w:val="002E0420"/>
    <w:rsid w:val="002E1084"/>
    <w:rsid w:val="002E44F6"/>
    <w:rsid w:val="002E52B1"/>
    <w:rsid w:val="002E5C99"/>
    <w:rsid w:val="002E69AE"/>
    <w:rsid w:val="002F039C"/>
    <w:rsid w:val="002F175C"/>
    <w:rsid w:val="002F1942"/>
    <w:rsid w:val="002F4557"/>
    <w:rsid w:val="002F5159"/>
    <w:rsid w:val="002F582A"/>
    <w:rsid w:val="002F7800"/>
    <w:rsid w:val="003006DE"/>
    <w:rsid w:val="0030138D"/>
    <w:rsid w:val="00302B85"/>
    <w:rsid w:val="00306124"/>
    <w:rsid w:val="00307164"/>
    <w:rsid w:val="00312BBA"/>
    <w:rsid w:val="003134AC"/>
    <w:rsid w:val="00320E07"/>
    <w:rsid w:val="003229D8"/>
    <w:rsid w:val="00323632"/>
    <w:rsid w:val="00326FCB"/>
    <w:rsid w:val="00327502"/>
    <w:rsid w:val="00327BEF"/>
    <w:rsid w:val="00331F5B"/>
    <w:rsid w:val="00332516"/>
    <w:rsid w:val="00337879"/>
    <w:rsid w:val="00352709"/>
    <w:rsid w:val="00354AA8"/>
    <w:rsid w:val="003630C4"/>
    <w:rsid w:val="00363A98"/>
    <w:rsid w:val="00366007"/>
    <w:rsid w:val="0036645D"/>
    <w:rsid w:val="00367567"/>
    <w:rsid w:val="003705C9"/>
    <w:rsid w:val="00371095"/>
    <w:rsid w:val="00371178"/>
    <w:rsid w:val="0037301C"/>
    <w:rsid w:val="003730DD"/>
    <w:rsid w:val="00375119"/>
    <w:rsid w:val="00377828"/>
    <w:rsid w:val="0038336C"/>
    <w:rsid w:val="00385FD4"/>
    <w:rsid w:val="00386624"/>
    <w:rsid w:val="0039347E"/>
    <w:rsid w:val="003A1602"/>
    <w:rsid w:val="003A1ECB"/>
    <w:rsid w:val="003A6810"/>
    <w:rsid w:val="003A70FC"/>
    <w:rsid w:val="003A7AF2"/>
    <w:rsid w:val="003C02AB"/>
    <w:rsid w:val="003C2135"/>
    <w:rsid w:val="003C2CC4"/>
    <w:rsid w:val="003C5D66"/>
    <w:rsid w:val="003C730E"/>
    <w:rsid w:val="003D047F"/>
    <w:rsid w:val="003D1C5A"/>
    <w:rsid w:val="003D2795"/>
    <w:rsid w:val="003D3E59"/>
    <w:rsid w:val="003D4B23"/>
    <w:rsid w:val="003D52B0"/>
    <w:rsid w:val="003E2BA4"/>
    <w:rsid w:val="003E6A36"/>
    <w:rsid w:val="003E6F7E"/>
    <w:rsid w:val="003E7437"/>
    <w:rsid w:val="0040091B"/>
    <w:rsid w:val="00401B52"/>
    <w:rsid w:val="00402884"/>
    <w:rsid w:val="00405473"/>
    <w:rsid w:val="00410C89"/>
    <w:rsid w:val="00413FD7"/>
    <w:rsid w:val="00414931"/>
    <w:rsid w:val="00414B35"/>
    <w:rsid w:val="00417109"/>
    <w:rsid w:val="004171B8"/>
    <w:rsid w:val="004227C0"/>
    <w:rsid w:val="00426B9B"/>
    <w:rsid w:val="0043003F"/>
    <w:rsid w:val="004325CB"/>
    <w:rsid w:val="00436B33"/>
    <w:rsid w:val="00442A83"/>
    <w:rsid w:val="00442C9D"/>
    <w:rsid w:val="00445A57"/>
    <w:rsid w:val="00447237"/>
    <w:rsid w:val="00450D0E"/>
    <w:rsid w:val="0045495B"/>
    <w:rsid w:val="00455C43"/>
    <w:rsid w:val="00457AA2"/>
    <w:rsid w:val="004607BF"/>
    <w:rsid w:val="00464446"/>
    <w:rsid w:val="00465B27"/>
    <w:rsid w:val="00466B4C"/>
    <w:rsid w:val="00466FA4"/>
    <w:rsid w:val="00467355"/>
    <w:rsid w:val="0047173A"/>
    <w:rsid w:val="00473963"/>
    <w:rsid w:val="00476073"/>
    <w:rsid w:val="00477621"/>
    <w:rsid w:val="00481CB1"/>
    <w:rsid w:val="00487488"/>
    <w:rsid w:val="00487FB8"/>
    <w:rsid w:val="0049219B"/>
    <w:rsid w:val="0049418F"/>
    <w:rsid w:val="00496E9E"/>
    <w:rsid w:val="00497CBC"/>
    <w:rsid w:val="004A28A7"/>
    <w:rsid w:val="004A4E95"/>
    <w:rsid w:val="004C2D3A"/>
    <w:rsid w:val="004C55DD"/>
    <w:rsid w:val="004D150D"/>
    <w:rsid w:val="004D5BD1"/>
    <w:rsid w:val="004E15CC"/>
    <w:rsid w:val="004F1D45"/>
    <w:rsid w:val="004F5078"/>
    <w:rsid w:val="0050328D"/>
    <w:rsid w:val="00507612"/>
    <w:rsid w:val="00510FCB"/>
    <w:rsid w:val="005152B0"/>
    <w:rsid w:val="005167F1"/>
    <w:rsid w:val="0052136D"/>
    <w:rsid w:val="005232E6"/>
    <w:rsid w:val="00525395"/>
    <w:rsid w:val="00525D70"/>
    <w:rsid w:val="0052775E"/>
    <w:rsid w:val="005409DC"/>
    <w:rsid w:val="0054109A"/>
    <w:rsid w:val="0054150C"/>
    <w:rsid w:val="005420F2"/>
    <w:rsid w:val="00547DD0"/>
    <w:rsid w:val="00550D3B"/>
    <w:rsid w:val="00560BA5"/>
    <w:rsid w:val="00561B68"/>
    <w:rsid w:val="005628B6"/>
    <w:rsid w:val="00564714"/>
    <w:rsid w:val="0056624F"/>
    <w:rsid w:val="005722B3"/>
    <w:rsid w:val="00572556"/>
    <w:rsid w:val="00582FB3"/>
    <w:rsid w:val="005848B3"/>
    <w:rsid w:val="00587219"/>
    <w:rsid w:val="00590F87"/>
    <w:rsid w:val="00592C4A"/>
    <w:rsid w:val="005A0415"/>
    <w:rsid w:val="005A2ACD"/>
    <w:rsid w:val="005B09AE"/>
    <w:rsid w:val="005B15AD"/>
    <w:rsid w:val="005B38A5"/>
    <w:rsid w:val="005B3DB3"/>
    <w:rsid w:val="005B4F61"/>
    <w:rsid w:val="005C2131"/>
    <w:rsid w:val="005C223E"/>
    <w:rsid w:val="005C413D"/>
    <w:rsid w:val="005C4A9E"/>
    <w:rsid w:val="005D08E4"/>
    <w:rsid w:val="005D2AE2"/>
    <w:rsid w:val="005D5721"/>
    <w:rsid w:val="005D5AF5"/>
    <w:rsid w:val="005D7CB5"/>
    <w:rsid w:val="005E2F71"/>
    <w:rsid w:val="005E5805"/>
    <w:rsid w:val="005E783D"/>
    <w:rsid w:val="005F4586"/>
    <w:rsid w:val="005F5699"/>
    <w:rsid w:val="005F7717"/>
    <w:rsid w:val="005F7B75"/>
    <w:rsid w:val="005F7F93"/>
    <w:rsid w:val="006001EE"/>
    <w:rsid w:val="00605042"/>
    <w:rsid w:val="00607BC1"/>
    <w:rsid w:val="006108E0"/>
    <w:rsid w:val="00611FC4"/>
    <w:rsid w:val="006148AF"/>
    <w:rsid w:val="006176FB"/>
    <w:rsid w:val="00623FD3"/>
    <w:rsid w:val="0062462D"/>
    <w:rsid w:val="00625161"/>
    <w:rsid w:val="00625FAC"/>
    <w:rsid w:val="006274AD"/>
    <w:rsid w:val="006274BB"/>
    <w:rsid w:val="0062786C"/>
    <w:rsid w:val="00627FB0"/>
    <w:rsid w:val="00631C31"/>
    <w:rsid w:val="0063379B"/>
    <w:rsid w:val="00636B39"/>
    <w:rsid w:val="00640B26"/>
    <w:rsid w:val="00640C76"/>
    <w:rsid w:val="00645379"/>
    <w:rsid w:val="00652D0A"/>
    <w:rsid w:val="00653DBF"/>
    <w:rsid w:val="00654447"/>
    <w:rsid w:val="00662BB6"/>
    <w:rsid w:val="006637A4"/>
    <w:rsid w:val="00671948"/>
    <w:rsid w:val="00672110"/>
    <w:rsid w:val="006743E9"/>
    <w:rsid w:val="00674DE2"/>
    <w:rsid w:val="00681702"/>
    <w:rsid w:val="00682284"/>
    <w:rsid w:val="006838C8"/>
    <w:rsid w:val="00684C21"/>
    <w:rsid w:val="00684E65"/>
    <w:rsid w:val="00684F8A"/>
    <w:rsid w:val="00685FA6"/>
    <w:rsid w:val="00686432"/>
    <w:rsid w:val="0068743C"/>
    <w:rsid w:val="00692989"/>
    <w:rsid w:val="00692BBE"/>
    <w:rsid w:val="00694AE6"/>
    <w:rsid w:val="006954C6"/>
    <w:rsid w:val="0069763E"/>
    <w:rsid w:val="00697F3E"/>
    <w:rsid w:val="006A1C1C"/>
    <w:rsid w:val="006A2ABA"/>
    <w:rsid w:val="006A4732"/>
    <w:rsid w:val="006A604D"/>
    <w:rsid w:val="006B13B8"/>
    <w:rsid w:val="006B58E5"/>
    <w:rsid w:val="006C0435"/>
    <w:rsid w:val="006C3AD1"/>
    <w:rsid w:val="006D37AF"/>
    <w:rsid w:val="006D51D0"/>
    <w:rsid w:val="006E564B"/>
    <w:rsid w:val="006E7191"/>
    <w:rsid w:val="006E7196"/>
    <w:rsid w:val="006F6515"/>
    <w:rsid w:val="00703577"/>
    <w:rsid w:val="00705625"/>
    <w:rsid w:val="0071171F"/>
    <w:rsid w:val="00711F00"/>
    <w:rsid w:val="00713066"/>
    <w:rsid w:val="00713C74"/>
    <w:rsid w:val="00715DDD"/>
    <w:rsid w:val="00716EC7"/>
    <w:rsid w:val="00720B01"/>
    <w:rsid w:val="00721622"/>
    <w:rsid w:val="0072328C"/>
    <w:rsid w:val="0072632A"/>
    <w:rsid w:val="00726A48"/>
    <w:rsid w:val="0072768C"/>
    <w:rsid w:val="007327D5"/>
    <w:rsid w:val="00734ABE"/>
    <w:rsid w:val="00735CA1"/>
    <w:rsid w:val="00736EAD"/>
    <w:rsid w:val="00744437"/>
    <w:rsid w:val="007509EB"/>
    <w:rsid w:val="00750FC5"/>
    <w:rsid w:val="0075395D"/>
    <w:rsid w:val="007544B3"/>
    <w:rsid w:val="00757110"/>
    <w:rsid w:val="00760B80"/>
    <w:rsid w:val="00762878"/>
    <w:rsid w:val="007629C8"/>
    <w:rsid w:val="00762E39"/>
    <w:rsid w:val="007635DF"/>
    <w:rsid w:val="00764972"/>
    <w:rsid w:val="00767616"/>
    <w:rsid w:val="007740F1"/>
    <w:rsid w:val="00777322"/>
    <w:rsid w:val="00781C83"/>
    <w:rsid w:val="0078300D"/>
    <w:rsid w:val="00783AA5"/>
    <w:rsid w:val="00785DB2"/>
    <w:rsid w:val="00787E5D"/>
    <w:rsid w:val="0079034E"/>
    <w:rsid w:val="0079337C"/>
    <w:rsid w:val="0079681E"/>
    <w:rsid w:val="007A212F"/>
    <w:rsid w:val="007A36C9"/>
    <w:rsid w:val="007B1B64"/>
    <w:rsid w:val="007B3302"/>
    <w:rsid w:val="007B4165"/>
    <w:rsid w:val="007B6BA5"/>
    <w:rsid w:val="007C1241"/>
    <w:rsid w:val="007C3390"/>
    <w:rsid w:val="007C3FFB"/>
    <w:rsid w:val="007C4F4B"/>
    <w:rsid w:val="007C6D81"/>
    <w:rsid w:val="007C784F"/>
    <w:rsid w:val="007D00CF"/>
    <w:rsid w:val="007D564F"/>
    <w:rsid w:val="007E0B2D"/>
    <w:rsid w:val="007E4594"/>
    <w:rsid w:val="007E4BBE"/>
    <w:rsid w:val="007E533F"/>
    <w:rsid w:val="007E59CB"/>
    <w:rsid w:val="007E5EA4"/>
    <w:rsid w:val="007F12FC"/>
    <w:rsid w:val="007F2D0D"/>
    <w:rsid w:val="007F3A2C"/>
    <w:rsid w:val="007F4853"/>
    <w:rsid w:val="007F6611"/>
    <w:rsid w:val="0080727E"/>
    <w:rsid w:val="008105B8"/>
    <w:rsid w:val="00811D06"/>
    <w:rsid w:val="008123D2"/>
    <w:rsid w:val="00812971"/>
    <w:rsid w:val="00813327"/>
    <w:rsid w:val="00816972"/>
    <w:rsid w:val="00816E23"/>
    <w:rsid w:val="00817998"/>
    <w:rsid w:val="008216A5"/>
    <w:rsid w:val="00821A8D"/>
    <w:rsid w:val="008242D7"/>
    <w:rsid w:val="00824C73"/>
    <w:rsid w:val="00824D71"/>
    <w:rsid w:val="00824FE2"/>
    <w:rsid w:val="00825659"/>
    <w:rsid w:val="008257B1"/>
    <w:rsid w:val="0083185A"/>
    <w:rsid w:val="008406D2"/>
    <w:rsid w:val="0084126F"/>
    <w:rsid w:val="00843359"/>
    <w:rsid w:val="00843767"/>
    <w:rsid w:val="00846666"/>
    <w:rsid w:val="008468CE"/>
    <w:rsid w:val="008508B3"/>
    <w:rsid w:val="00851F2A"/>
    <w:rsid w:val="00853700"/>
    <w:rsid w:val="008655A1"/>
    <w:rsid w:val="008679D9"/>
    <w:rsid w:val="00871051"/>
    <w:rsid w:val="00872F86"/>
    <w:rsid w:val="008730D5"/>
    <w:rsid w:val="00875DCD"/>
    <w:rsid w:val="00875FE5"/>
    <w:rsid w:val="0088056A"/>
    <w:rsid w:val="00880AF2"/>
    <w:rsid w:val="0088719B"/>
    <w:rsid w:val="00887823"/>
    <w:rsid w:val="00891C2B"/>
    <w:rsid w:val="008979B1"/>
    <w:rsid w:val="00897F0A"/>
    <w:rsid w:val="008A09B5"/>
    <w:rsid w:val="008A1DB2"/>
    <w:rsid w:val="008A6B25"/>
    <w:rsid w:val="008A6C4F"/>
    <w:rsid w:val="008B012F"/>
    <w:rsid w:val="008B2335"/>
    <w:rsid w:val="008C0D17"/>
    <w:rsid w:val="008C22CC"/>
    <w:rsid w:val="008C3223"/>
    <w:rsid w:val="008C4B5A"/>
    <w:rsid w:val="008C4EDC"/>
    <w:rsid w:val="008C5265"/>
    <w:rsid w:val="008C58E4"/>
    <w:rsid w:val="008C6E58"/>
    <w:rsid w:val="008C77CB"/>
    <w:rsid w:val="008D1459"/>
    <w:rsid w:val="008E0678"/>
    <w:rsid w:val="008E4C4F"/>
    <w:rsid w:val="008E5FF6"/>
    <w:rsid w:val="008E6067"/>
    <w:rsid w:val="008F02E2"/>
    <w:rsid w:val="008F0336"/>
    <w:rsid w:val="008F1FA8"/>
    <w:rsid w:val="008F588F"/>
    <w:rsid w:val="00900036"/>
    <w:rsid w:val="00903876"/>
    <w:rsid w:val="0090637F"/>
    <w:rsid w:val="00906CF5"/>
    <w:rsid w:val="00910F40"/>
    <w:rsid w:val="00912C08"/>
    <w:rsid w:val="00913616"/>
    <w:rsid w:val="0091377B"/>
    <w:rsid w:val="009172EF"/>
    <w:rsid w:val="009223CA"/>
    <w:rsid w:val="00940F93"/>
    <w:rsid w:val="00951EAC"/>
    <w:rsid w:val="0095347F"/>
    <w:rsid w:val="009568BE"/>
    <w:rsid w:val="00956FE4"/>
    <w:rsid w:val="0096073F"/>
    <w:rsid w:val="00960911"/>
    <w:rsid w:val="009633D7"/>
    <w:rsid w:val="009654ED"/>
    <w:rsid w:val="00967F59"/>
    <w:rsid w:val="009701C4"/>
    <w:rsid w:val="00972C38"/>
    <w:rsid w:val="009735A8"/>
    <w:rsid w:val="00974EF5"/>
    <w:rsid w:val="009760F3"/>
    <w:rsid w:val="009761C1"/>
    <w:rsid w:val="009800FA"/>
    <w:rsid w:val="00980EA8"/>
    <w:rsid w:val="009817F4"/>
    <w:rsid w:val="009909F5"/>
    <w:rsid w:val="0099515D"/>
    <w:rsid w:val="00995408"/>
    <w:rsid w:val="00995A1B"/>
    <w:rsid w:val="009A0E8D"/>
    <w:rsid w:val="009A19F8"/>
    <w:rsid w:val="009B0FC5"/>
    <w:rsid w:val="009B26E7"/>
    <w:rsid w:val="009C162C"/>
    <w:rsid w:val="009C2A39"/>
    <w:rsid w:val="009C6DFE"/>
    <w:rsid w:val="009D3B32"/>
    <w:rsid w:val="009D4323"/>
    <w:rsid w:val="009E2F54"/>
    <w:rsid w:val="009E604C"/>
    <w:rsid w:val="009E7D26"/>
    <w:rsid w:val="009F2AC1"/>
    <w:rsid w:val="009F2B34"/>
    <w:rsid w:val="009F7636"/>
    <w:rsid w:val="00A00A3F"/>
    <w:rsid w:val="00A01489"/>
    <w:rsid w:val="00A018AB"/>
    <w:rsid w:val="00A03ED0"/>
    <w:rsid w:val="00A05316"/>
    <w:rsid w:val="00A230A0"/>
    <w:rsid w:val="00A31B81"/>
    <w:rsid w:val="00A338F1"/>
    <w:rsid w:val="00A343D0"/>
    <w:rsid w:val="00A356D5"/>
    <w:rsid w:val="00A377A8"/>
    <w:rsid w:val="00A41A5C"/>
    <w:rsid w:val="00A44487"/>
    <w:rsid w:val="00A44615"/>
    <w:rsid w:val="00A4728C"/>
    <w:rsid w:val="00A47874"/>
    <w:rsid w:val="00A70EA1"/>
    <w:rsid w:val="00A72C70"/>
    <w:rsid w:val="00A72F22"/>
    <w:rsid w:val="00A7360F"/>
    <w:rsid w:val="00A73D5E"/>
    <w:rsid w:val="00A748A6"/>
    <w:rsid w:val="00A75355"/>
    <w:rsid w:val="00A76648"/>
    <w:rsid w:val="00A769F4"/>
    <w:rsid w:val="00A776B4"/>
    <w:rsid w:val="00A777CF"/>
    <w:rsid w:val="00A81D4E"/>
    <w:rsid w:val="00A822B6"/>
    <w:rsid w:val="00A94361"/>
    <w:rsid w:val="00A96BCF"/>
    <w:rsid w:val="00AA293C"/>
    <w:rsid w:val="00AA2D0D"/>
    <w:rsid w:val="00AA33CB"/>
    <w:rsid w:val="00AA4576"/>
    <w:rsid w:val="00AA6FA4"/>
    <w:rsid w:val="00AB0196"/>
    <w:rsid w:val="00AB0648"/>
    <w:rsid w:val="00AB19FA"/>
    <w:rsid w:val="00AB2855"/>
    <w:rsid w:val="00AB45A3"/>
    <w:rsid w:val="00AB4CA5"/>
    <w:rsid w:val="00AB6BD8"/>
    <w:rsid w:val="00AC505B"/>
    <w:rsid w:val="00AC6A0A"/>
    <w:rsid w:val="00AC7462"/>
    <w:rsid w:val="00AD46B8"/>
    <w:rsid w:val="00AE1CFF"/>
    <w:rsid w:val="00AE4730"/>
    <w:rsid w:val="00AE50CE"/>
    <w:rsid w:val="00AE5818"/>
    <w:rsid w:val="00AF0BB7"/>
    <w:rsid w:val="00AF1A44"/>
    <w:rsid w:val="00AF3148"/>
    <w:rsid w:val="00AF34D9"/>
    <w:rsid w:val="00AF5CCF"/>
    <w:rsid w:val="00AF7286"/>
    <w:rsid w:val="00B01C24"/>
    <w:rsid w:val="00B03884"/>
    <w:rsid w:val="00B04543"/>
    <w:rsid w:val="00B073A2"/>
    <w:rsid w:val="00B10640"/>
    <w:rsid w:val="00B13E9B"/>
    <w:rsid w:val="00B17145"/>
    <w:rsid w:val="00B174D5"/>
    <w:rsid w:val="00B2280C"/>
    <w:rsid w:val="00B23D94"/>
    <w:rsid w:val="00B25D3D"/>
    <w:rsid w:val="00B2683D"/>
    <w:rsid w:val="00B30179"/>
    <w:rsid w:val="00B339A7"/>
    <w:rsid w:val="00B33ABD"/>
    <w:rsid w:val="00B41A37"/>
    <w:rsid w:val="00B41ACB"/>
    <w:rsid w:val="00B46514"/>
    <w:rsid w:val="00B46E13"/>
    <w:rsid w:val="00B55522"/>
    <w:rsid w:val="00B56E4A"/>
    <w:rsid w:val="00B56E9C"/>
    <w:rsid w:val="00B60748"/>
    <w:rsid w:val="00B64B1F"/>
    <w:rsid w:val="00B6524C"/>
    <w:rsid w:val="00B6553F"/>
    <w:rsid w:val="00B66E5E"/>
    <w:rsid w:val="00B74751"/>
    <w:rsid w:val="00B77D05"/>
    <w:rsid w:val="00B80ED5"/>
    <w:rsid w:val="00B81206"/>
    <w:rsid w:val="00B816BF"/>
    <w:rsid w:val="00B81E12"/>
    <w:rsid w:val="00B85756"/>
    <w:rsid w:val="00B85AF8"/>
    <w:rsid w:val="00B86C63"/>
    <w:rsid w:val="00B9067B"/>
    <w:rsid w:val="00B915E0"/>
    <w:rsid w:val="00B94491"/>
    <w:rsid w:val="00B95A99"/>
    <w:rsid w:val="00B97AFE"/>
    <w:rsid w:val="00BA0869"/>
    <w:rsid w:val="00BA3D80"/>
    <w:rsid w:val="00BA434C"/>
    <w:rsid w:val="00BB22D5"/>
    <w:rsid w:val="00BB5A2B"/>
    <w:rsid w:val="00BC01E3"/>
    <w:rsid w:val="00BC2C23"/>
    <w:rsid w:val="00BC48F3"/>
    <w:rsid w:val="00BC5363"/>
    <w:rsid w:val="00BC6E5E"/>
    <w:rsid w:val="00BC74E9"/>
    <w:rsid w:val="00BD1E85"/>
    <w:rsid w:val="00BF4613"/>
    <w:rsid w:val="00BF61C5"/>
    <w:rsid w:val="00BF68A8"/>
    <w:rsid w:val="00BF72FD"/>
    <w:rsid w:val="00C02E7A"/>
    <w:rsid w:val="00C11207"/>
    <w:rsid w:val="00C11870"/>
    <w:rsid w:val="00C11A03"/>
    <w:rsid w:val="00C144EC"/>
    <w:rsid w:val="00C20A72"/>
    <w:rsid w:val="00C2284D"/>
    <w:rsid w:val="00C2411D"/>
    <w:rsid w:val="00C34926"/>
    <w:rsid w:val="00C42190"/>
    <w:rsid w:val="00C44D49"/>
    <w:rsid w:val="00C462C6"/>
    <w:rsid w:val="00C463DD"/>
    <w:rsid w:val="00C46474"/>
    <w:rsid w:val="00C4724C"/>
    <w:rsid w:val="00C50356"/>
    <w:rsid w:val="00C55779"/>
    <w:rsid w:val="00C56114"/>
    <w:rsid w:val="00C606D3"/>
    <w:rsid w:val="00C61C48"/>
    <w:rsid w:val="00C629A0"/>
    <w:rsid w:val="00C72218"/>
    <w:rsid w:val="00C745C3"/>
    <w:rsid w:val="00C76890"/>
    <w:rsid w:val="00C803EC"/>
    <w:rsid w:val="00C8504E"/>
    <w:rsid w:val="00C85B6E"/>
    <w:rsid w:val="00CA2AFF"/>
    <w:rsid w:val="00CD1D9B"/>
    <w:rsid w:val="00CE4937"/>
    <w:rsid w:val="00CE4A8F"/>
    <w:rsid w:val="00CF0B74"/>
    <w:rsid w:val="00CF1984"/>
    <w:rsid w:val="00CF2621"/>
    <w:rsid w:val="00CF5F67"/>
    <w:rsid w:val="00D02C2A"/>
    <w:rsid w:val="00D06AB9"/>
    <w:rsid w:val="00D06B7E"/>
    <w:rsid w:val="00D1315B"/>
    <w:rsid w:val="00D141CF"/>
    <w:rsid w:val="00D20035"/>
    <w:rsid w:val="00D2031B"/>
    <w:rsid w:val="00D257E7"/>
    <w:rsid w:val="00D25FE2"/>
    <w:rsid w:val="00D2637A"/>
    <w:rsid w:val="00D30034"/>
    <w:rsid w:val="00D3406E"/>
    <w:rsid w:val="00D353FF"/>
    <w:rsid w:val="00D43252"/>
    <w:rsid w:val="00D443EB"/>
    <w:rsid w:val="00D46C27"/>
    <w:rsid w:val="00D47EEA"/>
    <w:rsid w:val="00D501D0"/>
    <w:rsid w:val="00D509AE"/>
    <w:rsid w:val="00D51D6E"/>
    <w:rsid w:val="00D53BAD"/>
    <w:rsid w:val="00D543C9"/>
    <w:rsid w:val="00D6386C"/>
    <w:rsid w:val="00D643FE"/>
    <w:rsid w:val="00D660F4"/>
    <w:rsid w:val="00D70C80"/>
    <w:rsid w:val="00D729E4"/>
    <w:rsid w:val="00D73CB8"/>
    <w:rsid w:val="00D75269"/>
    <w:rsid w:val="00D80EDF"/>
    <w:rsid w:val="00D864CC"/>
    <w:rsid w:val="00D90F93"/>
    <w:rsid w:val="00D913B0"/>
    <w:rsid w:val="00D95303"/>
    <w:rsid w:val="00D95F7E"/>
    <w:rsid w:val="00D96E57"/>
    <w:rsid w:val="00D97597"/>
    <w:rsid w:val="00D975A7"/>
    <w:rsid w:val="00D978C6"/>
    <w:rsid w:val="00DA0FA4"/>
    <w:rsid w:val="00DA1C8D"/>
    <w:rsid w:val="00DA3111"/>
    <w:rsid w:val="00DA3C1C"/>
    <w:rsid w:val="00DA4BBB"/>
    <w:rsid w:val="00DB0C79"/>
    <w:rsid w:val="00DB2CE7"/>
    <w:rsid w:val="00DB5B2F"/>
    <w:rsid w:val="00DC0714"/>
    <w:rsid w:val="00DC14F9"/>
    <w:rsid w:val="00DC7425"/>
    <w:rsid w:val="00DD593B"/>
    <w:rsid w:val="00DE1DF6"/>
    <w:rsid w:val="00DE3079"/>
    <w:rsid w:val="00DE5F0E"/>
    <w:rsid w:val="00DE79A8"/>
    <w:rsid w:val="00DF528D"/>
    <w:rsid w:val="00DF5F80"/>
    <w:rsid w:val="00E141FA"/>
    <w:rsid w:val="00E142AF"/>
    <w:rsid w:val="00E15CC1"/>
    <w:rsid w:val="00E17C73"/>
    <w:rsid w:val="00E209FD"/>
    <w:rsid w:val="00E21400"/>
    <w:rsid w:val="00E25E54"/>
    <w:rsid w:val="00E27346"/>
    <w:rsid w:val="00E31E79"/>
    <w:rsid w:val="00E32CA8"/>
    <w:rsid w:val="00E37754"/>
    <w:rsid w:val="00E40A07"/>
    <w:rsid w:val="00E41BFE"/>
    <w:rsid w:val="00E4363C"/>
    <w:rsid w:val="00E53D02"/>
    <w:rsid w:val="00E6074E"/>
    <w:rsid w:val="00E61088"/>
    <w:rsid w:val="00E632CC"/>
    <w:rsid w:val="00E65396"/>
    <w:rsid w:val="00E71BC8"/>
    <w:rsid w:val="00E7260F"/>
    <w:rsid w:val="00E74206"/>
    <w:rsid w:val="00E77185"/>
    <w:rsid w:val="00E779FC"/>
    <w:rsid w:val="00E82BAA"/>
    <w:rsid w:val="00E848D3"/>
    <w:rsid w:val="00E85728"/>
    <w:rsid w:val="00E86349"/>
    <w:rsid w:val="00E90F1B"/>
    <w:rsid w:val="00E921CF"/>
    <w:rsid w:val="00E96630"/>
    <w:rsid w:val="00EA31F7"/>
    <w:rsid w:val="00EB11F3"/>
    <w:rsid w:val="00EB2581"/>
    <w:rsid w:val="00EB5F74"/>
    <w:rsid w:val="00EC14EF"/>
    <w:rsid w:val="00ED00FD"/>
    <w:rsid w:val="00ED661A"/>
    <w:rsid w:val="00ED7A2A"/>
    <w:rsid w:val="00ED7E6E"/>
    <w:rsid w:val="00EE6929"/>
    <w:rsid w:val="00EF0235"/>
    <w:rsid w:val="00EF1D7F"/>
    <w:rsid w:val="00EF58DB"/>
    <w:rsid w:val="00EF6B1B"/>
    <w:rsid w:val="00EF6C23"/>
    <w:rsid w:val="00F03190"/>
    <w:rsid w:val="00F03A99"/>
    <w:rsid w:val="00F0403F"/>
    <w:rsid w:val="00F04324"/>
    <w:rsid w:val="00F04CDE"/>
    <w:rsid w:val="00F06497"/>
    <w:rsid w:val="00F075CC"/>
    <w:rsid w:val="00F20C3D"/>
    <w:rsid w:val="00F2653D"/>
    <w:rsid w:val="00F333F9"/>
    <w:rsid w:val="00F34D48"/>
    <w:rsid w:val="00F35149"/>
    <w:rsid w:val="00F373CD"/>
    <w:rsid w:val="00F41576"/>
    <w:rsid w:val="00F4204E"/>
    <w:rsid w:val="00F43E9E"/>
    <w:rsid w:val="00F44820"/>
    <w:rsid w:val="00F52BE2"/>
    <w:rsid w:val="00F546EA"/>
    <w:rsid w:val="00F6303A"/>
    <w:rsid w:val="00F70D30"/>
    <w:rsid w:val="00F748B6"/>
    <w:rsid w:val="00F75DD2"/>
    <w:rsid w:val="00F81719"/>
    <w:rsid w:val="00F82D5F"/>
    <w:rsid w:val="00F82F23"/>
    <w:rsid w:val="00F8467B"/>
    <w:rsid w:val="00F846AA"/>
    <w:rsid w:val="00F84B16"/>
    <w:rsid w:val="00F86121"/>
    <w:rsid w:val="00F8772A"/>
    <w:rsid w:val="00F87EC6"/>
    <w:rsid w:val="00F9057C"/>
    <w:rsid w:val="00F906D7"/>
    <w:rsid w:val="00F90FD3"/>
    <w:rsid w:val="00F93781"/>
    <w:rsid w:val="00F9653B"/>
    <w:rsid w:val="00F9682C"/>
    <w:rsid w:val="00F96BA5"/>
    <w:rsid w:val="00FA1718"/>
    <w:rsid w:val="00FA5669"/>
    <w:rsid w:val="00FA7B12"/>
    <w:rsid w:val="00FB0BB9"/>
    <w:rsid w:val="00FB2745"/>
    <w:rsid w:val="00FB45D9"/>
    <w:rsid w:val="00FB5EB5"/>
    <w:rsid w:val="00FB613B"/>
    <w:rsid w:val="00FC0622"/>
    <w:rsid w:val="00FC68B7"/>
    <w:rsid w:val="00FD0381"/>
    <w:rsid w:val="00FD28AF"/>
    <w:rsid w:val="00FD3818"/>
    <w:rsid w:val="00FD4F04"/>
    <w:rsid w:val="00FD4FB8"/>
    <w:rsid w:val="00FD61DA"/>
    <w:rsid w:val="00FE106A"/>
    <w:rsid w:val="00FF0000"/>
    <w:rsid w:val="00FF220F"/>
    <w:rsid w:val="00FF4BF4"/>
    <w:rsid w:val="00FF6FA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D766E5C-F28F-4384-BFB4-3BC4F68F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90F1B"/>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90F1B"/>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3186</Words>
  <Characters>18165</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2014-11-24T09:24:00Z</cp:lastPrinted>
  <dcterms:created xsi:type="dcterms:W3CDTF">2017-01-24T18:03:00Z</dcterms:created>
  <dcterms:modified xsi:type="dcterms:W3CDTF">2017-01-24T18:03:00Z</dcterms:modified>
</cp:coreProperties>
</file>