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23FF5" w:rsidRPr="00E27706" w14:paraId="55328D11" w14:textId="77777777">
        <w:trPr>
          <w:cantSplit/>
          <w:trHeight w:hRule="exact" w:val="851"/>
        </w:trPr>
        <w:tc>
          <w:tcPr>
            <w:tcW w:w="1276" w:type="dxa"/>
            <w:tcBorders>
              <w:bottom w:val="single" w:sz="4" w:space="0" w:color="auto"/>
            </w:tcBorders>
            <w:vAlign w:val="bottom"/>
          </w:tcPr>
          <w:p w14:paraId="2147F174" w14:textId="77777777" w:rsidR="00323FF5" w:rsidRPr="00236128" w:rsidRDefault="00323FF5" w:rsidP="00DE1018">
            <w:pPr>
              <w:spacing w:after="80" w:line="240" w:lineRule="auto"/>
            </w:pPr>
            <w:bookmarkStart w:id="0" w:name="_GoBack"/>
            <w:bookmarkEnd w:id="0"/>
          </w:p>
        </w:tc>
        <w:tc>
          <w:tcPr>
            <w:tcW w:w="2268" w:type="dxa"/>
            <w:tcBorders>
              <w:bottom w:val="single" w:sz="4" w:space="0" w:color="auto"/>
            </w:tcBorders>
            <w:vAlign w:val="bottom"/>
          </w:tcPr>
          <w:p w14:paraId="6006BB31" w14:textId="77777777" w:rsidR="00323FF5" w:rsidRPr="00236128" w:rsidRDefault="00323FF5" w:rsidP="00DE1018">
            <w:pPr>
              <w:spacing w:after="80" w:line="240" w:lineRule="auto"/>
              <w:rPr>
                <w:b/>
                <w:sz w:val="24"/>
                <w:szCs w:val="24"/>
              </w:rPr>
            </w:pPr>
            <w:r w:rsidRPr="00236128">
              <w:rPr>
                <w:sz w:val="28"/>
                <w:szCs w:val="28"/>
              </w:rPr>
              <w:t>United Nations</w:t>
            </w:r>
          </w:p>
        </w:tc>
        <w:tc>
          <w:tcPr>
            <w:tcW w:w="6095" w:type="dxa"/>
            <w:gridSpan w:val="2"/>
            <w:tcBorders>
              <w:bottom w:val="single" w:sz="4" w:space="0" w:color="auto"/>
            </w:tcBorders>
            <w:vAlign w:val="bottom"/>
          </w:tcPr>
          <w:p w14:paraId="7D482EA6" w14:textId="0B52B2E4" w:rsidR="00323FF5" w:rsidRPr="00236128" w:rsidRDefault="00323FF5" w:rsidP="006804D4">
            <w:pPr>
              <w:spacing w:line="240" w:lineRule="auto"/>
              <w:jc w:val="right"/>
            </w:pPr>
            <w:r w:rsidRPr="00236128">
              <w:rPr>
                <w:sz w:val="40"/>
              </w:rPr>
              <w:t>CCPR</w:t>
            </w:r>
            <w:r w:rsidR="003E078C" w:rsidRPr="00236128">
              <w:t>/C/1</w:t>
            </w:r>
            <w:r w:rsidR="006F18F7" w:rsidRPr="00236128">
              <w:t>20</w:t>
            </w:r>
            <w:r w:rsidR="003E078C" w:rsidRPr="00236128">
              <w:t>/D/</w:t>
            </w:r>
            <w:r w:rsidR="006F18F7" w:rsidRPr="00236128">
              <w:t>2237/2013</w:t>
            </w:r>
          </w:p>
        </w:tc>
      </w:tr>
      <w:tr w:rsidR="00323FF5" w:rsidRPr="00E27706" w14:paraId="16FA4EFD" w14:textId="77777777">
        <w:trPr>
          <w:cantSplit/>
          <w:trHeight w:hRule="exact" w:val="2835"/>
        </w:trPr>
        <w:tc>
          <w:tcPr>
            <w:tcW w:w="1276" w:type="dxa"/>
            <w:tcBorders>
              <w:top w:val="single" w:sz="4" w:space="0" w:color="auto"/>
              <w:bottom w:val="single" w:sz="12" w:space="0" w:color="auto"/>
            </w:tcBorders>
          </w:tcPr>
          <w:p w14:paraId="0F5A9B46" w14:textId="77777777" w:rsidR="00323FF5" w:rsidRPr="00236128" w:rsidRDefault="00323FF5" w:rsidP="00DE1018">
            <w:pPr>
              <w:spacing w:before="120" w:line="240" w:lineRule="auto"/>
            </w:pPr>
            <w:r w:rsidRPr="00515B5D">
              <w:rPr>
                <w:noProof/>
                <w:lang w:val="en-US"/>
              </w:rPr>
              <w:drawing>
                <wp:inline distT="0" distB="0" distL="0" distR="0" wp14:anchorId="149923E5" wp14:editId="5202B61F">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A787E4C" w14:textId="77777777" w:rsidR="00323FF5" w:rsidRPr="00236128" w:rsidRDefault="00323FF5" w:rsidP="00DE1018">
            <w:pPr>
              <w:spacing w:before="120" w:line="240" w:lineRule="auto"/>
              <w:rPr>
                <w:b/>
                <w:sz w:val="34"/>
                <w:szCs w:val="40"/>
              </w:rPr>
            </w:pPr>
            <w:r w:rsidRPr="00236128">
              <w:rPr>
                <w:b/>
                <w:sz w:val="34"/>
                <w:szCs w:val="40"/>
              </w:rPr>
              <w:t>International Covenant on</w:t>
            </w:r>
            <w:r w:rsidRPr="00236128">
              <w:rPr>
                <w:b/>
                <w:sz w:val="34"/>
                <w:szCs w:val="40"/>
              </w:rPr>
              <w:br/>
              <w:t>Civil and Political Rights</w:t>
            </w:r>
          </w:p>
          <w:p w14:paraId="22037498" w14:textId="418A8E2B" w:rsidR="00181EC5" w:rsidRPr="00236128" w:rsidRDefault="00181EC5" w:rsidP="00DE1018">
            <w:pPr>
              <w:spacing w:before="120" w:line="240" w:lineRule="auto"/>
              <w:rPr>
                <w:sz w:val="34"/>
              </w:rPr>
            </w:pPr>
          </w:p>
        </w:tc>
        <w:tc>
          <w:tcPr>
            <w:tcW w:w="2835" w:type="dxa"/>
            <w:tcBorders>
              <w:top w:val="single" w:sz="4" w:space="0" w:color="auto"/>
              <w:bottom w:val="single" w:sz="12" w:space="0" w:color="auto"/>
            </w:tcBorders>
          </w:tcPr>
          <w:p w14:paraId="799CAC7A" w14:textId="7225AA6E" w:rsidR="00323FF5" w:rsidRPr="00236128" w:rsidRDefault="00323FF5" w:rsidP="00DE1018">
            <w:pPr>
              <w:spacing w:before="240" w:line="240" w:lineRule="auto"/>
            </w:pPr>
            <w:r w:rsidRPr="00236128">
              <w:t xml:space="preserve">Distr.: </w:t>
            </w:r>
            <w:r w:rsidR="006804D4" w:rsidRPr="00236128">
              <w:t>General</w:t>
            </w:r>
          </w:p>
          <w:p w14:paraId="0A91CC8B" w14:textId="70B6D9BA" w:rsidR="00323FF5" w:rsidRPr="00236128" w:rsidRDefault="008D4E38" w:rsidP="00DE1018">
            <w:pPr>
              <w:spacing w:line="240" w:lineRule="auto"/>
            </w:pPr>
            <w:r>
              <w:t>9 October</w:t>
            </w:r>
            <w:r w:rsidR="00323FF5" w:rsidRPr="00236128">
              <w:t xml:space="preserve"> 2017</w:t>
            </w:r>
          </w:p>
          <w:p w14:paraId="1660ACAB" w14:textId="77777777" w:rsidR="00323FF5" w:rsidRPr="00236128" w:rsidRDefault="00323FF5" w:rsidP="00DE1018">
            <w:pPr>
              <w:spacing w:line="240" w:lineRule="auto"/>
            </w:pPr>
          </w:p>
          <w:p w14:paraId="15CCCA21" w14:textId="77777777" w:rsidR="00323FF5" w:rsidRPr="00236128" w:rsidRDefault="00323FF5" w:rsidP="00DE1018">
            <w:pPr>
              <w:spacing w:line="240" w:lineRule="auto"/>
            </w:pPr>
            <w:r w:rsidRPr="00236128">
              <w:t>Original: English</w:t>
            </w:r>
          </w:p>
          <w:p w14:paraId="6C731BB1" w14:textId="31CBA0B1" w:rsidR="00323FF5" w:rsidRPr="00236128" w:rsidRDefault="00323FF5" w:rsidP="00DE1018">
            <w:pPr>
              <w:spacing w:line="240" w:lineRule="auto"/>
            </w:pPr>
          </w:p>
        </w:tc>
      </w:tr>
    </w:tbl>
    <w:p w14:paraId="1BB4F2CA" w14:textId="5DA15A93" w:rsidR="00323FF5" w:rsidRPr="00236128" w:rsidRDefault="00323FF5" w:rsidP="00323FF5">
      <w:pPr>
        <w:spacing w:before="120" w:line="240" w:lineRule="auto"/>
        <w:rPr>
          <w:b/>
          <w:sz w:val="24"/>
          <w:szCs w:val="24"/>
        </w:rPr>
      </w:pPr>
      <w:r w:rsidRPr="00236128">
        <w:rPr>
          <w:b/>
          <w:sz w:val="24"/>
          <w:szCs w:val="24"/>
        </w:rPr>
        <w:t>Human Rights Committee</w:t>
      </w:r>
    </w:p>
    <w:p w14:paraId="2AE64A25" w14:textId="650BE6EF" w:rsidR="00323FF5" w:rsidRPr="00BC4E15" w:rsidRDefault="00323FF5" w:rsidP="00BC4E15">
      <w:pPr>
        <w:pStyle w:val="HChG"/>
        <w:rPr>
          <w:rFonts w:eastAsia="MS Mincho"/>
        </w:rPr>
      </w:pPr>
      <w:r w:rsidRPr="00236128">
        <w:rPr>
          <w:b w:val="0"/>
          <w:color w:val="FF0000"/>
        </w:rPr>
        <w:tab/>
      </w:r>
      <w:r w:rsidRPr="00236128">
        <w:rPr>
          <w:b w:val="0"/>
          <w:color w:val="FF0000"/>
        </w:rPr>
        <w:tab/>
      </w:r>
      <w:r w:rsidR="006804D4" w:rsidRPr="00236128">
        <w:t>Views adopted by the Committee under article 5</w:t>
      </w:r>
      <w:r w:rsidR="00D902D6" w:rsidRPr="00236128">
        <w:t> </w:t>
      </w:r>
      <w:r w:rsidR="006804D4" w:rsidRPr="00236128">
        <w:t xml:space="preserve">(4) of the Optional Protocol, concerning </w:t>
      </w:r>
      <w:r w:rsidR="00D902D6" w:rsidRPr="00236128">
        <w:t>c</w:t>
      </w:r>
      <w:r w:rsidR="003E078C" w:rsidRPr="00236128">
        <w:t>ommunication No.</w:t>
      </w:r>
      <w:r w:rsidR="008D4E38">
        <w:t> </w:t>
      </w:r>
      <w:r w:rsidR="003E078C" w:rsidRPr="00236128">
        <w:t>2</w:t>
      </w:r>
      <w:r w:rsidR="000B41F5" w:rsidRPr="00236128">
        <w:t>237/2013</w:t>
      </w:r>
      <w:r w:rsidR="00E50C54" w:rsidRPr="00236128">
        <w:rPr>
          <w:rStyle w:val="FootnoteReference"/>
          <w:b w:val="0"/>
          <w:sz w:val="20"/>
          <w:vertAlign w:val="baseline"/>
        </w:rPr>
        <w:footnoteReference w:customMarkFollows="1" w:id="1"/>
        <w:t>*</w:t>
      </w:r>
      <w:r w:rsidR="00D902D6" w:rsidRPr="00236128">
        <w:rPr>
          <w:b w:val="0"/>
          <w:position w:val="4"/>
          <w:sz w:val="20"/>
        </w:rPr>
        <w:t>,</w:t>
      </w:r>
      <w:r w:rsidR="008D4E38" w:rsidRPr="00236128">
        <w:rPr>
          <w:b w:val="0"/>
          <w:sz w:val="20"/>
        </w:rPr>
        <w:t xml:space="preserve"> </w:t>
      </w:r>
      <w:r w:rsidR="006804D4" w:rsidRPr="00236128">
        <w:rPr>
          <w:b w:val="0"/>
          <w:sz w:val="20"/>
        </w:rPr>
        <w:footnoteReference w:customMarkFollows="1" w:id="2"/>
        <w:t>**</w:t>
      </w:r>
      <w:r w:rsidR="0029494E" w:rsidRPr="00236128">
        <w:rPr>
          <w:b w:val="0"/>
          <w:position w:val="4"/>
          <w:sz w:val="20"/>
        </w:rPr>
        <w:t>,</w:t>
      </w:r>
      <w:r w:rsidR="0029494E" w:rsidRPr="00236128">
        <w:rPr>
          <w:b w:val="0"/>
          <w:sz w:val="20"/>
        </w:rPr>
        <w:t xml:space="preserve"> </w:t>
      </w:r>
      <w:r w:rsidR="0029494E" w:rsidRPr="00236128">
        <w:rPr>
          <w:rStyle w:val="FootnoteReference"/>
          <w:b w:val="0"/>
          <w:sz w:val="20"/>
          <w:vertAlign w:val="baseline"/>
        </w:rPr>
        <w:footnoteReference w:customMarkFollows="1" w:id="3"/>
        <w:t>***</w:t>
      </w:r>
      <w:r w:rsidR="008D4E38">
        <w:rPr>
          <w:b w:val="0"/>
          <w:sz w:val="20"/>
        </w:rPr>
        <w:t xml:space="preserve"> </w:t>
      </w:r>
    </w:p>
    <w:p w14:paraId="5FB72F4D" w14:textId="77777777" w:rsidR="00323FF5" w:rsidRPr="00236128" w:rsidRDefault="00323FF5" w:rsidP="00323FF5">
      <w:pPr>
        <w:pStyle w:val="SingleTxtG"/>
        <w:spacing w:line="240" w:lineRule="auto"/>
        <w:ind w:left="4536" w:hanging="3402"/>
        <w:rPr>
          <w:lang w:val="en-GB"/>
        </w:rPr>
      </w:pPr>
      <w:r w:rsidRPr="00236128">
        <w:rPr>
          <w:i/>
          <w:lang w:val="en-GB"/>
        </w:rPr>
        <w:t>Communication submitted by:</w:t>
      </w:r>
      <w:r w:rsidR="00EF7CD9" w:rsidRPr="00236128">
        <w:rPr>
          <w:lang w:val="en-GB"/>
        </w:rPr>
        <w:tab/>
      </w:r>
      <w:r w:rsidR="000B41F5" w:rsidRPr="00236128">
        <w:rPr>
          <w:lang w:val="en-GB"/>
        </w:rPr>
        <w:t>Christopher Alger</w:t>
      </w:r>
      <w:r w:rsidRPr="00236128">
        <w:rPr>
          <w:lang w:val="en-GB"/>
        </w:rPr>
        <w:t xml:space="preserve"> (</w:t>
      </w:r>
      <w:r w:rsidR="000B41F5" w:rsidRPr="00236128">
        <w:rPr>
          <w:lang w:val="en-GB"/>
        </w:rPr>
        <w:t xml:space="preserve">not </w:t>
      </w:r>
      <w:r w:rsidRPr="00236128">
        <w:rPr>
          <w:lang w:val="en-GB"/>
        </w:rPr>
        <w:t>represented by counsel)</w:t>
      </w:r>
    </w:p>
    <w:p w14:paraId="119E9037" w14:textId="14A73FA2" w:rsidR="00323FF5" w:rsidRPr="00236128" w:rsidRDefault="00323FF5" w:rsidP="00323FF5">
      <w:pPr>
        <w:pStyle w:val="SingleTxtG"/>
        <w:spacing w:line="240" w:lineRule="auto"/>
        <w:ind w:left="4536" w:hanging="3402"/>
        <w:rPr>
          <w:lang w:val="en-GB"/>
        </w:rPr>
      </w:pPr>
      <w:r w:rsidRPr="00236128">
        <w:rPr>
          <w:i/>
          <w:lang w:val="en-GB"/>
        </w:rPr>
        <w:t>Alleged victim:</w:t>
      </w:r>
      <w:r w:rsidRPr="00236128">
        <w:rPr>
          <w:lang w:val="en-GB"/>
        </w:rPr>
        <w:tab/>
      </w:r>
      <w:r w:rsidR="00EF7CD9" w:rsidRPr="00236128">
        <w:rPr>
          <w:lang w:val="en-GB"/>
        </w:rPr>
        <w:t>The author</w:t>
      </w:r>
      <w:r w:rsidR="00625CA2">
        <w:rPr>
          <w:lang w:val="en-GB"/>
        </w:rPr>
        <w:t xml:space="preserve"> </w:t>
      </w:r>
    </w:p>
    <w:p w14:paraId="0B0F4F65" w14:textId="77777777" w:rsidR="00323FF5" w:rsidRPr="00236128" w:rsidRDefault="00323FF5" w:rsidP="00323FF5">
      <w:pPr>
        <w:pStyle w:val="SingleTxtG"/>
        <w:spacing w:line="240" w:lineRule="auto"/>
        <w:ind w:left="4536" w:hanging="3402"/>
        <w:rPr>
          <w:lang w:val="en-GB"/>
        </w:rPr>
      </w:pPr>
      <w:r w:rsidRPr="00236128">
        <w:rPr>
          <w:i/>
          <w:lang w:val="en-GB"/>
        </w:rPr>
        <w:t>State party:</w:t>
      </w:r>
      <w:r w:rsidRPr="00236128">
        <w:rPr>
          <w:lang w:val="en-GB"/>
        </w:rPr>
        <w:tab/>
      </w:r>
      <w:r w:rsidR="000B41F5" w:rsidRPr="00236128">
        <w:rPr>
          <w:lang w:val="en-GB"/>
        </w:rPr>
        <w:t>Australia</w:t>
      </w:r>
    </w:p>
    <w:p w14:paraId="65659F1F" w14:textId="77777777" w:rsidR="00323FF5" w:rsidRPr="00236128" w:rsidRDefault="00323FF5" w:rsidP="00323FF5">
      <w:pPr>
        <w:pStyle w:val="SingleTxtG"/>
        <w:spacing w:line="240" w:lineRule="auto"/>
        <w:ind w:left="4536" w:hanging="3402"/>
        <w:rPr>
          <w:lang w:val="en-GB"/>
        </w:rPr>
      </w:pPr>
      <w:r w:rsidRPr="00236128">
        <w:rPr>
          <w:i/>
          <w:lang w:val="en-GB"/>
        </w:rPr>
        <w:t>Date of communication:</w:t>
      </w:r>
      <w:r w:rsidRPr="00236128">
        <w:rPr>
          <w:lang w:val="en-GB"/>
        </w:rPr>
        <w:tab/>
        <w:t>3</w:t>
      </w:r>
      <w:r w:rsidR="000B41F5" w:rsidRPr="00236128">
        <w:rPr>
          <w:lang w:val="en-GB"/>
        </w:rPr>
        <w:t>0</w:t>
      </w:r>
      <w:r w:rsidRPr="00236128">
        <w:rPr>
          <w:lang w:val="en-GB"/>
        </w:rPr>
        <w:t xml:space="preserve"> January 2012 (initial submission)</w:t>
      </w:r>
    </w:p>
    <w:p w14:paraId="06964267" w14:textId="7B8844E1" w:rsidR="00613431" w:rsidRPr="00236128" w:rsidRDefault="00323FF5" w:rsidP="00613431">
      <w:pPr>
        <w:pStyle w:val="SingleTxtG"/>
        <w:spacing w:line="240" w:lineRule="auto"/>
        <w:ind w:left="4536" w:hanging="3402"/>
        <w:jc w:val="left"/>
        <w:rPr>
          <w:lang w:val="en-GB"/>
        </w:rPr>
      </w:pPr>
      <w:r w:rsidRPr="00236128">
        <w:rPr>
          <w:i/>
          <w:lang w:val="en-GB"/>
        </w:rPr>
        <w:t>Document references:</w:t>
      </w:r>
      <w:r w:rsidRPr="00236128">
        <w:rPr>
          <w:lang w:val="en-GB"/>
        </w:rPr>
        <w:tab/>
      </w:r>
      <w:r w:rsidR="00613431" w:rsidRPr="00236128">
        <w:rPr>
          <w:lang w:val="en-GB"/>
        </w:rPr>
        <w:t>Decision taken pursuant to rule 97 of the Committee’s rul</w:t>
      </w:r>
      <w:r w:rsidR="00BC4E15">
        <w:rPr>
          <w:lang w:val="en-GB"/>
        </w:rPr>
        <w:t>es of procedure, transmitted to </w:t>
      </w:r>
      <w:r w:rsidR="00613431" w:rsidRPr="00236128">
        <w:rPr>
          <w:lang w:val="en-GB"/>
        </w:rPr>
        <w:t xml:space="preserve">the State party on </w:t>
      </w:r>
      <w:r w:rsidR="00FC3952" w:rsidRPr="00236128">
        <w:rPr>
          <w:lang w:val="en-GB"/>
        </w:rPr>
        <w:t>15 March 2013</w:t>
      </w:r>
      <w:r w:rsidR="00613431" w:rsidRPr="00236128">
        <w:rPr>
          <w:color w:val="FF0000"/>
          <w:lang w:val="en-GB"/>
        </w:rPr>
        <w:t xml:space="preserve"> </w:t>
      </w:r>
      <w:r w:rsidR="00BC4E15">
        <w:rPr>
          <w:lang w:val="en-GB"/>
        </w:rPr>
        <w:t>(not issued in </w:t>
      </w:r>
      <w:r w:rsidR="00613431" w:rsidRPr="00236128">
        <w:rPr>
          <w:lang w:val="en-GB"/>
        </w:rPr>
        <w:t>document form)</w:t>
      </w:r>
    </w:p>
    <w:p w14:paraId="4D7E3099" w14:textId="2A60042F" w:rsidR="00323FF5" w:rsidRPr="00236128" w:rsidRDefault="00323FF5" w:rsidP="00323FF5">
      <w:pPr>
        <w:pStyle w:val="SingleTxtG"/>
        <w:spacing w:line="240" w:lineRule="auto"/>
        <w:ind w:left="4536" w:hanging="3402"/>
        <w:rPr>
          <w:lang w:val="en-GB"/>
        </w:rPr>
      </w:pPr>
      <w:r w:rsidRPr="00236128">
        <w:rPr>
          <w:i/>
          <w:lang w:val="en-GB"/>
        </w:rPr>
        <w:t>Date of adoption of Views:</w:t>
      </w:r>
      <w:r w:rsidRPr="00236128">
        <w:rPr>
          <w:lang w:val="en-GB"/>
        </w:rPr>
        <w:tab/>
      </w:r>
      <w:r w:rsidR="006804D4" w:rsidRPr="00236128">
        <w:rPr>
          <w:lang w:val="en-GB"/>
        </w:rPr>
        <w:t>13</w:t>
      </w:r>
      <w:r w:rsidRPr="00236128">
        <w:rPr>
          <w:lang w:val="en-GB"/>
        </w:rPr>
        <w:t xml:space="preserve"> </w:t>
      </w:r>
      <w:r w:rsidR="000B41F5" w:rsidRPr="00236128">
        <w:rPr>
          <w:lang w:val="en-GB"/>
        </w:rPr>
        <w:t>July</w:t>
      </w:r>
      <w:r w:rsidRPr="00236128">
        <w:rPr>
          <w:lang w:val="en-GB"/>
        </w:rPr>
        <w:t xml:space="preserve"> 2017</w:t>
      </w:r>
    </w:p>
    <w:p w14:paraId="7D1B4CD9" w14:textId="408D49EE" w:rsidR="00323FF5" w:rsidRPr="00236128" w:rsidRDefault="00323FF5" w:rsidP="00323FF5">
      <w:pPr>
        <w:pStyle w:val="SingleTxtG"/>
        <w:spacing w:line="240" w:lineRule="auto"/>
        <w:ind w:left="4536" w:hanging="3402"/>
        <w:rPr>
          <w:lang w:val="en-GB"/>
        </w:rPr>
      </w:pPr>
      <w:r w:rsidRPr="00236128">
        <w:rPr>
          <w:i/>
          <w:iCs/>
          <w:lang w:val="en-GB"/>
        </w:rPr>
        <w:t>Subject matter:</w:t>
      </w:r>
      <w:r w:rsidRPr="00236128">
        <w:rPr>
          <w:lang w:val="en-GB"/>
        </w:rPr>
        <w:tab/>
      </w:r>
      <w:r w:rsidR="000B41F5" w:rsidRPr="00236128">
        <w:rPr>
          <w:lang w:val="en-GB"/>
        </w:rPr>
        <w:t>Compul</w:t>
      </w:r>
      <w:r w:rsidR="00FE2D5C" w:rsidRPr="00236128">
        <w:rPr>
          <w:lang w:val="en-GB"/>
        </w:rPr>
        <w:t>sory voting in federal elections</w:t>
      </w:r>
      <w:r w:rsidR="00625CA2">
        <w:rPr>
          <w:lang w:val="en-GB"/>
        </w:rPr>
        <w:t xml:space="preserve"> </w:t>
      </w:r>
    </w:p>
    <w:p w14:paraId="1B6016EC" w14:textId="35A1A188" w:rsidR="0027250F" w:rsidRPr="00236128" w:rsidRDefault="00323FF5" w:rsidP="0027250F">
      <w:pPr>
        <w:pStyle w:val="SingleTxtG"/>
        <w:ind w:left="4536" w:hanging="3402"/>
        <w:rPr>
          <w:lang w:val="en-GB"/>
        </w:rPr>
      </w:pPr>
      <w:r w:rsidRPr="00236128">
        <w:rPr>
          <w:i/>
          <w:iCs/>
          <w:lang w:val="en-GB"/>
        </w:rPr>
        <w:t xml:space="preserve">Procedural issues: </w:t>
      </w:r>
      <w:r w:rsidRPr="00236128">
        <w:rPr>
          <w:i/>
          <w:iCs/>
          <w:color w:val="FF0000"/>
          <w:lang w:val="en-GB"/>
        </w:rPr>
        <w:tab/>
      </w:r>
      <w:r w:rsidR="0027250F" w:rsidRPr="00236128">
        <w:rPr>
          <w:lang w:val="en-GB"/>
        </w:rPr>
        <w:t>Level of substantiation of claims; preclusion</w:t>
      </w:r>
      <w:r w:rsidR="0029494E">
        <w:rPr>
          <w:lang w:val="en-GB"/>
        </w:rPr>
        <w:t xml:space="preserve"> —</w:t>
      </w:r>
      <w:r w:rsidR="0027250F" w:rsidRPr="00236128">
        <w:rPr>
          <w:lang w:val="en-GB"/>
        </w:rPr>
        <w:t xml:space="preserve"> </w:t>
      </w:r>
      <w:r w:rsidR="0027250F" w:rsidRPr="00236128">
        <w:rPr>
          <w:i/>
          <w:lang w:val="en-GB"/>
        </w:rPr>
        <w:t>ratione materiae</w:t>
      </w:r>
    </w:p>
    <w:p w14:paraId="505C1966" w14:textId="21076478" w:rsidR="0027250F" w:rsidRPr="00236128" w:rsidRDefault="00323FF5" w:rsidP="00BC4E15">
      <w:pPr>
        <w:pStyle w:val="SingleTxtG"/>
        <w:ind w:left="4536" w:hanging="3402"/>
        <w:jc w:val="left"/>
        <w:rPr>
          <w:lang w:val="en-GB"/>
        </w:rPr>
      </w:pPr>
      <w:r w:rsidRPr="00236128">
        <w:rPr>
          <w:i/>
          <w:iCs/>
          <w:lang w:val="en-GB"/>
        </w:rPr>
        <w:t xml:space="preserve">Substantive issues: </w:t>
      </w:r>
      <w:r w:rsidRPr="00236128">
        <w:rPr>
          <w:i/>
          <w:iCs/>
          <w:lang w:val="en-GB"/>
        </w:rPr>
        <w:tab/>
      </w:r>
      <w:r w:rsidRPr="00236128">
        <w:rPr>
          <w:lang w:val="en-GB"/>
        </w:rPr>
        <w:t xml:space="preserve">Right </w:t>
      </w:r>
      <w:r w:rsidR="0027250F" w:rsidRPr="00236128">
        <w:rPr>
          <w:lang w:val="en-GB"/>
        </w:rPr>
        <w:t xml:space="preserve">to privacy; freedom of thought, conscience and religion; freedom of expression; </w:t>
      </w:r>
      <w:r w:rsidR="000562C5" w:rsidRPr="00236128">
        <w:rPr>
          <w:lang w:val="en-GB"/>
        </w:rPr>
        <w:t xml:space="preserve">right to hold an opinion; </w:t>
      </w:r>
      <w:r w:rsidR="0027250F" w:rsidRPr="00236128">
        <w:rPr>
          <w:lang w:val="en-GB"/>
        </w:rPr>
        <w:t>right to take part in</w:t>
      </w:r>
      <w:r w:rsidR="005A6707" w:rsidRPr="00236128">
        <w:rPr>
          <w:lang w:val="en-GB"/>
        </w:rPr>
        <w:t xml:space="preserve"> the conduct </w:t>
      </w:r>
      <w:r w:rsidR="00D902D6" w:rsidRPr="00236128">
        <w:rPr>
          <w:lang w:val="en-GB"/>
        </w:rPr>
        <w:t xml:space="preserve">of </w:t>
      </w:r>
      <w:r w:rsidR="005A6707" w:rsidRPr="00236128">
        <w:rPr>
          <w:lang w:val="en-GB"/>
        </w:rPr>
        <w:t xml:space="preserve">public affairs </w:t>
      </w:r>
      <w:r w:rsidR="0027250F" w:rsidRPr="00236128">
        <w:rPr>
          <w:lang w:val="en-GB"/>
        </w:rPr>
        <w:t>and right to vote; right to equality before the law and equal protection of the law without discrimination; right to an effective remedy</w:t>
      </w:r>
    </w:p>
    <w:p w14:paraId="78474AB3" w14:textId="77777777" w:rsidR="00323FF5" w:rsidRPr="00236128" w:rsidRDefault="00323FF5" w:rsidP="00323FF5">
      <w:pPr>
        <w:pStyle w:val="SingleTxtG"/>
        <w:spacing w:line="240" w:lineRule="auto"/>
        <w:ind w:left="4536" w:hanging="3402"/>
        <w:jc w:val="left"/>
        <w:rPr>
          <w:lang w:val="en-GB"/>
        </w:rPr>
      </w:pPr>
      <w:r w:rsidRPr="00236128">
        <w:rPr>
          <w:i/>
          <w:iCs/>
          <w:lang w:val="en-GB"/>
        </w:rPr>
        <w:t>Articles of the Covenant:</w:t>
      </w:r>
      <w:r w:rsidRPr="00236128">
        <w:rPr>
          <w:lang w:val="en-GB"/>
        </w:rPr>
        <w:t xml:space="preserve"> </w:t>
      </w:r>
      <w:r w:rsidRPr="00236128">
        <w:rPr>
          <w:lang w:val="en-GB"/>
        </w:rPr>
        <w:tab/>
        <w:t xml:space="preserve">2, </w:t>
      </w:r>
      <w:r w:rsidR="00813195" w:rsidRPr="00236128">
        <w:rPr>
          <w:lang w:val="en-GB"/>
        </w:rPr>
        <w:t xml:space="preserve">17, 18, </w:t>
      </w:r>
      <w:r w:rsidR="000562C5" w:rsidRPr="00236128">
        <w:rPr>
          <w:lang w:val="en-GB"/>
        </w:rPr>
        <w:t xml:space="preserve">19, </w:t>
      </w:r>
      <w:r w:rsidR="009E29D1" w:rsidRPr="00236128">
        <w:rPr>
          <w:lang w:val="en-GB"/>
        </w:rPr>
        <w:t xml:space="preserve">25, </w:t>
      </w:r>
      <w:r w:rsidR="00813195" w:rsidRPr="00236128">
        <w:rPr>
          <w:lang w:val="en-GB"/>
        </w:rPr>
        <w:t>26 and 50</w:t>
      </w:r>
    </w:p>
    <w:p w14:paraId="62099D67" w14:textId="77777777" w:rsidR="00323FF5" w:rsidRPr="00236128" w:rsidRDefault="00323FF5" w:rsidP="00323FF5">
      <w:pPr>
        <w:pStyle w:val="SingleTxtG"/>
        <w:spacing w:line="240" w:lineRule="auto"/>
        <w:ind w:left="4536" w:hanging="3402"/>
        <w:jc w:val="left"/>
        <w:rPr>
          <w:iCs/>
          <w:lang w:val="en-GB"/>
        </w:rPr>
      </w:pPr>
      <w:r w:rsidRPr="00236128">
        <w:rPr>
          <w:i/>
          <w:iCs/>
          <w:lang w:val="en-GB"/>
        </w:rPr>
        <w:t>Articles of the Optional Protocol:</w:t>
      </w:r>
      <w:r w:rsidRPr="00236128">
        <w:rPr>
          <w:i/>
          <w:iCs/>
          <w:lang w:val="en-GB"/>
        </w:rPr>
        <w:tab/>
      </w:r>
      <w:r w:rsidR="00180CCA" w:rsidRPr="00236128">
        <w:rPr>
          <w:iCs/>
          <w:lang w:val="en-GB"/>
        </w:rPr>
        <w:t>2</w:t>
      </w:r>
      <w:r w:rsidR="00AE4904" w:rsidRPr="00236128">
        <w:rPr>
          <w:iCs/>
          <w:lang w:val="en-GB"/>
        </w:rPr>
        <w:t xml:space="preserve"> and 3</w:t>
      </w:r>
    </w:p>
    <w:p w14:paraId="5CD0BDD6" w14:textId="3B35A25D" w:rsidR="00FE2D5C" w:rsidRPr="00236128" w:rsidRDefault="002D2AE6" w:rsidP="00BC4E15">
      <w:pPr>
        <w:pStyle w:val="SingleTxtG"/>
        <w:spacing w:before="240"/>
        <w:rPr>
          <w:lang w:val="en-GB"/>
        </w:rPr>
      </w:pPr>
      <w:r w:rsidRPr="00236128">
        <w:rPr>
          <w:lang w:val="en-GB"/>
        </w:rPr>
        <w:t>1.</w:t>
      </w:r>
      <w:r w:rsidR="000E70C0" w:rsidRPr="00236128">
        <w:rPr>
          <w:lang w:val="en-GB"/>
        </w:rPr>
        <w:t>1</w:t>
      </w:r>
      <w:r w:rsidR="00071B2D" w:rsidRPr="00E27706">
        <w:rPr>
          <w:lang w:val="en-GB"/>
        </w:rPr>
        <w:tab/>
      </w:r>
      <w:r w:rsidRPr="00236128">
        <w:rPr>
          <w:lang w:val="en-GB"/>
        </w:rPr>
        <w:t xml:space="preserve">The </w:t>
      </w:r>
      <w:r w:rsidR="00A244AB">
        <w:rPr>
          <w:lang w:val="en-GB"/>
        </w:rPr>
        <w:t xml:space="preserve">author of the </w:t>
      </w:r>
      <w:r w:rsidRPr="00236128">
        <w:rPr>
          <w:lang w:val="en-GB"/>
        </w:rPr>
        <w:t>communication is</w:t>
      </w:r>
      <w:r w:rsidR="00FE2D5C" w:rsidRPr="00236128">
        <w:rPr>
          <w:lang w:val="en-GB"/>
        </w:rPr>
        <w:t xml:space="preserve"> Christopher William Alger, </w:t>
      </w:r>
      <w:r w:rsidR="00A9054B">
        <w:rPr>
          <w:lang w:val="en-GB"/>
        </w:rPr>
        <w:t xml:space="preserve">a </w:t>
      </w:r>
      <w:r w:rsidR="00A9054B" w:rsidRPr="00506CB3">
        <w:rPr>
          <w:lang w:val="en-GB"/>
        </w:rPr>
        <w:t>national</w:t>
      </w:r>
      <w:r w:rsidR="00A9054B" w:rsidRPr="00E27706">
        <w:rPr>
          <w:lang w:val="en-GB"/>
        </w:rPr>
        <w:t xml:space="preserve"> </w:t>
      </w:r>
      <w:r w:rsidR="00A9054B">
        <w:rPr>
          <w:lang w:val="en-GB"/>
        </w:rPr>
        <w:t xml:space="preserve">of </w:t>
      </w:r>
      <w:r w:rsidR="00FE2D5C" w:rsidRPr="00236128">
        <w:rPr>
          <w:lang w:val="en-GB"/>
        </w:rPr>
        <w:t xml:space="preserve">Australia born on 21 December 1965. </w:t>
      </w:r>
      <w:r w:rsidR="00A244AB">
        <w:rPr>
          <w:lang w:val="en-GB"/>
        </w:rPr>
        <w:t>H</w:t>
      </w:r>
      <w:r w:rsidR="00FE2D5C" w:rsidRPr="00236128">
        <w:rPr>
          <w:lang w:val="en-GB"/>
        </w:rPr>
        <w:t xml:space="preserve">e claims that </w:t>
      </w:r>
      <w:r w:rsidR="00A244AB">
        <w:rPr>
          <w:lang w:val="en-GB"/>
        </w:rPr>
        <w:t>the State party</w:t>
      </w:r>
      <w:r w:rsidR="00FE2D5C" w:rsidRPr="00236128">
        <w:rPr>
          <w:lang w:val="en-GB"/>
        </w:rPr>
        <w:t xml:space="preserve"> </w:t>
      </w:r>
      <w:r w:rsidR="00A244AB">
        <w:rPr>
          <w:lang w:val="en-GB"/>
        </w:rPr>
        <w:t xml:space="preserve">has </w:t>
      </w:r>
      <w:r w:rsidR="00FE2D5C" w:rsidRPr="00236128">
        <w:rPr>
          <w:lang w:val="en-GB"/>
        </w:rPr>
        <w:t>violat</w:t>
      </w:r>
      <w:r w:rsidR="00A244AB">
        <w:rPr>
          <w:lang w:val="en-GB"/>
        </w:rPr>
        <w:t xml:space="preserve">ed </w:t>
      </w:r>
      <w:r w:rsidR="00FE2D5C" w:rsidRPr="00236128">
        <w:rPr>
          <w:lang w:val="en-GB"/>
        </w:rPr>
        <w:t xml:space="preserve">his rights under </w:t>
      </w:r>
      <w:r w:rsidR="00180CCA" w:rsidRPr="00236128">
        <w:rPr>
          <w:lang w:val="en-GB"/>
        </w:rPr>
        <w:lastRenderedPageBreak/>
        <w:t>articles 2</w:t>
      </w:r>
      <w:r w:rsidR="00A244AB">
        <w:rPr>
          <w:lang w:val="en-GB"/>
        </w:rPr>
        <w:t> </w:t>
      </w:r>
      <w:r w:rsidR="00180CCA" w:rsidRPr="00236128">
        <w:rPr>
          <w:lang w:val="en-GB"/>
        </w:rPr>
        <w:t>(1)</w:t>
      </w:r>
      <w:r w:rsidR="00A244AB">
        <w:rPr>
          <w:lang w:val="en-GB"/>
        </w:rPr>
        <w:t>,</w:t>
      </w:r>
      <w:r w:rsidR="00180CCA" w:rsidRPr="00236128">
        <w:rPr>
          <w:lang w:val="en-GB"/>
        </w:rPr>
        <w:t xml:space="preserve"> 17 and 18, read alone and in conjunction with article</w:t>
      </w:r>
      <w:r w:rsidR="00C5354A">
        <w:rPr>
          <w:lang w:val="en-GB"/>
        </w:rPr>
        <w:t>s</w:t>
      </w:r>
      <w:r w:rsidR="00180CCA" w:rsidRPr="00236128">
        <w:rPr>
          <w:lang w:val="en-GB"/>
        </w:rPr>
        <w:t xml:space="preserve"> 2</w:t>
      </w:r>
      <w:r w:rsidR="00A244AB">
        <w:rPr>
          <w:lang w:val="en-GB"/>
        </w:rPr>
        <w:t> </w:t>
      </w:r>
      <w:r w:rsidR="00180CCA" w:rsidRPr="00236128">
        <w:rPr>
          <w:lang w:val="en-GB"/>
        </w:rPr>
        <w:t xml:space="preserve">(2) and (3), </w:t>
      </w:r>
      <w:r w:rsidR="005A6707" w:rsidRPr="00236128">
        <w:rPr>
          <w:lang w:val="en-GB"/>
        </w:rPr>
        <w:t>19</w:t>
      </w:r>
      <w:r w:rsidR="009E29D1" w:rsidRPr="00236128">
        <w:rPr>
          <w:lang w:val="en-GB"/>
        </w:rPr>
        <w:t xml:space="preserve">, </w:t>
      </w:r>
      <w:r w:rsidR="00180CCA" w:rsidRPr="00236128">
        <w:rPr>
          <w:lang w:val="en-GB"/>
        </w:rPr>
        <w:t>26 and 50 of the Covenant</w:t>
      </w:r>
      <w:r w:rsidR="00FE2D5C" w:rsidRPr="00236128">
        <w:rPr>
          <w:lang w:val="en-GB"/>
        </w:rPr>
        <w:t xml:space="preserve">. The Optional Protocol entered into force for </w:t>
      </w:r>
      <w:r w:rsidR="00EC2DB0">
        <w:rPr>
          <w:lang w:val="en-GB"/>
        </w:rPr>
        <w:t>Australia</w:t>
      </w:r>
      <w:r w:rsidR="00FE2D5C" w:rsidRPr="00236128">
        <w:rPr>
          <w:lang w:val="en-GB"/>
        </w:rPr>
        <w:t xml:space="preserve"> on 25</w:t>
      </w:r>
      <w:r w:rsidR="008D4E38">
        <w:rPr>
          <w:lang w:val="en-GB"/>
        </w:rPr>
        <w:t> </w:t>
      </w:r>
      <w:r w:rsidR="00FE2D5C" w:rsidRPr="00236128">
        <w:rPr>
          <w:lang w:val="en-GB"/>
        </w:rPr>
        <w:t>December 1991.</w:t>
      </w:r>
      <w:r w:rsidR="00C5354A" w:rsidRPr="00C5354A">
        <w:rPr>
          <w:lang w:val="en-GB"/>
        </w:rPr>
        <w:t xml:space="preserve"> </w:t>
      </w:r>
      <w:r w:rsidR="00C5354A" w:rsidRPr="00EC3572">
        <w:rPr>
          <w:lang w:val="en-GB"/>
        </w:rPr>
        <w:t>The author is not represented by counsel</w:t>
      </w:r>
    </w:p>
    <w:p w14:paraId="4F0FA72A" w14:textId="6A0C417A" w:rsidR="000E70C0" w:rsidRPr="00236128" w:rsidRDefault="000E70C0" w:rsidP="007A6388">
      <w:pPr>
        <w:pStyle w:val="SingleTxtG"/>
        <w:rPr>
          <w:lang w:val="en-GB"/>
        </w:rPr>
      </w:pPr>
      <w:r w:rsidRPr="00236128">
        <w:rPr>
          <w:lang w:val="en-GB"/>
        </w:rPr>
        <w:t>1.2</w:t>
      </w:r>
      <w:r w:rsidR="00071B2D" w:rsidRPr="00236128">
        <w:rPr>
          <w:lang w:val="en-GB"/>
        </w:rPr>
        <w:tab/>
      </w:r>
      <w:r w:rsidRPr="00236128">
        <w:rPr>
          <w:lang w:val="en-GB"/>
        </w:rPr>
        <w:t xml:space="preserve">On 15 March 2013, </w:t>
      </w:r>
      <w:r w:rsidR="002C7C47" w:rsidRPr="003E3C0D">
        <w:rPr>
          <w:lang w:val="en-GB"/>
        </w:rPr>
        <w:t>the Committee,</w:t>
      </w:r>
      <w:r w:rsidR="002C7C47">
        <w:rPr>
          <w:lang w:val="en-GB"/>
        </w:rPr>
        <w:t xml:space="preserve"> acting through its</w:t>
      </w:r>
      <w:r w:rsidRPr="00236128">
        <w:rPr>
          <w:lang w:val="en-GB"/>
        </w:rPr>
        <w:t xml:space="preserve"> Special Rapporteur on </w:t>
      </w:r>
      <w:r w:rsidR="002C7C47">
        <w:rPr>
          <w:lang w:val="en-GB"/>
        </w:rPr>
        <w:t>n</w:t>
      </w:r>
      <w:r w:rsidRPr="00236128">
        <w:rPr>
          <w:lang w:val="en-GB"/>
        </w:rPr>
        <w:t xml:space="preserve">ew </w:t>
      </w:r>
      <w:r w:rsidR="002C7C47">
        <w:rPr>
          <w:lang w:val="en-GB"/>
        </w:rPr>
        <w:t>c</w:t>
      </w:r>
      <w:r w:rsidRPr="00236128">
        <w:rPr>
          <w:lang w:val="en-GB"/>
        </w:rPr>
        <w:t xml:space="preserve">ommunications and </w:t>
      </w:r>
      <w:r w:rsidR="002C7C47">
        <w:rPr>
          <w:lang w:val="en-GB"/>
        </w:rPr>
        <w:t>i</w:t>
      </w:r>
      <w:r w:rsidRPr="00236128">
        <w:rPr>
          <w:lang w:val="en-GB"/>
        </w:rPr>
        <w:t xml:space="preserve">nterim </w:t>
      </w:r>
      <w:r w:rsidR="002C7C47">
        <w:rPr>
          <w:lang w:val="en-GB"/>
        </w:rPr>
        <w:t>m</w:t>
      </w:r>
      <w:r w:rsidRPr="00236128">
        <w:rPr>
          <w:lang w:val="en-GB"/>
        </w:rPr>
        <w:t xml:space="preserve">easures, </w:t>
      </w:r>
      <w:r w:rsidR="00027673" w:rsidRPr="00236128">
        <w:rPr>
          <w:lang w:val="en-GB"/>
        </w:rPr>
        <w:t xml:space="preserve">took note </w:t>
      </w:r>
      <w:r w:rsidR="002C7C47">
        <w:rPr>
          <w:lang w:val="en-GB"/>
        </w:rPr>
        <w:t xml:space="preserve">of the fact </w:t>
      </w:r>
      <w:r w:rsidR="00E806E3" w:rsidRPr="00236128">
        <w:rPr>
          <w:lang w:val="en-GB"/>
        </w:rPr>
        <w:t>that the author was not represented by counsel</w:t>
      </w:r>
      <w:r w:rsidR="00027673" w:rsidRPr="00236128">
        <w:rPr>
          <w:lang w:val="en-GB"/>
        </w:rPr>
        <w:t xml:space="preserve"> and</w:t>
      </w:r>
      <w:r w:rsidR="00E806E3" w:rsidRPr="00236128">
        <w:rPr>
          <w:lang w:val="en-GB"/>
        </w:rPr>
        <w:t xml:space="preserve"> </w:t>
      </w:r>
      <w:r w:rsidRPr="00236128">
        <w:rPr>
          <w:lang w:val="en-GB"/>
        </w:rPr>
        <w:t xml:space="preserve">invited the </w:t>
      </w:r>
      <w:r w:rsidR="009B2332" w:rsidRPr="00236128">
        <w:rPr>
          <w:lang w:val="en-GB"/>
        </w:rPr>
        <w:t>parties</w:t>
      </w:r>
      <w:r w:rsidRPr="00236128">
        <w:rPr>
          <w:lang w:val="en-GB"/>
        </w:rPr>
        <w:t xml:space="preserve"> to provide </w:t>
      </w:r>
      <w:r w:rsidR="009B2332" w:rsidRPr="00236128">
        <w:rPr>
          <w:lang w:val="en-GB"/>
        </w:rPr>
        <w:t xml:space="preserve">their </w:t>
      </w:r>
      <w:r w:rsidRPr="00236128">
        <w:rPr>
          <w:lang w:val="en-GB"/>
        </w:rPr>
        <w:t>observations</w:t>
      </w:r>
      <w:r w:rsidR="009B2332" w:rsidRPr="00236128">
        <w:rPr>
          <w:lang w:val="en-GB"/>
        </w:rPr>
        <w:t xml:space="preserve"> and comments</w:t>
      </w:r>
      <w:r w:rsidRPr="00236128">
        <w:rPr>
          <w:lang w:val="en-GB"/>
        </w:rPr>
        <w:t xml:space="preserve"> also in relation to article 25 of the Covenant. </w:t>
      </w:r>
    </w:p>
    <w:p w14:paraId="268CC9BB" w14:textId="7338E538" w:rsidR="00323FF5" w:rsidRPr="00236128" w:rsidRDefault="00323FF5" w:rsidP="00664169">
      <w:pPr>
        <w:pStyle w:val="H23G"/>
        <w:spacing w:line="240" w:lineRule="auto"/>
      </w:pPr>
      <w:r w:rsidRPr="00236128">
        <w:tab/>
      </w:r>
      <w:r w:rsidRPr="00236128">
        <w:tab/>
      </w:r>
      <w:r w:rsidR="003C4803">
        <w:t>F</w:t>
      </w:r>
      <w:r w:rsidRPr="00236128">
        <w:t>acts as submitted by the author</w:t>
      </w:r>
    </w:p>
    <w:p w14:paraId="0223CBC0" w14:textId="2E8D7C3C" w:rsidR="009E29D1" w:rsidRPr="00236128" w:rsidRDefault="00FE2D5C" w:rsidP="007A6388">
      <w:pPr>
        <w:pStyle w:val="SingleTxtG"/>
        <w:rPr>
          <w:lang w:val="en-GB"/>
        </w:rPr>
      </w:pPr>
      <w:r w:rsidRPr="00236128">
        <w:rPr>
          <w:lang w:val="en-GB"/>
        </w:rPr>
        <w:t>2.1</w:t>
      </w:r>
      <w:r w:rsidRPr="00236128">
        <w:rPr>
          <w:lang w:val="en-GB"/>
        </w:rPr>
        <w:tab/>
        <w:t xml:space="preserve">The author </w:t>
      </w:r>
      <w:r w:rsidR="00D968C9" w:rsidRPr="00236128">
        <w:rPr>
          <w:lang w:val="en-GB"/>
        </w:rPr>
        <w:t>maintains</w:t>
      </w:r>
      <w:r w:rsidR="005A6707" w:rsidRPr="00236128">
        <w:rPr>
          <w:lang w:val="en-GB"/>
        </w:rPr>
        <w:t xml:space="preserve"> that voting at</w:t>
      </w:r>
      <w:r w:rsidRPr="00236128">
        <w:rPr>
          <w:lang w:val="en-GB"/>
        </w:rPr>
        <w:t xml:space="preserve"> </w:t>
      </w:r>
      <w:r w:rsidR="009E29D1" w:rsidRPr="00236128">
        <w:rPr>
          <w:lang w:val="en-GB"/>
        </w:rPr>
        <w:t>f</w:t>
      </w:r>
      <w:r w:rsidRPr="00236128">
        <w:rPr>
          <w:lang w:val="en-GB"/>
        </w:rPr>
        <w:t xml:space="preserve">ederal </w:t>
      </w:r>
      <w:r w:rsidR="009E29D1" w:rsidRPr="00236128">
        <w:rPr>
          <w:lang w:val="en-GB"/>
        </w:rPr>
        <w:t>e</w:t>
      </w:r>
      <w:r w:rsidRPr="00236128">
        <w:rPr>
          <w:lang w:val="en-GB"/>
        </w:rPr>
        <w:t xml:space="preserve">lections is compulsory in the State party. According to </w:t>
      </w:r>
      <w:r w:rsidR="003815EA" w:rsidRPr="00236128">
        <w:rPr>
          <w:lang w:val="en-GB"/>
        </w:rPr>
        <w:t>s</w:t>
      </w:r>
      <w:r w:rsidR="005A6707" w:rsidRPr="00236128">
        <w:rPr>
          <w:lang w:val="en-GB"/>
        </w:rPr>
        <w:t>ubs</w:t>
      </w:r>
      <w:r w:rsidRPr="00236128">
        <w:rPr>
          <w:lang w:val="en-GB"/>
        </w:rPr>
        <w:t>ection 245 of the Commonwealth Electoral Act</w:t>
      </w:r>
      <w:r w:rsidR="00CE1E96" w:rsidRPr="00236128">
        <w:rPr>
          <w:lang w:val="en-GB"/>
        </w:rPr>
        <w:t xml:space="preserve"> </w:t>
      </w:r>
      <w:r w:rsidR="007F2287" w:rsidRPr="00236128">
        <w:rPr>
          <w:lang w:val="en-GB"/>
        </w:rPr>
        <w:t>1918</w:t>
      </w:r>
      <w:r w:rsidR="00014FBC" w:rsidRPr="00236128">
        <w:rPr>
          <w:lang w:val="en-GB"/>
        </w:rPr>
        <w:t>,</w:t>
      </w:r>
      <w:r w:rsidRPr="00236128">
        <w:rPr>
          <w:lang w:val="en-GB"/>
        </w:rPr>
        <w:t xml:space="preserve"> it is </w:t>
      </w:r>
      <w:r w:rsidR="00842FF2">
        <w:rPr>
          <w:lang w:val="en-GB"/>
        </w:rPr>
        <w:t>the</w:t>
      </w:r>
      <w:r w:rsidRPr="00236128">
        <w:rPr>
          <w:lang w:val="en-GB"/>
        </w:rPr>
        <w:t xml:space="preserve"> duty of every elector to vote at each election, </w:t>
      </w:r>
      <w:r w:rsidR="00014FBC" w:rsidRPr="00236128">
        <w:rPr>
          <w:lang w:val="en-GB"/>
        </w:rPr>
        <w:t xml:space="preserve">other than </w:t>
      </w:r>
      <w:r w:rsidR="00391797" w:rsidRPr="00236128">
        <w:rPr>
          <w:lang w:val="en-GB"/>
        </w:rPr>
        <w:t xml:space="preserve">in </w:t>
      </w:r>
      <w:r w:rsidR="003815EA">
        <w:rPr>
          <w:lang w:val="en-GB"/>
        </w:rPr>
        <w:t>exceptional</w:t>
      </w:r>
      <w:r w:rsidR="003815EA" w:rsidRPr="00AE3746">
        <w:rPr>
          <w:lang w:val="en-GB"/>
        </w:rPr>
        <w:t xml:space="preserve"> </w:t>
      </w:r>
      <w:r w:rsidR="00391797" w:rsidRPr="00236128">
        <w:rPr>
          <w:lang w:val="en-GB"/>
        </w:rPr>
        <w:t xml:space="preserve">cases </w:t>
      </w:r>
      <w:r w:rsidR="003815EA">
        <w:rPr>
          <w:lang w:val="en-GB"/>
        </w:rPr>
        <w:t>outlined in</w:t>
      </w:r>
      <w:r w:rsidRPr="00236128">
        <w:rPr>
          <w:lang w:val="en-GB"/>
        </w:rPr>
        <w:t xml:space="preserve"> the </w:t>
      </w:r>
      <w:r w:rsidR="003815EA">
        <w:rPr>
          <w:lang w:val="en-GB"/>
        </w:rPr>
        <w:t>Act</w:t>
      </w:r>
      <w:r w:rsidRPr="00236128">
        <w:rPr>
          <w:lang w:val="en-GB"/>
        </w:rPr>
        <w:t xml:space="preserve">. </w:t>
      </w:r>
      <w:r w:rsidR="005A6707" w:rsidRPr="00236128">
        <w:rPr>
          <w:lang w:val="en-GB"/>
        </w:rPr>
        <w:t>E</w:t>
      </w:r>
      <w:r w:rsidR="00791D0F" w:rsidRPr="00236128">
        <w:rPr>
          <w:lang w:val="en-GB"/>
        </w:rPr>
        <w:t xml:space="preserve">lectors who fail to vote are subject to a </w:t>
      </w:r>
      <w:r w:rsidR="003815EA">
        <w:rPr>
          <w:lang w:val="en-GB"/>
        </w:rPr>
        <w:t>fine</w:t>
      </w:r>
      <w:r w:rsidR="00791D0F" w:rsidRPr="00236128">
        <w:rPr>
          <w:lang w:val="en-GB"/>
        </w:rPr>
        <w:t xml:space="preserve">. </w:t>
      </w:r>
      <w:r w:rsidRPr="00236128">
        <w:rPr>
          <w:lang w:val="en-GB"/>
        </w:rPr>
        <w:t>S</w:t>
      </w:r>
      <w:r w:rsidR="009E29D1" w:rsidRPr="00236128">
        <w:rPr>
          <w:lang w:val="en-GB"/>
        </w:rPr>
        <w:t>ubs</w:t>
      </w:r>
      <w:r w:rsidRPr="00236128">
        <w:rPr>
          <w:lang w:val="en-GB"/>
        </w:rPr>
        <w:t>ection 245</w:t>
      </w:r>
      <w:r w:rsidR="003815EA">
        <w:rPr>
          <w:lang w:val="en-GB"/>
        </w:rPr>
        <w:t> </w:t>
      </w:r>
      <w:r w:rsidRPr="00236128">
        <w:rPr>
          <w:lang w:val="en-GB"/>
        </w:rPr>
        <w:t xml:space="preserve">(14) </w:t>
      </w:r>
      <w:r w:rsidR="00CE1E96" w:rsidRPr="00236128">
        <w:rPr>
          <w:lang w:val="en-GB"/>
        </w:rPr>
        <w:t xml:space="preserve">of </w:t>
      </w:r>
      <w:r w:rsidR="003815EA">
        <w:rPr>
          <w:lang w:val="en-GB"/>
        </w:rPr>
        <w:t>the Act</w:t>
      </w:r>
      <w:r w:rsidR="003815EA" w:rsidRPr="00236128">
        <w:rPr>
          <w:lang w:val="en-GB"/>
        </w:rPr>
        <w:t xml:space="preserve"> </w:t>
      </w:r>
      <w:r w:rsidRPr="00236128">
        <w:rPr>
          <w:lang w:val="en-GB"/>
        </w:rPr>
        <w:t>states that</w:t>
      </w:r>
      <w:r w:rsidR="00631577">
        <w:rPr>
          <w:lang w:val="en-GB"/>
        </w:rPr>
        <w:t>:</w:t>
      </w:r>
      <w:r w:rsidRPr="00236128">
        <w:rPr>
          <w:lang w:val="en-GB"/>
        </w:rPr>
        <w:t xml:space="preserve"> “</w:t>
      </w:r>
      <w:r w:rsidR="007A5FCA" w:rsidRPr="00236128">
        <w:rPr>
          <w:lang w:val="en-GB"/>
        </w:rPr>
        <w:t xml:space="preserve">Without limiting the circumstances that may constitute a valid and </w:t>
      </w:r>
      <w:r w:rsidR="00791D0F" w:rsidRPr="00236128">
        <w:rPr>
          <w:lang w:val="en-GB"/>
        </w:rPr>
        <w:t>sufficient</w:t>
      </w:r>
      <w:r w:rsidR="007A5FCA" w:rsidRPr="00236128">
        <w:rPr>
          <w:lang w:val="en-GB"/>
        </w:rPr>
        <w:t xml:space="preserve"> reason for not voting, t</w:t>
      </w:r>
      <w:r w:rsidRPr="00236128">
        <w:rPr>
          <w:lang w:val="en-GB"/>
        </w:rPr>
        <w:t xml:space="preserve">he fact that an elector believes it to be part of his or her religious duty to abstain from voting constitutes a valid and sufficient reason for the failure of the elector to vote.” </w:t>
      </w:r>
    </w:p>
    <w:p w14:paraId="324C3CCC" w14:textId="307EC39D" w:rsidR="00A30EBB" w:rsidRPr="00236128" w:rsidRDefault="00071B2D" w:rsidP="007A6388">
      <w:pPr>
        <w:pStyle w:val="SingleTxtG"/>
        <w:rPr>
          <w:lang w:val="en-GB"/>
        </w:rPr>
      </w:pPr>
      <w:r w:rsidRPr="00236128">
        <w:rPr>
          <w:lang w:val="en-GB"/>
        </w:rPr>
        <w:t>2.2</w:t>
      </w:r>
      <w:r w:rsidR="00FE2D5C" w:rsidRPr="00236128">
        <w:rPr>
          <w:lang w:val="en-GB"/>
        </w:rPr>
        <w:tab/>
        <w:t xml:space="preserve">The author decided not to </w:t>
      </w:r>
      <w:r w:rsidR="00CE1E96" w:rsidRPr="00236128">
        <w:rPr>
          <w:lang w:val="en-GB"/>
        </w:rPr>
        <w:t xml:space="preserve">vote </w:t>
      </w:r>
      <w:r w:rsidR="00FE2D5C" w:rsidRPr="00236128">
        <w:rPr>
          <w:lang w:val="en-GB"/>
        </w:rPr>
        <w:t xml:space="preserve">in the State party’s </w:t>
      </w:r>
      <w:r w:rsidR="009E29D1" w:rsidRPr="00236128">
        <w:rPr>
          <w:lang w:val="en-GB"/>
        </w:rPr>
        <w:t>f</w:t>
      </w:r>
      <w:r w:rsidR="00FE2D5C" w:rsidRPr="00236128">
        <w:rPr>
          <w:lang w:val="en-GB"/>
        </w:rPr>
        <w:t xml:space="preserve">ederal </w:t>
      </w:r>
      <w:r w:rsidR="009E29D1" w:rsidRPr="00236128">
        <w:rPr>
          <w:lang w:val="en-GB"/>
        </w:rPr>
        <w:t>e</w:t>
      </w:r>
      <w:r w:rsidR="00FE2D5C" w:rsidRPr="00236128">
        <w:rPr>
          <w:lang w:val="en-GB"/>
        </w:rPr>
        <w:t xml:space="preserve">lection held on 21 August 2010. </w:t>
      </w:r>
      <w:r w:rsidR="009E29D1" w:rsidRPr="00236128">
        <w:rPr>
          <w:lang w:val="en-GB"/>
        </w:rPr>
        <w:t>Subsequently</w:t>
      </w:r>
      <w:r w:rsidR="00FE2D5C" w:rsidRPr="00236128">
        <w:rPr>
          <w:lang w:val="en-GB"/>
        </w:rPr>
        <w:t xml:space="preserve">, he received a </w:t>
      </w:r>
      <w:r w:rsidR="00886EB3">
        <w:rPr>
          <w:lang w:val="en-GB"/>
        </w:rPr>
        <w:t>n</w:t>
      </w:r>
      <w:r w:rsidR="00886EB3" w:rsidRPr="00F233BD">
        <w:rPr>
          <w:lang w:val="en-GB"/>
        </w:rPr>
        <w:t>otice</w:t>
      </w:r>
      <w:r w:rsidR="00886EB3">
        <w:rPr>
          <w:lang w:val="en-GB"/>
        </w:rPr>
        <w:t xml:space="preserve"> informing him of his a</w:t>
      </w:r>
      <w:r w:rsidR="00FE2D5C" w:rsidRPr="00236128">
        <w:rPr>
          <w:lang w:val="en-GB"/>
        </w:rPr>
        <w:t xml:space="preserve">pparent </w:t>
      </w:r>
      <w:r w:rsidR="00886EB3">
        <w:rPr>
          <w:lang w:val="en-GB"/>
        </w:rPr>
        <w:t>f</w:t>
      </w:r>
      <w:r w:rsidR="00886EB3" w:rsidRPr="00236128">
        <w:rPr>
          <w:lang w:val="en-GB"/>
        </w:rPr>
        <w:t xml:space="preserve">ailure </w:t>
      </w:r>
      <w:r w:rsidR="00FE2D5C" w:rsidRPr="00236128">
        <w:rPr>
          <w:lang w:val="en-GB"/>
        </w:rPr>
        <w:t xml:space="preserve">to </w:t>
      </w:r>
      <w:r w:rsidR="00886EB3">
        <w:rPr>
          <w:lang w:val="en-GB"/>
        </w:rPr>
        <w:t>v</w:t>
      </w:r>
      <w:r w:rsidR="00886EB3" w:rsidRPr="00236128">
        <w:rPr>
          <w:lang w:val="en-GB"/>
        </w:rPr>
        <w:t>ote</w:t>
      </w:r>
      <w:r w:rsidR="00886EB3">
        <w:rPr>
          <w:lang w:val="en-GB"/>
        </w:rPr>
        <w:t>, which was</w:t>
      </w:r>
      <w:r w:rsidR="00FE2D5C" w:rsidRPr="00236128">
        <w:rPr>
          <w:lang w:val="en-GB"/>
        </w:rPr>
        <w:t xml:space="preserve"> issued by the </w:t>
      </w:r>
      <w:r w:rsidR="00CE1E96" w:rsidRPr="00236128">
        <w:rPr>
          <w:lang w:val="en-GB"/>
        </w:rPr>
        <w:t>Australian Electoral Commission</w:t>
      </w:r>
      <w:r w:rsidR="00FE2D5C" w:rsidRPr="00236128">
        <w:rPr>
          <w:lang w:val="en-GB"/>
        </w:rPr>
        <w:t xml:space="preserve">. </w:t>
      </w:r>
      <w:r w:rsidR="002C2C0E" w:rsidRPr="00236128">
        <w:rPr>
          <w:lang w:val="en-GB"/>
        </w:rPr>
        <w:t xml:space="preserve">The </w:t>
      </w:r>
      <w:r w:rsidR="002A2236">
        <w:rPr>
          <w:lang w:val="en-GB"/>
        </w:rPr>
        <w:t>Electoral Commission</w:t>
      </w:r>
      <w:r w:rsidR="002A2236" w:rsidRPr="00236128">
        <w:rPr>
          <w:lang w:val="en-GB"/>
        </w:rPr>
        <w:t xml:space="preserve"> </w:t>
      </w:r>
      <w:r w:rsidR="002C2C0E" w:rsidRPr="00236128">
        <w:rPr>
          <w:lang w:val="en-GB"/>
        </w:rPr>
        <w:t xml:space="preserve">requested the author </w:t>
      </w:r>
      <w:r w:rsidR="009D6D33" w:rsidRPr="00236128">
        <w:rPr>
          <w:lang w:val="en-GB"/>
        </w:rPr>
        <w:t>to provide the District Returning Officer with a valid and sufficient reason to justify his failure to vote</w:t>
      </w:r>
      <w:r w:rsidR="00577F30" w:rsidRPr="00236128">
        <w:rPr>
          <w:lang w:val="en-GB"/>
        </w:rPr>
        <w:t>.</w:t>
      </w:r>
      <w:r w:rsidR="009D6D33" w:rsidRPr="00236128">
        <w:rPr>
          <w:lang w:val="en-GB"/>
        </w:rPr>
        <w:t xml:space="preserve"> </w:t>
      </w:r>
      <w:r w:rsidR="00577F30" w:rsidRPr="00236128">
        <w:rPr>
          <w:lang w:val="en-GB"/>
        </w:rPr>
        <w:t>A</w:t>
      </w:r>
      <w:r w:rsidR="009D6D33" w:rsidRPr="00236128">
        <w:rPr>
          <w:lang w:val="en-GB"/>
        </w:rPr>
        <w:t xml:space="preserve">s </w:t>
      </w:r>
      <w:r w:rsidR="004F3539">
        <w:rPr>
          <w:lang w:val="en-GB"/>
        </w:rPr>
        <w:t xml:space="preserve">an </w:t>
      </w:r>
      <w:r w:rsidR="009D6D33" w:rsidRPr="00236128">
        <w:rPr>
          <w:lang w:val="en-GB"/>
        </w:rPr>
        <w:t xml:space="preserve">alternative, he could pay </w:t>
      </w:r>
      <w:r w:rsidR="009E29D1" w:rsidRPr="00236128">
        <w:rPr>
          <w:lang w:val="en-GB"/>
        </w:rPr>
        <w:t>a</w:t>
      </w:r>
      <w:r w:rsidR="009D6D33" w:rsidRPr="00236128">
        <w:rPr>
          <w:lang w:val="en-GB"/>
        </w:rPr>
        <w:t xml:space="preserve"> fine or </w:t>
      </w:r>
      <w:r w:rsidR="00FE2D5C" w:rsidRPr="00236128">
        <w:rPr>
          <w:lang w:val="en-GB"/>
        </w:rPr>
        <w:t>ref</w:t>
      </w:r>
      <w:r w:rsidR="00E9309D" w:rsidRPr="00236128">
        <w:rPr>
          <w:lang w:val="en-GB"/>
        </w:rPr>
        <w:t>er the matter to a court of law</w:t>
      </w:r>
      <w:r w:rsidR="00FE2D5C" w:rsidRPr="00236128">
        <w:rPr>
          <w:lang w:val="en-GB"/>
        </w:rPr>
        <w:t xml:space="preserve">. </w:t>
      </w:r>
      <w:r w:rsidR="00A30EBB" w:rsidRPr="00236128">
        <w:rPr>
          <w:lang w:val="en-GB"/>
        </w:rPr>
        <w:t>In his reply</w:t>
      </w:r>
      <w:r w:rsidR="004F3539">
        <w:rPr>
          <w:lang w:val="en-GB"/>
        </w:rPr>
        <w:t xml:space="preserve"> to the</w:t>
      </w:r>
      <w:r w:rsidR="009D3206" w:rsidRPr="00236128">
        <w:rPr>
          <w:lang w:val="en-GB"/>
        </w:rPr>
        <w:t xml:space="preserve"> </w:t>
      </w:r>
      <w:r w:rsidR="004F3539" w:rsidRPr="0090339C">
        <w:rPr>
          <w:lang w:val="en-GB"/>
        </w:rPr>
        <w:t>Returning Officer</w:t>
      </w:r>
      <w:r w:rsidR="002A2236">
        <w:rPr>
          <w:lang w:val="en-GB"/>
        </w:rPr>
        <w:t>, the author alleged</w:t>
      </w:r>
      <w:r w:rsidR="009D3206" w:rsidRPr="00236128">
        <w:rPr>
          <w:lang w:val="en-GB"/>
        </w:rPr>
        <w:t xml:space="preserve"> that </w:t>
      </w:r>
      <w:r w:rsidR="00FE2D5C" w:rsidRPr="00236128">
        <w:rPr>
          <w:lang w:val="en-GB"/>
        </w:rPr>
        <w:t xml:space="preserve">the </w:t>
      </w:r>
      <w:r w:rsidR="009D3206" w:rsidRPr="00236128">
        <w:rPr>
          <w:lang w:val="en-GB"/>
        </w:rPr>
        <w:t xml:space="preserve">then </w:t>
      </w:r>
      <w:r w:rsidR="00FE2D5C" w:rsidRPr="00236128">
        <w:rPr>
          <w:lang w:val="en-GB"/>
        </w:rPr>
        <w:t xml:space="preserve">Prime Minister </w:t>
      </w:r>
      <w:r w:rsidR="004F3539">
        <w:rPr>
          <w:lang w:val="en-GB"/>
        </w:rPr>
        <w:t xml:space="preserve">had </w:t>
      </w:r>
      <w:r w:rsidR="00FE2D5C" w:rsidRPr="00236128">
        <w:rPr>
          <w:lang w:val="en-GB"/>
        </w:rPr>
        <w:t xml:space="preserve">made a series of promises to the electorate, but, once </w:t>
      </w:r>
      <w:r w:rsidR="00105B28">
        <w:rPr>
          <w:lang w:val="en-GB"/>
        </w:rPr>
        <w:t>elected</w:t>
      </w:r>
      <w:r w:rsidR="00FE2D5C" w:rsidRPr="00236128">
        <w:rPr>
          <w:lang w:val="en-GB"/>
        </w:rPr>
        <w:t xml:space="preserve">, </w:t>
      </w:r>
      <w:r w:rsidR="00A30EBB" w:rsidRPr="00236128">
        <w:rPr>
          <w:lang w:val="en-GB"/>
        </w:rPr>
        <w:t xml:space="preserve">he </w:t>
      </w:r>
      <w:r w:rsidR="00105B28">
        <w:rPr>
          <w:lang w:val="en-GB"/>
        </w:rPr>
        <w:t xml:space="preserve">had </w:t>
      </w:r>
      <w:r w:rsidR="00FE2D5C" w:rsidRPr="00236128">
        <w:rPr>
          <w:lang w:val="en-GB"/>
        </w:rPr>
        <w:t>declared that he would not implement “non</w:t>
      </w:r>
      <w:r w:rsidR="009E29D1" w:rsidRPr="00236128">
        <w:rPr>
          <w:lang w:val="en-GB"/>
        </w:rPr>
        <w:t>-</w:t>
      </w:r>
      <w:r w:rsidR="00FE2D5C" w:rsidRPr="00236128">
        <w:rPr>
          <w:lang w:val="en-GB"/>
        </w:rPr>
        <w:t xml:space="preserve">core promises”. In </w:t>
      </w:r>
      <w:r w:rsidR="00105B28">
        <w:rPr>
          <w:lang w:val="en-GB"/>
        </w:rPr>
        <w:t xml:space="preserve">the </w:t>
      </w:r>
      <w:r w:rsidR="00FE2D5C" w:rsidRPr="00236128">
        <w:rPr>
          <w:lang w:val="en-GB"/>
        </w:rPr>
        <w:t xml:space="preserve">light of </w:t>
      </w:r>
      <w:r w:rsidR="00105B28" w:rsidRPr="00236128">
        <w:rPr>
          <w:lang w:val="en-GB"/>
        </w:rPr>
        <w:t>th</w:t>
      </w:r>
      <w:r w:rsidR="00105B28">
        <w:rPr>
          <w:lang w:val="en-GB"/>
        </w:rPr>
        <w:t>ose un</w:t>
      </w:r>
      <w:r w:rsidR="00FE2D5C" w:rsidRPr="00236128">
        <w:rPr>
          <w:lang w:val="en-GB"/>
        </w:rPr>
        <w:t>precedent</w:t>
      </w:r>
      <w:r w:rsidR="00105B28">
        <w:rPr>
          <w:lang w:val="en-GB"/>
        </w:rPr>
        <w:t>ed circumstances</w:t>
      </w:r>
      <w:r w:rsidR="00FE2D5C" w:rsidRPr="00236128">
        <w:rPr>
          <w:lang w:val="en-GB"/>
        </w:rPr>
        <w:t xml:space="preserve">, </w:t>
      </w:r>
      <w:r w:rsidR="00A30EBB" w:rsidRPr="00236128">
        <w:rPr>
          <w:lang w:val="en-GB"/>
        </w:rPr>
        <w:t xml:space="preserve">the author </w:t>
      </w:r>
      <w:r w:rsidR="00FE2D5C" w:rsidRPr="00236128">
        <w:rPr>
          <w:lang w:val="en-GB"/>
        </w:rPr>
        <w:t>realized that</w:t>
      </w:r>
      <w:r w:rsidR="00FA524B">
        <w:rPr>
          <w:lang w:val="en-GB"/>
        </w:rPr>
        <w:t>:</w:t>
      </w:r>
      <w:r w:rsidR="00FE2D5C" w:rsidRPr="00236128">
        <w:rPr>
          <w:lang w:val="en-GB"/>
        </w:rPr>
        <w:t xml:space="preserve"> he was not able to differentiate between core and non</w:t>
      </w:r>
      <w:r w:rsidR="009E29D1" w:rsidRPr="00236128">
        <w:rPr>
          <w:lang w:val="en-GB"/>
        </w:rPr>
        <w:t>-</w:t>
      </w:r>
      <w:r w:rsidR="00FE2D5C" w:rsidRPr="00236128">
        <w:rPr>
          <w:lang w:val="en-GB"/>
        </w:rPr>
        <w:t>core promises</w:t>
      </w:r>
      <w:r w:rsidR="00FA524B">
        <w:rPr>
          <w:lang w:val="en-GB"/>
        </w:rPr>
        <w:t xml:space="preserve"> and</w:t>
      </w:r>
      <w:r w:rsidR="00FE2D5C" w:rsidRPr="00236128">
        <w:rPr>
          <w:lang w:val="en-GB"/>
        </w:rPr>
        <w:t xml:space="preserve"> what was true </w:t>
      </w:r>
      <w:r w:rsidR="00FA524B">
        <w:rPr>
          <w:lang w:val="en-GB"/>
        </w:rPr>
        <w:t>and what was</w:t>
      </w:r>
      <w:r w:rsidR="00FA524B" w:rsidRPr="00236128">
        <w:rPr>
          <w:lang w:val="en-GB"/>
        </w:rPr>
        <w:t xml:space="preserve"> </w:t>
      </w:r>
      <w:r w:rsidR="00FE2D5C" w:rsidRPr="00236128">
        <w:rPr>
          <w:lang w:val="en-GB"/>
        </w:rPr>
        <w:t xml:space="preserve">false </w:t>
      </w:r>
      <w:r w:rsidR="00FA524B">
        <w:rPr>
          <w:lang w:val="en-GB"/>
        </w:rPr>
        <w:t>in</w:t>
      </w:r>
      <w:r w:rsidR="00FA524B" w:rsidRPr="00236128">
        <w:rPr>
          <w:lang w:val="en-GB"/>
        </w:rPr>
        <w:t xml:space="preserve"> </w:t>
      </w:r>
      <w:r w:rsidR="00FE2D5C" w:rsidRPr="00236128">
        <w:rPr>
          <w:lang w:val="en-GB"/>
        </w:rPr>
        <w:t xml:space="preserve">the </w:t>
      </w:r>
      <w:r w:rsidR="00FA524B">
        <w:rPr>
          <w:lang w:val="en-GB"/>
        </w:rPr>
        <w:t>statements</w:t>
      </w:r>
      <w:r w:rsidR="00FA524B" w:rsidRPr="00236128">
        <w:rPr>
          <w:lang w:val="en-GB"/>
        </w:rPr>
        <w:t xml:space="preserve"> </w:t>
      </w:r>
      <w:r w:rsidR="00FE2D5C" w:rsidRPr="00236128">
        <w:rPr>
          <w:lang w:val="en-GB"/>
        </w:rPr>
        <w:t xml:space="preserve">made by politicians during the election campaign; he did not have </w:t>
      </w:r>
      <w:r w:rsidR="00FA524B">
        <w:rPr>
          <w:lang w:val="en-GB"/>
        </w:rPr>
        <w:t xml:space="preserve">the </w:t>
      </w:r>
      <w:r w:rsidR="00FE2D5C" w:rsidRPr="00236128">
        <w:rPr>
          <w:lang w:val="en-GB"/>
        </w:rPr>
        <w:t>means to independently verify and assess poli</w:t>
      </w:r>
      <w:r w:rsidR="009D3206" w:rsidRPr="00236128">
        <w:rPr>
          <w:lang w:val="en-GB"/>
        </w:rPr>
        <w:t>ticians’ statements or promises; and</w:t>
      </w:r>
      <w:r w:rsidR="00FA524B">
        <w:rPr>
          <w:lang w:val="en-GB"/>
        </w:rPr>
        <w:t>,</w:t>
      </w:r>
      <w:r w:rsidR="009D3206" w:rsidRPr="00236128">
        <w:rPr>
          <w:lang w:val="en-GB"/>
        </w:rPr>
        <w:t xml:space="preserve"> therefore</w:t>
      </w:r>
      <w:r w:rsidR="00FA524B">
        <w:rPr>
          <w:lang w:val="en-GB"/>
        </w:rPr>
        <w:t>,</w:t>
      </w:r>
      <w:r w:rsidR="009D3206" w:rsidRPr="00236128">
        <w:rPr>
          <w:lang w:val="en-GB"/>
        </w:rPr>
        <w:t xml:space="preserve"> he did not have sufficient information available to make a meaningful </w:t>
      </w:r>
      <w:r w:rsidR="00BB186E" w:rsidRPr="00B45ABD">
        <w:rPr>
          <w:lang w:val="en-GB"/>
        </w:rPr>
        <w:t>decision</w:t>
      </w:r>
      <w:r w:rsidR="00BB186E" w:rsidRPr="00E27706">
        <w:rPr>
          <w:lang w:val="en-GB"/>
        </w:rPr>
        <w:t xml:space="preserve"> </w:t>
      </w:r>
      <w:r w:rsidR="00BB186E">
        <w:rPr>
          <w:lang w:val="en-GB"/>
        </w:rPr>
        <w:t xml:space="preserve">on who to </w:t>
      </w:r>
      <w:r w:rsidR="009D3206" w:rsidRPr="00236128">
        <w:rPr>
          <w:lang w:val="en-GB"/>
        </w:rPr>
        <w:t>vot</w:t>
      </w:r>
      <w:r w:rsidR="00BB186E">
        <w:rPr>
          <w:lang w:val="en-GB"/>
        </w:rPr>
        <w:t>e for</w:t>
      </w:r>
      <w:r w:rsidR="00F96382" w:rsidRPr="00236128">
        <w:rPr>
          <w:lang w:val="en-GB"/>
        </w:rPr>
        <w:t>.</w:t>
      </w:r>
    </w:p>
    <w:p w14:paraId="31C532DB" w14:textId="24FD76D5" w:rsidR="009D3206" w:rsidRPr="00236128" w:rsidRDefault="00071B2D" w:rsidP="007A6388">
      <w:pPr>
        <w:pStyle w:val="SingleTxtG"/>
        <w:rPr>
          <w:lang w:val="en-GB"/>
        </w:rPr>
      </w:pPr>
      <w:r w:rsidRPr="00236128">
        <w:rPr>
          <w:lang w:val="en-GB"/>
        </w:rPr>
        <w:t>2.3</w:t>
      </w:r>
      <w:r w:rsidR="00FE2D5C" w:rsidRPr="00236128">
        <w:rPr>
          <w:lang w:val="en-GB"/>
        </w:rPr>
        <w:tab/>
        <w:t xml:space="preserve">On 24 November 2010, the </w:t>
      </w:r>
      <w:r w:rsidR="00BB186E" w:rsidRPr="0090339C">
        <w:rPr>
          <w:lang w:val="en-GB"/>
        </w:rPr>
        <w:t>Returning Officer</w:t>
      </w:r>
      <w:r w:rsidR="00FE2D5C" w:rsidRPr="00236128">
        <w:rPr>
          <w:lang w:val="en-GB"/>
        </w:rPr>
        <w:t xml:space="preserve"> issued a </w:t>
      </w:r>
      <w:r w:rsidR="00BB186E" w:rsidRPr="00E27706">
        <w:rPr>
          <w:lang w:val="en-GB"/>
        </w:rPr>
        <w:t>penalty notice for failure to vote</w:t>
      </w:r>
      <w:r w:rsidR="00B2710D" w:rsidRPr="00236128">
        <w:rPr>
          <w:lang w:val="en-GB"/>
        </w:rPr>
        <w:t xml:space="preserve"> </w:t>
      </w:r>
      <w:r w:rsidR="00FE2D5C" w:rsidRPr="00236128">
        <w:rPr>
          <w:lang w:val="en-GB"/>
        </w:rPr>
        <w:t>and informed the author that the reasons provided by him were not valid and sufficient</w:t>
      </w:r>
      <w:r w:rsidR="005A6707" w:rsidRPr="00236128">
        <w:rPr>
          <w:lang w:val="en-GB"/>
        </w:rPr>
        <w:t xml:space="preserve"> </w:t>
      </w:r>
      <w:r w:rsidR="00BB186E">
        <w:rPr>
          <w:lang w:val="en-GB"/>
        </w:rPr>
        <w:t>to</w:t>
      </w:r>
      <w:r w:rsidR="00BB186E" w:rsidRPr="00236128">
        <w:rPr>
          <w:lang w:val="en-GB"/>
        </w:rPr>
        <w:t xml:space="preserve"> </w:t>
      </w:r>
      <w:r w:rsidR="005A6707" w:rsidRPr="00236128">
        <w:rPr>
          <w:lang w:val="en-GB"/>
        </w:rPr>
        <w:t>be exempted from the duty to vote</w:t>
      </w:r>
      <w:r w:rsidR="00FE2D5C" w:rsidRPr="00236128">
        <w:rPr>
          <w:lang w:val="en-GB"/>
        </w:rPr>
        <w:t xml:space="preserve">. Therefore, </w:t>
      </w:r>
      <w:r w:rsidR="00F93C38" w:rsidRPr="00236128">
        <w:rPr>
          <w:lang w:val="en-GB"/>
        </w:rPr>
        <w:t>as a penalty</w:t>
      </w:r>
      <w:r w:rsidR="00246FD2">
        <w:rPr>
          <w:lang w:val="en-GB"/>
        </w:rPr>
        <w:t>,</w:t>
      </w:r>
      <w:r w:rsidR="00F93C38" w:rsidRPr="00236128">
        <w:rPr>
          <w:lang w:val="en-GB"/>
        </w:rPr>
        <w:t xml:space="preserve"> </w:t>
      </w:r>
      <w:r w:rsidR="00165C4A">
        <w:rPr>
          <w:lang w:val="en-GB"/>
        </w:rPr>
        <w:t xml:space="preserve">he was liable to </w:t>
      </w:r>
      <w:r w:rsidR="00FE2D5C" w:rsidRPr="00236128">
        <w:rPr>
          <w:lang w:val="en-GB"/>
        </w:rPr>
        <w:t xml:space="preserve">a </w:t>
      </w:r>
      <w:r w:rsidR="009E29D1" w:rsidRPr="00236128">
        <w:rPr>
          <w:lang w:val="en-GB"/>
        </w:rPr>
        <w:t>fine of 20</w:t>
      </w:r>
      <w:r w:rsidR="001D16A0">
        <w:rPr>
          <w:lang w:val="en-GB"/>
        </w:rPr>
        <w:t> </w:t>
      </w:r>
      <w:r w:rsidR="009E29D1" w:rsidRPr="00236128">
        <w:rPr>
          <w:lang w:val="en-GB"/>
        </w:rPr>
        <w:t xml:space="preserve">Australian </w:t>
      </w:r>
      <w:r w:rsidR="00246FD2">
        <w:rPr>
          <w:lang w:val="en-GB"/>
        </w:rPr>
        <w:t>d</w:t>
      </w:r>
      <w:r w:rsidR="009E29D1" w:rsidRPr="00236128">
        <w:rPr>
          <w:lang w:val="en-GB"/>
        </w:rPr>
        <w:t>ollar</w:t>
      </w:r>
      <w:r w:rsidR="00246FD2">
        <w:rPr>
          <w:lang w:val="en-GB"/>
        </w:rPr>
        <w:t xml:space="preserve">s to be paid </w:t>
      </w:r>
      <w:r w:rsidR="009D3206" w:rsidRPr="00236128">
        <w:rPr>
          <w:lang w:val="en-GB"/>
        </w:rPr>
        <w:t xml:space="preserve">by 20 December 2010. </w:t>
      </w:r>
      <w:r w:rsidR="005A6707" w:rsidRPr="00236128">
        <w:rPr>
          <w:lang w:val="en-GB"/>
        </w:rPr>
        <w:t>The notice</w:t>
      </w:r>
      <w:r w:rsidR="009D3206" w:rsidRPr="00236128">
        <w:rPr>
          <w:lang w:val="en-GB"/>
        </w:rPr>
        <w:t xml:space="preserve"> also informed him that</w:t>
      </w:r>
      <w:r w:rsidR="003C4803">
        <w:rPr>
          <w:lang w:val="en-GB"/>
        </w:rPr>
        <w:t>,</w:t>
      </w:r>
      <w:r w:rsidR="009D3206" w:rsidRPr="00236128">
        <w:rPr>
          <w:lang w:val="en-GB"/>
        </w:rPr>
        <w:t xml:space="preserve"> should he fail to pay the fine by the due date, the matter m</w:t>
      </w:r>
      <w:r w:rsidR="00F93C38" w:rsidRPr="00236128">
        <w:rPr>
          <w:lang w:val="en-GB"/>
        </w:rPr>
        <w:t>ight</w:t>
      </w:r>
      <w:r w:rsidR="009D3206" w:rsidRPr="00236128">
        <w:rPr>
          <w:lang w:val="en-GB"/>
        </w:rPr>
        <w:t xml:space="preserve"> be referred to a court</w:t>
      </w:r>
      <w:r w:rsidR="00455197" w:rsidRPr="00236128">
        <w:rPr>
          <w:lang w:val="en-GB"/>
        </w:rPr>
        <w:t xml:space="preserve"> </w:t>
      </w:r>
      <w:r w:rsidR="009D3206" w:rsidRPr="00236128">
        <w:rPr>
          <w:lang w:val="en-GB"/>
        </w:rPr>
        <w:t xml:space="preserve">and that it might result in a maximum penalty of </w:t>
      </w:r>
      <w:r w:rsidR="002235F3">
        <w:rPr>
          <w:lang w:val="en-GB"/>
        </w:rPr>
        <w:t>$A</w:t>
      </w:r>
      <w:r w:rsidR="00BF4B7F">
        <w:rPr>
          <w:lang w:val="en-GB"/>
        </w:rPr>
        <w:t xml:space="preserve"> </w:t>
      </w:r>
      <w:r w:rsidR="009D3206" w:rsidRPr="00236128">
        <w:rPr>
          <w:lang w:val="en-GB"/>
        </w:rPr>
        <w:t>50</w:t>
      </w:r>
      <w:r w:rsidR="00246FD2">
        <w:rPr>
          <w:lang w:val="en-GB"/>
        </w:rPr>
        <w:t>,</w:t>
      </w:r>
      <w:r w:rsidR="009D3206" w:rsidRPr="00236128">
        <w:rPr>
          <w:lang w:val="en-GB"/>
        </w:rPr>
        <w:t xml:space="preserve"> </w:t>
      </w:r>
      <w:r w:rsidR="00246FD2">
        <w:rPr>
          <w:lang w:val="en-GB"/>
        </w:rPr>
        <w:t>in addition to</w:t>
      </w:r>
      <w:r w:rsidR="00246FD2" w:rsidRPr="00236128">
        <w:rPr>
          <w:lang w:val="en-GB"/>
        </w:rPr>
        <w:t xml:space="preserve"> </w:t>
      </w:r>
      <w:r w:rsidR="009D3206" w:rsidRPr="00236128">
        <w:rPr>
          <w:lang w:val="en-GB"/>
        </w:rPr>
        <w:t>any court costs</w:t>
      </w:r>
      <w:r w:rsidR="00FE2D5C" w:rsidRPr="00236128">
        <w:rPr>
          <w:lang w:val="en-GB"/>
        </w:rPr>
        <w:t xml:space="preserve">. </w:t>
      </w:r>
    </w:p>
    <w:p w14:paraId="753CD6BE" w14:textId="07B30D4D" w:rsidR="00FE2D5C" w:rsidRPr="00236128" w:rsidRDefault="00071B2D" w:rsidP="007A6388">
      <w:pPr>
        <w:pStyle w:val="SingleTxtG"/>
        <w:rPr>
          <w:lang w:val="en-GB"/>
        </w:rPr>
      </w:pPr>
      <w:r w:rsidRPr="00236128">
        <w:rPr>
          <w:lang w:val="en-GB"/>
        </w:rPr>
        <w:t>2.4</w:t>
      </w:r>
      <w:r w:rsidRPr="00236128">
        <w:rPr>
          <w:lang w:val="en-GB"/>
        </w:rPr>
        <w:tab/>
      </w:r>
      <w:r w:rsidR="005A6707" w:rsidRPr="00236128">
        <w:rPr>
          <w:lang w:val="en-GB"/>
        </w:rPr>
        <w:t>When the</w:t>
      </w:r>
      <w:r w:rsidR="00092937" w:rsidRPr="00236128">
        <w:rPr>
          <w:lang w:val="en-GB"/>
        </w:rPr>
        <w:t xml:space="preserve"> notice first came to </w:t>
      </w:r>
      <w:r w:rsidR="005A6707" w:rsidRPr="00236128">
        <w:rPr>
          <w:lang w:val="en-GB"/>
        </w:rPr>
        <w:t>the author’s a</w:t>
      </w:r>
      <w:r w:rsidR="00092937" w:rsidRPr="00236128">
        <w:rPr>
          <w:lang w:val="en-GB"/>
        </w:rPr>
        <w:t>ttention</w:t>
      </w:r>
      <w:r w:rsidR="005A6707" w:rsidRPr="00236128">
        <w:rPr>
          <w:lang w:val="en-GB"/>
        </w:rPr>
        <w:t>, h</w:t>
      </w:r>
      <w:r w:rsidR="00FE2D5C" w:rsidRPr="00236128">
        <w:rPr>
          <w:lang w:val="en-GB"/>
        </w:rPr>
        <w:t xml:space="preserve">e sought advice </w:t>
      </w:r>
      <w:r w:rsidR="00165C4A">
        <w:rPr>
          <w:lang w:val="en-GB"/>
        </w:rPr>
        <w:t xml:space="preserve">from the </w:t>
      </w:r>
      <w:r w:rsidR="00165C4A" w:rsidRPr="0090339C">
        <w:rPr>
          <w:lang w:val="en-GB"/>
        </w:rPr>
        <w:t>Returning Officer</w:t>
      </w:r>
      <w:r w:rsidR="00FE2D5C" w:rsidRPr="00236128">
        <w:rPr>
          <w:lang w:val="en-GB"/>
        </w:rPr>
        <w:t xml:space="preserve"> by </w:t>
      </w:r>
      <w:r w:rsidR="005A2209">
        <w:rPr>
          <w:lang w:val="en-GB"/>
        </w:rPr>
        <w:t>tele</w:t>
      </w:r>
      <w:r w:rsidR="00FE2D5C" w:rsidRPr="00236128">
        <w:rPr>
          <w:lang w:val="en-GB"/>
        </w:rPr>
        <w:t>phone</w:t>
      </w:r>
      <w:r w:rsidR="00417243" w:rsidRPr="00236128">
        <w:rPr>
          <w:lang w:val="en-GB"/>
        </w:rPr>
        <w:t xml:space="preserve"> and also offered to provide a more detailed explanation about the reasons why he </w:t>
      </w:r>
      <w:r w:rsidR="005A2209">
        <w:rPr>
          <w:lang w:val="en-GB"/>
        </w:rPr>
        <w:t xml:space="preserve">had </w:t>
      </w:r>
      <w:r w:rsidR="00417243" w:rsidRPr="00236128">
        <w:rPr>
          <w:lang w:val="en-GB"/>
        </w:rPr>
        <w:t>abstained from voting.</w:t>
      </w:r>
      <w:r w:rsidR="007524E7" w:rsidRPr="00236128">
        <w:rPr>
          <w:lang w:val="en-GB"/>
        </w:rPr>
        <w:t xml:space="preserve"> </w:t>
      </w:r>
      <w:r w:rsidR="00165C4A">
        <w:rPr>
          <w:lang w:val="en-GB"/>
        </w:rPr>
        <w:t>However,</w:t>
      </w:r>
      <w:r w:rsidR="00165C4A" w:rsidRPr="00236128">
        <w:rPr>
          <w:lang w:val="en-GB"/>
        </w:rPr>
        <w:t xml:space="preserve"> </w:t>
      </w:r>
      <w:r w:rsidR="007524E7" w:rsidRPr="00236128">
        <w:rPr>
          <w:lang w:val="en-GB"/>
        </w:rPr>
        <w:t xml:space="preserve">he was told that if the </w:t>
      </w:r>
      <w:r w:rsidR="005A2209">
        <w:rPr>
          <w:lang w:val="en-GB"/>
        </w:rPr>
        <w:t xml:space="preserve">new </w:t>
      </w:r>
      <w:r w:rsidR="007524E7" w:rsidRPr="00236128">
        <w:rPr>
          <w:lang w:val="en-GB"/>
        </w:rPr>
        <w:t xml:space="preserve">reasons were similar to his original justification, </w:t>
      </w:r>
      <w:r w:rsidR="00165C4A">
        <w:rPr>
          <w:lang w:val="en-GB"/>
        </w:rPr>
        <w:t>they</w:t>
      </w:r>
      <w:r w:rsidR="00165C4A" w:rsidRPr="00236128">
        <w:rPr>
          <w:lang w:val="en-GB"/>
        </w:rPr>
        <w:t xml:space="preserve"> </w:t>
      </w:r>
      <w:r w:rsidR="007524E7" w:rsidRPr="00236128">
        <w:rPr>
          <w:lang w:val="en-GB"/>
        </w:rPr>
        <w:t xml:space="preserve">would still be deemed not to be valid </w:t>
      </w:r>
      <w:r w:rsidR="00D4118C" w:rsidRPr="00236128">
        <w:rPr>
          <w:lang w:val="en-GB"/>
        </w:rPr>
        <w:t>and</w:t>
      </w:r>
      <w:r w:rsidR="007524E7" w:rsidRPr="00236128">
        <w:rPr>
          <w:lang w:val="en-GB"/>
        </w:rPr>
        <w:t xml:space="preserve"> sufficient</w:t>
      </w:r>
      <w:r w:rsidR="005A2209">
        <w:rPr>
          <w:lang w:val="en-GB"/>
        </w:rPr>
        <w:t>. He was also informed</w:t>
      </w:r>
      <w:r w:rsidR="007524E7" w:rsidRPr="00236128">
        <w:rPr>
          <w:lang w:val="en-GB"/>
        </w:rPr>
        <w:t xml:space="preserve"> that had he given certain religious explanations to </w:t>
      </w:r>
      <w:r w:rsidR="00D4118C" w:rsidRPr="00236128">
        <w:rPr>
          <w:lang w:val="en-GB"/>
        </w:rPr>
        <w:t>justify</w:t>
      </w:r>
      <w:r w:rsidR="007524E7" w:rsidRPr="00236128">
        <w:rPr>
          <w:lang w:val="en-GB"/>
        </w:rPr>
        <w:t xml:space="preserve"> not voting, the matter would have been closed with</w:t>
      </w:r>
      <w:r w:rsidR="00836BAA">
        <w:rPr>
          <w:lang w:val="en-GB"/>
        </w:rPr>
        <w:t>out</w:t>
      </w:r>
      <w:r w:rsidR="007524E7" w:rsidRPr="00236128">
        <w:rPr>
          <w:lang w:val="en-GB"/>
        </w:rPr>
        <w:t xml:space="preserve"> </w:t>
      </w:r>
      <w:r w:rsidR="00836BAA">
        <w:rPr>
          <w:lang w:val="en-GB"/>
        </w:rPr>
        <w:t>a</w:t>
      </w:r>
      <w:r w:rsidR="007524E7" w:rsidRPr="00236128">
        <w:rPr>
          <w:lang w:val="en-GB"/>
        </w:rPr>
        <w:t xml:space="preserve"> fine</w:t>
      </w:r>
      <w:r w:rsidR="00836BAA">
        <w:rPr>
          <w:lang w:val="en-GB"/>
        </w:rPr>
        <w:t xml:space="preserve"> being imposed</w:t>
      </w:r>
      <w:r w:rsidR="007524E7" w:rsidRPr="00236128">
        <w:rPr>
          <w:lang w:val="en-GB"/>
        </w:rPr>
        <w:t xml:space="preserve">. </w:t>
      </w:r>
      <w:r w:rsidR="00417243" w:rsidRPr="00236128">
        <w:rPr>
          <w:lang w:val="en-GB"/>
        </w:rPr>
        <w:t>H</w:t>
      </w:r>
      <w:r w:rsidR="00FE2D5C" w:rsidRPr="00236128">
        <w:rPr>
          <w:lang w:val="en-GB"/>
        </w:rPr>
        <w:t xml:space="preserve">aving been informed </w:t>
      </w:r>
      <w:r w:rsidR="00417243" w:rsidRPr="00236128">
        <w:rPr>
          <w:lang w:val="en-GB"/>
        </w:rPr>
        <w:t xml:space="preserve">by the </w:t>
      </w:r>
      <w:r w:rsidR="00836BAA" w:rsidRPr="0090339C">
        <w:rPr>
          <w:lang w:val="en-GB"/>
        </w:rPr>
        <w:t>Returning Officer</w:t>
      </w:r>
      <w:r w:rsidR="00417243" w:rsidRPr="00236128">
        <w:rPr>
          <w:lang w:val="en-GB"/>
        </w:rPr>
        <w:t xml:space="preserve"> </w:t>
      </w:r>
      <w:r w:rsidR="00FE2D5C" w:rsidRPr="00236128">
        <w:rPr>
          <w:lang w:val="en-GB"/>
        </w:rPr>
        <w:t>that the payment of the fine would not</w:t>
      </w:r>
      <w:r w:rsidR="004C7485">
        <w:rPr>
          <w:lang w:val="en-GB"/>
        </w:rPr>
        <w:t>,</w:t>
      </w:r>
      <w:r w:rsidR="00FE2D5C" w:rsidRPr="00236128">
        <w:rPr>
          <w:lang w:val="en-GB"/>
        </w:rPr>
        <w:t xml:space="preserve"> </w:t>
      </w:r>
      <w:r w:rsidR="004C7485" w:rsidRPr="00752DBF">
        <w:rPr>
          <w:lang w:val="en-GB"/>
        </w:rPr>
        <w:t>in any way</w:t>
      </w:r>
      <w:r w:rsidR="004C7485">
        <w:rPr>
          <w:lang w:val="en-GB"/>
        </w:rPr>
        <w:t>,</w:t>
      </w:r>
      <w:r w:rsidR="004C7485" w:rsidRPr="00E27706">
        <w:rPr>
          <w:lang w:val="en-GB"/>
        </w:rPr>
        <w:t xml:space="preserve"> </w:t>
      </w:r>
      <w:r w:rsidR="00FE2D5C" w:rsidRPr="00236128">
        <w:rPr>
          <w:lang w:val="en-GB"/>
        </w:rPr>
        <w:t>be taken as an admission of liability</w:t>
      </w:r>
      <w:r w:rsidR="00A4586C" w:rsidRPr="00236128">
        <w:rPr>
          <w:lang w:val="en-GB"/>
        </w:rPr>
        <w:t xml:space="preserve">, </w:t>
      </w:r>
      <w:r w:rsidR="00FE2D5C" w:rsidRPr="00236128">
        <w:rPr>
          <w:lang w:val="en-GB"/>
        </w:rPr>
        <w:t>in December 2010</w:t>
      </w:r>
      <w:r w:rsidR="00DE4E85">
        <w:rPr>
          <w:lang w:val="en-GB"/>
        </w:rPr>
        <w:t>,</w:t>
      </w:r>
      <w:r w:rsidR="00FE2D5C" w:rsidRPr="00236128">
        <w:rPr>
          <w:lang w:val="en-GB"/>
        </w:rPr>
        <w:t xml:space="preserve"> the author paid </w:t>
      </w:r>
      <w:r w:rsidR="00E610A3" w:rsidRPr="00236128">
        <w:rPr>
          <w:lang w:val="en-GB"/>
        </w:rPr>
        <w:t>it</w:t>
      </w:r>
      <w:r w:rsidR="00A4586C" w:rsidRPr="00236128">
        <w:rPr>
          <w:lang w:val="en-GB"/>
        </w:rPr>
        <w:t xml:space="preserve"> to avoid the matter going to court and the likelihood of being convicted. </w:t>
      </w:r>
    </w:p>
    <w:p w14:paraId="3A073966" w14:textId="55BADADB" w:rsidR="00FE2D5C" w:rsidRPr="00236128" w:rsidRDefault="008610D9" w:rsidP="007A6388">
      <w:pPr>
        <w:pStyle w:val="SingleTxtG"/>
        <w:rPr>
          <w:lang w:val="en-GB"/>
        </w:rPr>
      </w:pPr>
      <w:r w:rsidRPr="00236128">
        <w:rPr>
          <w:lang w:val="en-GB"/>
        </w:rPr>
        <w:t>2.5</w:t>
      </w:r>
      <w:r w:rsidR="00FE2D5C" w:rsidRPr="00236128">
        <w:rPr>
          <w:lang w:val="en-GB"/>
        </w:rPr>
        <w:tab/>
        <w:t xml:space="preserve">On 25 January 2011, he filed a submission before the </w:t>
      </w:r>
      <w:r w:rsidR="000E7F00" w:rsidRPr="000E7F00">
        <w:rPr>
          <w:lang w:val="en-GB"/>
        </w:rPr>
        <w:t xml:space="preserve">Joint </w:t>
      </w:r>
      <w:r w:rsidR="00FE2D5C" w:rsidRPr="00236128">
        <w:rPr>
          <w:lang w:val="en-GB"/>
        </w:rPr>
        <w:t xml:space="preserve">Standing Committee on Electoral Matters. He repeated the explanation that he gave to the </w:t>
      </w:r>
      <w:r w:rsidR="004C7485" w:rsidRPr="0090339C">
        <w:rPr>
          <w:lang w:val="en-GB"/>
        </w:rPr>
        <w:t>Returning Officer</w:t>
      </w:r>
      <w:r w:rsidR="0007026A">
        <w:rPr>
          <w:lang w:val="en-GB"/>
        </w:rPr>
        <w:t>,</w:t>
      </w:r>
      <w:r w:rsidR="00FE2D5C" w:rsidRPr="00236128">
        <w:rPr>
          <w:lang w:val="en-GB"/>
        </w:rPr>
        <w:t xml:space="preserve"> claim</w:t>
      </w:r>
      <w:r w:rsidR="0007026A">
        <w:rPr>
          <w:lang w:val="en-GB"/>
        </w:rPr>
        <w:t>ing</w:t>
      </w:r>
      <w:r w:rsidR="00FE2D5C" w:rsidRPr="00236128">
        <w:rPr>
          <w:lang w:val="en-GB"/>
        </w:rPr>
        <w:t xml:space="preserve"> that the enforcement of the </w:t>
      </w:r>
      <w:r w:rsidR="004C7485" w:rsidRPr="0090339C">
        <w:rPr>
          <w:lang w:val="en-GB"/>
        </w:rPr>
        <w:t>Commonwealth Electoral Act</w:t>
      </w:r>
      <w:r w:rsidR="00FE2D5C" w:rsidRPr="00236128">
        <w:rPr>
          <w:lang w:val="en-GB"/>
        </w:rPr>
        <w:t xml:space="preserve"> entailed</w:t>
      </w:r>
      <w:r w:rsidR="0007026A">
        <w:rPr>
          <w:lang w:val="en-GB"/>
        </w:rPr>
        <w:t>,</w:t>
      </w:r>
      <w:r w:rsidR="00FE2D5C" w:rsidRPr="00236128">
        <w:rPr>
          <w:lang w:val="en-GB"/>
        </w:rPr>
        <w:t xml:space="preserve"> </w:t>
      </w:r>
      <w:r w:rsidR="0007026A" w:rsidRPr="00145CE3">
        <w:rPr>
          <w:lang w:val="en-GB"/>
        </w:rPr>
        <w:t>in practice</w:t>
      </w:r>
      <w:r w:rsidR="0007026A">
        <w:rPr>
          <w:lang w:val="en-GB"/>
        </w:rPr>
        <w:t>,</w:t>
      </w:r>
      <w:r w:rsidR="0007026A" w:rsidRPr="00145CE3">
        <w:rPr>
          <w:lang w:val="en-GB"/>
        </w:rPr>
        <w:t xml:space="preserve"> </w:t>
      </w:r>
      <w:r w:rsidR="00FE2D5C" w:rsidRPr="00236128">
        <w:rPr>
          <w:lang w:val="en-GB"/>
        </w:rPr>
        <w:t xml:space="preserve">an arbitrary interference </w:t>
      </w:r>
      <w:r w:rsidR="0007026A">
        <w:rPr>
          <w:lang w:val="en-GB"/>
        </w:rPr>
        <w:t>with</w:t>
      </w:r>
      <w:r w:rsidR="0007026A" w:rsidRPr="00236128">
        <w:rPr>
          <w:lang w:val="en-GB"/>
        </w:rPr>
        <w:t xml:space="preserve"> </w:t>
      </w:r>
      <w:r w:rsidR="00FE2D5C" w:rsidRPr="00236128">
        <w:rPr>
          <w:lang w:val="en-GB"/>
        </w:rPr>
        <w:t>his right to privacy</w:t>
      </w:r>
      <w:r w:rsidR="0007026A">
        <w:rPr>
          <w:lang w:val="en-GB"/>
        </w:rPr>
        <w:t>,</w:t>
      </w:r>
      <w:r w:rsidR="00FE2D5C" w:rsidRPr="00236128">
        <w:rPr>
          <w:lang w:val="en-GB"/>
        </w:rPr>
        <w:t xml:space="preserve"> </w:t>
      </w:r>
      <w:r w:rsidR="0094080B" w:rsidRPr="00236128">
        <w:rPr>
          <w:lang w:val="en-GB"/>
        </w:rPr>
        <w:t xml:space="preserve">since he </w:t>
      </w:r>
      <w:r w:rsidR="0007026A">
        <w:rPr>
          <w:lang w:val="en-GB"/>
        </w:rPr>
        <w:t>had been</w:t>
      </w:r>
      <w:r w:rsidR="0007026A" w:rsidRPr="00236128">
        <w:rPr>
          <w:lang w:val="en-GB"/>
        </w:rPr>
        <w:t xml:space="preserve"> </w:t>
      </w:r>
      <w:r w:rsidR="0094080B" w:rsidRPr="00236128">
        <w:rPr>
          <w:lang w:val="en-GB"/>
        </w:rPr>
        <w:t xml:space="preserve">requested to provide a written </w:t>
      </w:r>
      <w:r w:rsidR="0007026A">
        <w:rPr>
          <w:lang w:val="en-GB"/>
        </w:rPr>
        <w:t>explanation of his reasons</w:t>
      </w:r>
      <w:r w:rsidR="0007026A" w:rsidRPr="00236128">
        <w:rPr>
          <w:lang w:val="en-GB"/>
        </w:rPr>
        <w:t xml:space="preserve"> </w:t>
      </w:r>
      <w:r w:rsidR="0094080B" w:rsidRPr="00236128">
        <w:rPr>
          <w:lang w:val="en-GB"/>
        </w:rPr>
        <w:t xml:space="preserve">for not voting, even though his voting position </w:t>
      </w:r>
      <w:r w:rsidR="0007026A">
        <w:rPr>
          <w:lang w:val="en-GB"/>
        </w:rPr>
        <w:t>—</w:t>
      </w:r>
      <w:r w:rsidR="00014FBC" w:rsidRPr="00236128">
        <w:rPr>
          <w:lang w:val="en-GB"/>
        </w:rPr>
        <w:t xml:space="preserve"> </w:t>
      </w:r>
      <w:r w:rsidR="0094080B" w:rsidRPr="00236128">
        <w:rPr>
          <w:lang w:val="en-GB"/>
        </w:rPr>
        <w:t>the details of his vote</w:t>
      </w:r>
      <w:r w:rsidR="00014FBC" w:rsidRPr="00236128">
        <w:rPr>
          <w:lang w:val="en-GB"/>
        </w:rPr>
        <w:t xml:space="preserve"> </w:t>
      </w:r>
      <w:r w:rsidR="0007026A">
        <w:rPr>
          <w:lang w:val="en-GB"/>
        </w:rPr>
        <w:t>—</w:t>
      </w:r>
      <w:r w:rsidR="00014FBC" w:rsidRPr="00236128">
        <w:rPr>
          <w:lang w:val="en-GB"/>
        </w:rPr>
        <w:t xml:space="preserve"> </w:t>
      </w:r>
      <w:r w:rsidR="0007026A">
        <w:rPr>
          <w:lang w:val="en-GB"/>
        </w:rPr>
        <w:t>should</w:t>
      </w:r>
      <w:r w:rsidR="0094080B" w:rsidRPr="00236128">
        <w:rPr>
          <w:lang w:val="en-GB"/>
        </w:rPr>
        <w:t xml:space="preserve"> be considered private and at his discretion, including the reasons for not voting. It was also </w:t>
      </w:r>
      <w:r w:rsidR="00FE2D5C" w:rsidRPr="00236128">
        <w:rPr>
          <w:lang w:val="en-GB"/>
        </w:rPr>
        <w:t>a discrimin</w:t>
      </w:r>
      <w:r w:rsidR="0094080B" w:rsidRPr="00236128">
        <w:rPr>
          <w:lang w:val="en-GB"/>
        </w:rPr>
        <w:t>atory act on religious grounds</w:t>
      </w:r>
      <w:r w:rsidR="0081009E" w:rsidRPr="00236128">
        <w:rPr>
          <w:lang w:val="en-GB"/>
        </w:rPr>
        <w:t>,</w:t>
      </w:r>
      <w:r w:rsidR="0094080B" w:rsidRPr="00236128">
        <w:rPr>
          <w:lang w:val="en-GB"/>
        </w:rPr>
        <w:t xml:space="preserve"> as had he claimed a religious reason for his apparent failure to vote then this would have been deemed to be a valid and sufficient reason by the</w:t>
      </w:r>
      <w:r w:rsidR="0098554C">
        <w:rPr>
          <w:lang w:val="en-GB"/>
        </w:rPr>
        <w:t xml:space="preserve"> </w:t>
      </w:r>
      <w:r w:rsidR="0098554C" w:rsidRPr="0090339C">
        <w:rPr>
          <w:lang w:val="en-GB"/>
        </w:rPr>
        <w:t>Returning Officer</w:t>
      </w:r>
      <w:r w:rsidR="0094080B" w:rsidRPr="00236128">
        <w:rPr>
          <w:lang w:val="en-GB"/>
        </w:rPr>
        <w:t xml:space="preserve">. Therefore, </w:t>
      </w:r>
      <w:r w:rsidR="0098554C" w:rsidRPr="00A21AD5">
        <w:rPr>
          <w:lang w:val="en-GB"/>
        </w:rPr>
        <w:t>his rights under articles 17, 18 and 26 of the Covenant</w:t>
      </w:r>
      <w:r w:rsidR="0098554C">
        <w:rPr>
          <w:lang w:val="en-GB"/>
        </w:rPr>
        <w:t xml:space="preserve"> </w:t>
      </w:r>
      <w:r w:rsidR="0094080B" w:rsidRPr="00236128">
        <w:rPr>
          <w:lang w:val="en-GB"/>
        </w:rPr>
        <w:t>had been violat</w:t>
      </w:r>
      <w:r w:rsidR="0098554C">
        <w:rPr>
          <w:lang w:val="en-GB"/>
        </w:rPr>
        <w:t>ed</w:t>
      </w:r>
      <w:r w:rsidR="00FE2D5C" w:rsidRPr="00236128">
        <w:rPr>
          <w:lang w:val="en-GB"/>
        </w:rPr>
        <w:t>. He further argued that although voting was compulsory, a voter could mark the whole ballot paper or not mark it</w:t>
      </w:r>
      <w:r w:rsidR="0038536C">
        <w:rPr>
          <w:lang w:val="en-GB"/>
        </w:rPr>
        <w:t xml:space="preserve"> at all</w:t>
      </w:r>
      <w:r w:rsidR="00FE2D5C" w:rsidRPr="00236128">
        <w:rPr>
          <w:lang w:val="en-GB"/>
        </w:rPr>
        <w:t xml:space="preserve">, in which case no vote </w:t>
      </w:r>
      <w:r w:rsidR="0038536C">
        <w:rPr>
          <w:lang w:val="en-GB"/>
        </w:rPr>
        <w:t xml:space="preserve">would, </w:t>
      </w:r>
      <w:r w:rsidR="00FE2D5C" w:rsidRPr="00236128">
        <w:rPr>
          <w:lang w:val="en-GB"/>
        </w:rPr>
        <w:t>in practice</w:t>
      </w:r>
      <w:r w:rsidR="0038536C">
        <w:rPr>
          <w:lang w:val="en-GB"/>
        </w:rPr>
        <w:t>,</w:t>
      </w:r>
      <w:r w:rsidR="00FE2D5C" w:rsidRPr="00236128">
        <w:rPr>
          <w:lang w:val="en-GB"/>
        </w:rPr>
        <w:t xml:space="preserve"> </w:t>
      </w:r>
      <w:r w:rsidR="0038536C" w:rsidRPr="00236128">
        <w:rPr>
          <w:lang w:val="en-GB"/>
        </w:rPr>
        <w:t>t</w:t>
      </w:r>
      <w:r w:rsidR="0038536C">
        <w:rPr>
          <w:lang w:val="en-GB"/>
        </w:rPr>
        <w:t>ake</w:t>
      </w:r>
      <w:r w:rsidR="0038536C" w:rsidRPr="00236128">
        <w:rPr>
          <w:lang w:val="en-GB"/>
        </w:rPr>
        <w:t xml:space="preserve"> </w:t>
      </w:r>
      <w:r w:rsidR="00FE2D5C" w:rsidRPr="00236128">
        <w:rPr>
          <w:lang w:val="en-GB"/>
        </w:rPr>
        <w:t xml:space="preserve">place. In such </w:t>
      </w:r>
      <w:r w:rsidR="00C249C4">
        <w:rPr>
          <w:lang w:val="en-GB"/>
        </w:rPr>
        <w:t>a situation</w:t>
      </w:r>
      <w:r w:rsidR="00DE4E85">
        <w:rPr>
          <w:lang w:val="en-GB"/>
        </w:rPr>
        <w:t>,</w:t>
      </w:r>
      <w:r w:rsidR="00C249C4" w:rsidRPr="00236128">
        <w:rPr>
          <w:lang w:val="en-GB"/>
        </w:rPr>
        <w:t xml:space="preserve"> </w:t>
      </w:r>
      <w:r w:rsidR="00FE2D5C" w:rsidRPr="00236128">
        <w:rPr>
          <w:lang w:val="en-GB"/>
        </w:rPr>
        <w:t>n</w:t>
      </w:r>
      <w:r w:rsidR="00E610A3" w:rsidRPr="00236128">
        <w:rPr>
          <w:lang w:val="en-GB"/>
        </w:rPr>
        <w:t xml:space="preserve">o law </w:t>
      </w:r>
      <w:r w:rsidR="00C249C4">
        <w:rPr>
          <w:lang w:val="en-GB"/>
        </w:rPr>
        <w:t>would be</w:t>
      </w:r>
      <w:r w:rsidR="00C249C4" w:rsidRPr="00236128">
        <w:rPr>
          <w:lang w:val="en-GB"/>
        </w:rPr>
        <w:t xml:space="preserve"> </w:t>
      </w:r>
      <w:r w:rsidR="00E610A3" w:rsidRPr="00236128">
        <w:rPr>
          <w:lang w:val="en-GB"/>
        </w:rPr>
        <w:t xml:space="preserve">broken and the vote </w:t>
      </w:r>
      <w:r w:rsidR="00C249C4">
        <w:rPr>
          <w:lang w:val="en-GB"/>
        </w:rPr>
        <w:t>would be</w:t>
      </w:r>
      <w:r w:rsidR="00C249C4" w:rsidRPr="00236128">
        <w:rPr>
          <w:lang w:val="en-GB"/>
        </w:rPr>
        <w:t xml:space="preserve"> </w:t>
      </w:r>
      <w:r w:rsidR="00E610A3" w:rsidRPr="00236128">
        <w:rPr>
          <w:lang w:val="en-GB"/>
        </w:rPr>
        <w:lastRenderedPageBreak/>
        <w:t>kept</w:t>
      </w:r>
      <w:r w:rsidR="00FE2D5C" w:rsidRPr="00236128">
        <w:rPr>
          <w:lang w:val="en-GB"/>
        </w:rPr>
        <w:t xml:space="preserve"> secret.</w:t>
      </w:r>
      <w:r w:rsidR="0094080B" w:rsidRPr="00236128">
        <w:rPr>
          <w:lang w:val="en-GB"/>
        </w:rPr>
        <w:t xml:space="preserve"> In contrast, in his case, he was</w:t>
      </w:r>
      <w:r w:rsidR="00FE2D5C" w:rsidRPr="00236128">
        <w:rPr>
          <w:lang w:val="en-GB"/>
        </w:rPr>
        <w:t xml:space="preserve"> obliged to disclose </w:t>
      </w:r>
      <w:r w:rsidR="00C249C4">
        <w:rPr>
          <w:lang w:val="en-GB"/>
        </w:rPr>
        <w:t>his</w:t>
      </w:r>
      <w:r w:rsidR="00C249C4" w:rsidRPr="00236128">
        <w:rPr>
          <w:lang w:val="en-GB"/>
        </w:rPr>
        <w:t xml:space="preserve"> </w:t>
      </w:r>
      <w:r w:rsidR="00FE2D5C" w:rsidRPr="00236128">
        <w:rPr>
          <w:lang w:val="en-GB"/>
        </w:rPr>
        <w:t>reasons for not voting in order not to be fined.</w:t>
      </w:r>
    </w:p>
    <w:p w14:paraId="4231D9FE" w14:textId="5F474B22" w:rsidR="00FE2D5C" w:rsidRPr="00236128" w:rsidRDefault="003F6F28" w:rsidP="007A6388">
      <w:pPr>
        <w:pStyle w:val="SingleTxtG"/>
        <w:rPr>
          <w:lang w:val="en-GB"/>
        </w:rPr>
      </w:pPr>
      <w:r w:rsidRPr="00236128">
        <w:rPr>
          <w:lang w:val="en-GB"/>
        </w:rPr>
        <w:t>2.6</w:t>
      </w:r>
      <w:r w:rsidR="00FE2D5C" w:rsidRPr="00236128">
        <w:rPr>
          <w:lang w:val="en-GB"/>
        </w:rPr>
        <w:t xml:space="preserve"> </w:t>
      </w:r>
      <w:r w:rsidR="00FE2D5C" w:rsidRPr="00236128">
        <w:rPr>
          <w:lang w:val="en-GB"/>
        </w:rPr>
        <w:tab/>
        <w:t>On 30 March</w:t>
      </w:r>
      <w:r w:rsidRPr="00236128">
        <w:rPr>
          <w:lang w:val="en-GB"/>
        </w:rPr>
        <w:t xml:space="preserve"> and 25 April</w:t>
      </w:r>
      <w:r w:rsidR="00FE2D5C" w:rsidRPr="00236128">
        <w:rPr>
          <w:lang w:val="en-GB"/>
        </w:rPr>
        <w:t xml:space="preserve"> 2011, the author </w:t>
      </w:r>
      <w:r w:rsidRPr="00236128">
        <w:rPr>
          <w:lang w:val="en-GB"/>
        </w:rPr>
        <w:t>filed application</w:t>
      </w:r>
      <w:r w:rsidR="00DE4E85">
        <w:rPr>
          <w:lang w:val="en-GB"/>
        </w:rPr>
        <w:t>s</w:t>
      </w:r>
      <w:r w:rsidRPr="00236128">
        <w:rPr>
          <w:lang w:val="en-GB"/>
        </w:rPr>
        <w:t xml:space="preserve"> </w:t>
      </w:r>
      <w:r w:rsidR="00C249C4">
        <w:rPr>
          <w:lang w:val="en-GB"/>
        </w:rPr>
        <w:t>with</w:t>
      </w:r>
      <w:r w:rsidR="00C249C4" w:rsidRPr="00236128">
        <w:rPr>
          <w:lang w:val="en-GB"/>
        </w:rPr>
        <w:t xml:space="preserve"> </w:t>
      </w:r>
      <w:r w:rsidR="00FE2D5C" w:rsidRPr="00236128">
        <w:rPr>
          <w:lang w:val="en-GB"/>
        </w:rPr>
        <w:t>the Australian Human Rights Commission</w:t>
      </w:r>
      <w:r w:rsidR="00C249C4">
        <w:rPr>
          <w:lang w:val="en-GB"/>
        </w:rPr>
        <w:t xml:space="preserve">, </w:t>
      </w:r>
      <w:r w:rsidRPr="00236128">
        <w:rPr>
          <w:lang w:val="en-GB"/>
        </w:rPr>
        <w:t>argu</w:t>
      </w:r>
      <w:r w:rsidR="00C249C4">
        <w:rPr>
          <w:lang w:val="en-GB"/>
        </w:rPr>
        <w:t>ing</w:t>
      </w:r>
      <w:r w:rsidRPr="00236128">
        <w:rPr>
          <w:lang w:val="en-GB"/>
        </w:rPr>
        <w:t xml:space="preserve"> </w:t>
      </w:r>
      <w:r w:rsidR="00FE2D5C" w:rsidRPr="00236128">
        <w:rPr>
          <w:lang w:val="en-GB"/>
        </w:rPr>
        <w:t xml:space="preserve">that the fine </w:t>
      </w:r>
      <w:r w:rsidR="00C249C4">
        <w:rPr>
          <w:lang w:val="en-GB"/>
        </w:rPr>
        <w:t xml:space="preserve">that had been </w:t>
      </w:r>
      <w:r w:rsidR="00FE2D5C" w:rsidRPr="00236128">
        <w:rPr>
          <w:lang w:val="en-GB"/>
        </w:rPr>
        <w:t xml:space="preserve">imposed </w:t>
      </w:r>
      <w:r w:rsidR="00C249C4">
        <w:rPr>
          <w:lang w:val="en-GB"/>
        </w:rPr>
        <w:t>on</w:t>
      </w:r>
      <w:r w:rsidR="00C249C4" w:rsidRPr="00236128">
        <w:rPr>
          <w:lang w:val="en-GB"/>
        </w:rPr>
        <w:t xml:space="preserve"> </w:t>
      </w:r>
      <w:r w:rsidR="00FE2D5C" w:rsidRPr="00236128">
        <w:rPr>
          <w:lang w:val="en-GB"/>
        </w:rPr>
        <w:t xml:space="preserve">him for failure to vote and the enforcement of such </w:t>
      </w:r>
      <w:r w:rsidR="00C249C4">
        <w:rPr>
          <w:lang w:val="en-GB"/>
        </w:rPr>
        <w:t xml:space="preserve">a </w:t>
      </w:r>
      <w:r w:rsidR="00FE2D5C" w:rsidRPr="00236128">
        <w:rPr>
          <w:lang w:val="en-GB"/>
        </w:rPr>
        <w:t>measure were discriminatory and constituted a violation of his rights under articles 17, 18, 19 and 26 of the Covenant.</w:t>
      </w:r>
      <w:r w:rsidR="00D4118C" w:rsidRPr="00236128">
        <w:rPr>
          <w:lang w:val="en-GB"/>
        </w:rPr>
        <w:t xml:space="preserve"> </w:t>
      </w:r>
    </w:p>
    <w:p w14:paraId="0D84BA3F" w14:textId="2DC1B9F8" w:rsidR="00FE2D5C" w:rsidRPr="00236128" w:rsidRDefault="003F6F28" w:rsidP="007A6388">
      <w:pPr>
        <w:pStyle w:val="SingleTxtG"/>
        <w:rPr>
          <w:lang w:val="en-GB"/>
        </w:rPr>
      </w:pPr>
      <w:r w:rsidRPr="00236128">
        <w:rPr>
          <w:lang w:val="en-GB"/>
        </w:rPr>
        <w:t>2.7</w:t>
      </w:r>
      <w:r w:rsidR="00FE2D5C" w:rsidRPr="00236128">
        <w:rPr>
          <w:lang w:val="en-GB"/>
        </w:rPr>
        <w:tab/>
        <w:t xml:space="preserve">On 17 April 2011, the author </w:t>
      </w:r>
      <w:r w:rsidR="00206BD2">
        <w:rPr>
          <w:lang w:val="en-GB"/>
        </w:rPr>
        <w:t>claimed before the</w:t>
      </w:r>
      <w:r w:rsidR="00FE2D5C" w:rsidRPr="00236128">
        <w:rPr>
          <w:lang w:val="en-GB"/>
        </w:rPr>
        <w:t xml:space="preserve"> </w:t>
      </w:r>
      <w:r w:rsidR="00206BD2">
        <w:rPr>
          <w:lang w:val="en-GB"/>
        </w:rPr>
        <w:t>Election Commission</w:t>
      </w:r>
      <w:r w:rsidR="00206BD2" w:rsidRPr="00236128">
        <w:rPr>
          <w:lang w:val="en-GB"/>
        </w:rPr>
        <w:t xml:space="preserve"> </w:t>
      </w:r>
      <w:r w:rsidR="00FE2D5C" w:rsidRPr="00236128">
        <w:rPr>
          <w:lang w:val="en-GB"/>
        </w:rPr>
        <w:t>that his rights under articles 17, 18 and 19 of the Covenant had been violated.</w:t>
      </w:r>
      <w:r w:rsidR="007A5FCA" w:rsidRPr="00236128">
        <w:rPr>
          <w:lang w:val="en-GB"/>
        </w:rPr>
        <w:t xml:space="preserve"> He argued that the </w:t>
      </w:r>
      <w:r w:rsidR="00206BD2" w:rsidRPr="0090339C">
        <w:rPr>
          <w:lang w:val="en-GB"/>
        </w:rPr>
        <w:t>Returning Officer</w:t>
      </w:r>
      <w:r w:rsidR="007A5FCA" w:rsidRPr="00236128">
        <w:rPr>
          <w:lang w:val="en-GB"/>
        </w:rPr>
        <w:t xml:space="preserve">’s request to </w:t>
      </w:r>
      <w:r w:rsidR="00805881">
        <w:rPr>
          <w:lang w:val="en-GB"/>
        </w:rPr>
        <w:t xml:space="preserve">him to </w:t>
      </w:r>
      <w:r w:rsidR="007A5FCA" w:rsidRPr="00236128">
        <w:rPr>
          <w:lang w:val="en-GB"/>
        </w:rPr>
        <w:t xml:space="preserve">provide </w:t>
      </w:r>
      <w:r w:rsidR="00206BD2">
        <w:rPr>
          <w:lang w:val="en-GB"/>
        </w:rPr>
        <w:t>a</w:t>
      </w:r>
      <w:r w:rsidR="00206BD2" w:rsidRPr="00236128">
        <w:rPr>
          <w:lang w:val="en-GB"/>
        </w:rPr>
        <w:t xml:space="preserve"> </w:t>
      </w:r>
      <w:r w:rsidR="007A5FCA" w:rsidRPr="00236128">
        <w:rPr>
          <w:lang w:val="en-GB"/>
        </w:rPr>
        <w:t xml:space="preserve">reason for not voting was an arbitrary interference with his right to privacy and that the reasons he provided for not voting </w:t>
      </w:r>
      <w:r w:rsidR="00206BD2" w:rsidRPr="00236128">
        <w:rPr>
          <w:lang w:val="en-GB"/>
        </w:rPr>
        <w:t>w</w:t>
      </w:r>
      <w:r w:rsidR="00206BD2">
        <w:rPr>
          <w:lang w:val="en-GB"/>
        </w:rPr>
        <w:t>ere</w:t>
      </w:r>
      <w:r w:rsidR="00206BD2" w:rsidRPr="00236128">
        <w:rPr>
          <w:lang w:val="en-GB"/>
        </w:rPr>
        <w:t xml:space="preserve"> </w:t>
      </w:r>
      <w:r w:rsidR="007A5FCA" w:rsidRPr="00236128">
        <w:rPr>
          <w:lang w:val="en-GB"/>
        </w:rPr>
        <w:t xml:space="preserve">based on his beliefs and opinions. He alleged that article 18 of the Covenant </w:t>
      </w:r>
      <w:r w:rsidR="00805881">
        <w:rPr>
          <w:lang w:val="en-GB"/>
        </w:rPr>
        <w:t>wa</w:t>
      </w:r>
      <w:r w:rsidR="007A5FCA" w:rsidRPr="00236128">
        <w:rPr>
          <w:lang w:val="en-GB"/>
        </w:rPr>
        <w:t>s not limited to religious belief</w:t>
      </w:r>
      <w:r w:rsidR="00805881">
        <w:rPr>
          <w:lang w:val="en-GB"/>
        </w:rPr>
        <w:t>s</w:t>
      </w:r>
      <w:r w:rsidR="007A5FCA" w:rsidRPr="00236128">
        <w:rPr>
          <w:lang w:val="en-GB"/>
        </w:rPr>
        <w:t>; that his reason</w:t>
      </w:r>
      <w:r w:rsidR="00805881">
        <w:rPr>
          <w:lang w:val="en-GB"/>
        </w:rPr>
        <w:t>s</w:t>
      </w:r>
      <w:r w:rsidR="007A5FCA" w:rsidRPr="00236128">
        <w:rPr>
          <w:lang w:val="en-GB"/>
        </w:rPr>
        <w:t xml:space="preserve"> for not voting </w:t>
      </w:r>
      <w:r w:rsidR="009770F4">
        <w:rPr>
          <w:lang w:val="en-GB"/>
        </w:rPr>
        <w:t>should be considered to fall</w:t>
      </w:r>
      <w:r w:rsidR="009770F4" w:rsidRPr="00236128">
        <w:rPr>
          <w:lang w:val="en-GB"/>
        </w:rPr>
        <w:t xml:space="preserve"> </w:t>
      </w:r>
      <w:r w:rsidR="007A5FCA" w:rsidRPr="00236128">
        <w:rPr>
          <w:lang w:val="en-GB"/>
        </w:rPr>
        <w:t xml:space="preserve">within </w:t>
      </w:r>
      <w:r w:rsidR="00805881">
        <w:rPr>
          <w:lang w:val="en-GB"/>
        </w:rPr>
        <w:t xml:space="preserve">the </w:t>
      </w:r>
      <w:r w:rsidR="007A5FCA" w:rsidRPr="00236128">
        <w:rPr>
          <w:lang w:val="en-GB"/>
        </w:rPr>
        <w:t>other belief</w:t>
      </w:r>
      <w:r w:rsidR="00805881">
        <w:rPr>
          <w:lang w:val="en-GB"/>
        </w:rPr>
        <w:t>s</w:t>
      </w:r>
      <w:r w:rsidR="007A5FCA" w:rsidRPr="00236128">
        <w:rPr>
          <w:lang w:val="en-GB"/>
        </w:rPr>
        <w:t xml:space="preserve"> protected by </w:t>
      </w:r>
      <w:r w:rsidR="00805881" w:rsidRPr="00236128">
        <w:rPr>
          <w:lang w:val="en-GB"/>
        </w:rPr>
        <w:t>th</w:t>
      </w:r>
      <w:r w:rsidR="00805881">
        <w:rPr>
          <w:lang w:val="en-GB"/>
        </w:rPr>
        <w:t xml:space="preserve">at </w:t>
      </w:r>
      <w:r w:rsidR="007A5FCA" w:rsidRPr="00236128">
        <w:rPr>
          <w:lang w:val="en-GB"/>
        </w:rPr>
        <w:t xml:space="preserve">article; and </w:t>
      </w:r>
      <w:r w:rsidR="00B2710D" w:rsidRPr="00236128">
        <w:rPr>
          <w:lang w:val="en-GB"/>
        </w:rPr>
        <w:t xml:space="preserve">that </w:t>
      </w:r>
      <w:r w:rsidR="00D842F1" w:rsidRPr="00236128">
        <w:rPr>
          <w:lang w:val="en-GB"/>
        </w:rPr>
        <w:t>the limitation</w:t>
      </w:r>
      <w:r w:rsidR="009770F4">
        <w:rPr>
          <w:lang w:val="en-GB"/>
        </w:rPr>
        <w:t xml:space="preserve"> on</w:t>
      </w:r>
      <w:r w:rsidR="00B2710D" w:rsidRPr="00236128">
        <w:rPr>
          <w:lang w:val="en-GB"/>
        </w:rPr>
        <w:t xml:space="preserve"> </w:t>
      </w:r>
      <w:r w:rsidR="009770F4">
        <w:rPr>
          <w:lang w:val="en-GB"/>
        </w:rPr>
        <w:t>his right</w:t>
      </w:r>
      <w:r w:rsidR="009770F4" w:rsidRPr="004529BC">
        <w:rPr>
          <w:lang w:val="en-GB"/>
        </w:rPr>
        <w:t xml:space="preserve"> </w:t>
      </w:r>
      <w:r w:rsidR="00B2710D" w:rsidRPr="00236128">
        <w:rPr>
          <w:lang w:val="en-GB"/>
        </w:rPr>
        <w:t>t</w:t>
      </w:r>
      <w:r w:rsidR="009770F4">
        <w:rPr>
          <w:lang w:val="en-GB"/>
        </w:rPr>
        <w:t>o</w:t>
      </w:r>
      <w:r w:rsidR="00B2710D" w:rsidRPr="00236128">
        <w:rPr>
          <w:lang w:val="en-GB"/>
        </w:rPr>
        <w:t xml:space="preserve"> manifest</w:t>
      </w:r>
      <w:r w:rsidR="009770F4">
        <w:rPr>
          <w:lang w:val="en-GB"/>
        </w:rPr>
        <w:t xml:space="preserve"> such beliefs</w:t>
      </w:r>
      <w:r w:rsidR="00B2710D" w:rsidRPr="00236128">
        <w:rPr>
          <w:lang w:val="en-GB"/>
        </w:rPr>
        <w:t xml:space="preserve"> could not be justified under</w:t>
      </w:r>
      <w:r w:rsidR="00D842F1" w:rsidRPr="00236128">
        <w:rPr>
          <w:lang w:val="en-GB"/>
        </w:rPr>
        <w:t xml:space="preserve"> article 18</w:t>
      </w:r>
      <w:r w:rsidR="009770F4">
        <w:rPr>
          <w:lang w:val="en-GB"/>
        </w:rPr>
        <w:t> </w:t>
      </w:r>
      <w:r w:rsidR="00D842F1" w:rsidRPr="00236128">
        <w:rPr>
          <w:lang w:val="en-GB"/>
        </w:rPr>
        <w:t xml:space="preserve">(3) </w:t>
      </w:r>
      <w:r w:rsidR="00B2710D" w:rsidRPr="00236128">
        <w:rPr>
          <w:lang w:val="en-GB"/>
        </w:rPr>
        <w:t>of the Covenant.</w:t>
      </w:r>
      <w:r w:rsidR="007A5FCA" w:rsidRPr="00236128">
        <w:rPr>
          <w:lang w:val="en-GB"/>
        </w:rPr>
        <w:t xml:space="preserve"> Therefore, he requested </w:t>
      </w:r>
      <w:r w:rsidR="00BA1067">
        <w:rPr>
          <w:lang w:val="en-GB"/>
        </w:rPr>
        <w:t xml:space="preserve">that </w:t>
      </w:r>
      <w:r w:rsidR="007A5FCA" w:rsidRPr="00236128">
        <w:rPr>
          <w:lang w:val="en-GB"/>
        </w:rPr>
        <w:t xml:space="preserve">the </w:t>
      </w:r>
      <w:r w:rsidR="009770F4">
        <w:rPr>
          <w:lang w:val="en-GB"/>
        </w:rPr>
        <w:t>Election Commission</w:t>
      </w:r>
      <w:r w:rsidR="007A5FCA" w:rsidRPr="00236128">
        <w:rPr>
          <w:lang w:val="en-GB"/>
        </w:rPr>
        <w:t xml:space="preserve"> reimburse </w:t>
      </w:r>
      <w:r w:rsidR="00BA1067">
        <w:rPr>
          <w:lang w:val="en-GB"/>
        </w:rPr>
        <w:t xml:space="preserve">the </w:t>
      </w:r>
      <w:r w:rsidR="00BA1067" w:rsidRPr="009261B4">
        <w:rPr>
          <w:lang w:val="en-GB"/>
        </w:rPr>
        <w:t>fine</w:t>
      </w:r>
      <w:r w:rsidR="007A5FCA" w:rsidRPr="00236128">
        <w:rPr>
          <w:lang w:val="en-GB"/>
        </w:rPr>
        <w:t xml:space="preserve"> paid </w:t>
      </w:r>
      <w:r w:rsidR="00BA1067">
        <w:rPr>
          <w:lang w:val="en-GB"/>
        </w:rPr>
        <w:t xml:space="preserve">by </w:t>
      </w:r>
      <w:r w:rsidR="00BA1067" w:rsidRPr="002B5DA6">
        <w:rPr>
          <w:lang w:val="en-GB"/>
        </w:rPr>
        <w:t xml:space="preserve">him </w:t>
      </w:r>
      <w:r w:rsidR="007A5FCA" w:rsidRPr="00236128">
        <w:rPr>
          <w:lang w:val="en-GB"/>
        </w:rPr>
        <w:t>and apologi</w:t>
      </w:r>
      <w:r w:rsidR="00BA1067">
        <w:rPr>
          <w:lang w:val="en-GB"/>
        </w:rPr>
        <w:t>ze</w:t>
      </w:r>
      <w:r w:rsidR="007A5FCA" w:rsidRPr="00236128">
        <w:rPr>
          <w:lang w:val="en-GB"/>
        </w:rPr>
        <w:t>.</w:t>
      </w:r>
    </w:p>
    <w:p w14:paraId="37E9B59D" w14:textId="4466FE41" w:rsidR="00FE2D5C" w:rsidRPr="00236128" w:rsidRDefault="00FE2D5C" w:rsidP="007A6388">
      <w:pPr>
        <w:pStyle w:val="SingleTxtG"/>
        <w:rPr>
          <w:lang w:val="en-GB"/>
        </w:rPr>
      </w:pPr>
      <w:r w:rsidRPr="00236128">
        <w:rPr>
          <w:lang w:val="en-GB"/>
        </w:rPr>
        <w:t>2.</w:t>
      </w:r>
      <w:r w:rsidR="00B2710D" w:rsidRPr="00236128">
        <w:rPr>
          <w:lang w:val="en-GB"/>
        </w:rPr>
        <w:t>8</w:t>
      </w:r>
      <w:r w:rsidRPr="00236128">
        <w:rPr>
          <w:lang w:val="en-GB"/>
        </w:rPr>
        <w:tab/>
        <w:t xml:space="preserve">On 4 May 2011, the </w:t>
      </w:r>
      <w:r w:rsidR="00BA1067">
        <w:rPr>
          <w:lang w:val="en-GB"/>
        </w:rPr>
        <w:t>Election Commission</w:t>
      </w:r>
      <w:r w:rsidRPr="00236128">
        <w:rPr>
          <w:lang w:val="en-GB"/>
        </w:rPr>
        <w:t xml:space="preserve"> informed the author that it did not consider that </w:t>
      </w:r>
      <w:r w:rsidR="007A5FCA" w:rsidRPr="00236128">
        <w:rPr>
          <w:lang w:val="en-GB"/>
        </w:rPr>
        <w:t>the compulsory voting requirements contained in section</w:t>
      </w:r>
      <w:r w:rsidRPr="00236128">
        <w:rPr>
          <w:lang w:val="en-GB"/>
        </w:rPr>
        <w:t xml:space="preserve"> 245 of the </w:t>
      </w:r>
      <w:r w:rsidR="00BA1067" w:rsidRPr="0090339C">
        <w:rPr>
          <w:lang w:val="en-GB"/>
        </w:rPr>
        <w:t>Commonwealth Electoral Act</w:t>
      </w:r>
      <w:r w:rsidRPr="00236128">
        <w:rPr>
          <w:lang w:val="en-GB"/>
        </w:rPr>
        <w:t xml:space="preserve"> </w:t>
      </w:r>
      <w:r w:rsidR="005B22F3">
        <w:rPr>
          <w:lang w:val="en-GB"/>
        </w:rPr>
        <w:t>violated the rights</w:t>
      </w:r>
      <w:r w:rsidR="005B22F3" w:rsidRPr="00236128">
        <w:rPr>
          <w:lang w:val="en-GB"/>
        </w:rPr>
        <w:t xml:space="preserve"> </w:t>
      </w:r>
      <w:r w:rsidR="005B22F3">
        <w:rPr>
          <w:lang w:val="en-GB"/>
        </w:rPr>
        <w:t>guaranteed by</w:t>
      </w:r>
      <w:r w:rsidR="005B22F3" w:rsidRPr="00236128">
        <w:rPr>
          <w:lang w:val="en-GB"/>
        </w:rPr>
        <w:t xml:space="preserve"> </w:t>
      </w:r>
      <w:r w:rsidRPr="00236128">
        <w:rPr>
          <w:lang w:val="en-GB"/>
        </w:rPr>
        <w:t xml:space="preserve">the Covenant, which appeared as </w:t>
      </w:r>
      <w:r w:rsidR="007D5900">
        <w:rPr>
          <w:lang w:val="en-GB"/>
        </w:rPr>
        <w:t>s</w:t>
      </w:r>
      <w:r w:rsidRPr="00236128">
        <w:rPr>
          <w:lang w:val="en-GB"/>
        </w:rPr>
        <w:t xml:space="preserve">chedule 2 of the Australian Human Rights Commission Act 1986. The </w:t>
      </w:r>
      <w:r w:rsidR="005B22F3">
        <w:rPr>
          <w:lang w:val="en-GB"/>
        </w:rPr>
        <w:t>Election Commission</w:t>
      </w:r>
      <w:r w:rsidRPr="00236128">
        <w:rPr>
          <w:lang w:val="en-GB"/>
        </w:rPr>
        <w:t xml:space="preserve"> referred to the High Court’s jurisprudence on the concept</w:t>
      </w:r>
      <w:r w:rsidR="00BC7281">
        <w:rPr>
          <w:lang w:val="en-GB"/>
        </w:rPr>
        <w:t>s</w:t>
      </w:r>
      <w:r w:rsidRPr="00236128">
        <w:rPr>
          <w:lang w:val="en-GB"/>
        </w:rPr>
        <w:t xml:space="preserve"> of religion</w:t>
      </w:r>
      <w:r w:rsidR="005A6707" w:rsidRPr="00236128">
        <w:rPr>
          <w:lang w:val="en-GB"/>
        </w:rPr>
        <w:t xml:space="preserve"> and</w:t>
      </w:r>
      <w:r w:rsidRPr="00236128">
        <w:rPr>
          <w:lang w:val="en-GB"/>
        </w:rPr>
        <w:t xml:space="preserve"> “religious duty” that would meet the requirements of </w:t>
      </w:r>
      <w:r w:rsidR="007D5900">
        <w:rPr>
          <w:lang w:val="en-GB"/>
        </w:rPr>
        <w:t>s</w:t>
      </w:r>
      <w:r w:rsidRPr="00236128">
        <w:rPr>
          <w:lang w:val="en-GB"/>
        </w:rPr>
        <w:t>ection 245</w:t>
      </w:r>
      <w:r w:rsidR="007D5900">
        <w:rPr>
          <w:lang w:val="en-GB"/>
        </w:rPr>
        <w:t> </w:t>
      </w:r>
      <w:r w:rsidRPr="00236128">
        <w:rPr>
          <w:lang w:val="en-GB"/>
        </w:rPr>
        <w:t xml:space="preserve">(14) of the </w:t>
      </w:r>
      <w:r w:rsidR="007D5900">
        <w:rPr>
          <w:lang w:val="en-GB"/>
        </w:rPr>
        <w:t>Commonwealth Electoral Act</w:t>
      </w:r>
      <w:r w:rsidR="00BC7281">
        <w:rPr>
          <w:lang w:val="en-GB"/>
        </w:rPr>
        <w:t>,</w:t>
      </w:r>
      <w:r w:rsidRPr="00236128">
        <w:rPr>
          <w:lang w:val="en-GB"/>
        </w:rPr>
        <w:t xml:space="preserve"> a</w:t>
      </w:r>
      <w:r w:rsidR="00BC7281">
        <w:rPr>
          <w:lang w:val="en-GB"/>
        </w:rPr>
        <w:t xml:space="preserve">nd </w:t>
      </w:r>
      <w:r w:rsidRPr="00236128">
        <w:rPr>
          <w:lang w:val="en-GB"/>
        </w:rPr>
        <w:t xml:space="preserve">on the notion of a valid and sufficient reason for failing to vote in an election. The </w:t>
      </w:r>
      <w:r w:rsidR="007D5900">
        <w:rPr>
          <w:lang w:val="en-GB"/>
        </w:rPr>
        <w:t>Election Commission</w:t>
      </w:r>
      <w:r w:rsidRPr="00236128">
        <w:rPr>
          <w:lang w:val="en-GB"/>
        </w:rPr>
        <w:t xml:space="preserve"> concluded that his justification </w:t>
      </w:r>
      <w:r w:rsidR="00BC7281">
        <w:rPr>
          <w:lang w:val="en-GB"/>
        </w:rPr>
        <w:t xml:space="preserve">for not having voted </w:t>
      </w:r>
      <w:r w:rsidRPr="00236128">
        <w:rPr>
          <w:lang w:val="en-GB"/>
        </w:rPr>
        <w:t xml:space="preserve">did not disclose “some religious duty to fail to vote or </w:t>
      </w:r>
      <w:r w:rsidR="00D44644">
        <w:rPr>
          <w:lang w:val="en-GB"/>
        </w:rPr>
        <w:t>…</w:t>
      </w:r>
      <w:r w:rsidRPr="00236128">
        <w:rPr>
          <w:lang w:val="en-GB"/>
        </w:rPr>
        <w:t xml:space="preserve"> some actual religion or belief that is covered by article 18” of the Covenant. </w:t>
      </w:r>
      <w:r w:rsidR="00055A27" w:rsidRPr="0090339C">
        <w:rPr>
          <w:lang w:val="en-GB"/>
        </w:rPr>
        <w:t xml:space="preserve">The </w:t>
      </w:r>
      <w:r w:rsidR="00055A27">
        <w:rPr>
          <w:lang w:val="en-GB"/>
        </w:rPr>
        <w:t>Election Commission</w:t>
      </w:r>
      <w:r w:rsidRPr="00236128">
        <w:rPr>
          <w:lang w:val="en-GB"/>
        </w:rPr>
        <w:t xml:space="preserve"> stated that </w:t>
      </w:r>
      <w:r w:rsidR="00BC7281">
        <w:rPr>
          <w:lang w:val="en-GB"/>
        </w:rPr>
        <w:t>it</w:t>
      </w:r>
      <w:r w:rsidRPr="00236128">
        <w:rPr>
          <w:lang w:val="en-GB"/>
        </w:rPr>
        <w:t xml:space="preserve"> was bound by the requirement</w:t>
      </w:r>
      <w:r w:rsidR="00055A27">
        <w:rPr>
          <w:lang w:val="en-GB"/>
        </w:rPr>
        <w:t>s</w:t>
      </w:r>
      <w:r w:rsidRPr="00236128">
        <w:rPr>
          <w:lang w:val="en-GB"/>
        </w:rPr>
        <w:t xml:space="preserve"> of the Privacy Act 1988, which </w:t>
      </w:r>
      <w:r w:rsidR="00055A27" w:rsidRPr="00236128">
        <w:rPr>
          <w:lang w:val="en-GB"/>
        </w:rPr>
        <w:t>w</w:t>
      </w:r>
      <w:r w:rsidR="00055A27">
        <w:rPr>
          <w:lang w:val="en-GB"/>
        </w:rPr>
        <w:t>ere</w:t>
      </w:r>
      <w:r w:rsidR="00055A27" w:rsidRPr="00236128">
        <w:rPr>
          <w:lang w:val="en-GB"/>
        </w:rPr>
        <w:t xml:space="preserve"> </w:t>
      </w:r>
      <w:r w:rsidRPr="00236128">
        <w:rPr>
          <w:lang w:val="en-GB"/>
        </w:rPr>
        <w:t>in accordance with article 17 of the Covenant.</w:t>
      </w:r>
    </w:p>
    <w:p w14:paraId="1BE920C1" w14:textId="0681676C" w:rsidR="00FE2D5C" w:rsidRPr="00236128" w:rsidRDefault="00FE2D5C" w:rsidP="007A6388">
      <w:pPr>
        <w:pStyle w:val="SingleTxtG"/>
        <w:rPr>
          <w:lang w:val="en-GB"/>
        </w:rPr>
      </w:pPr>
      <w:r w:rsidRPr="00236128">
        <w:rPr>
          <w:lang w:val="en-GB"/>
        </w:rPr>
        <w:t>2.</w:t>
      </w:r>
      <w:r w:rsidR="00B2710D" w:rsidRPr="00236128">
        <w:rPr>
          <w:lang w:val="en-GB"/>
        </w:rPr>
        <w:t>9</w:t>
      </w:r>
      <w:r w:rsidRPr="00236128">
        <w:rPr>
          <w:lang w:val="en-GB"/>
        </w:rPr>
        <w:tab/>
        <w:t xml:space="preserve">On 9 May 2011, </w:t>
      </w:r>
      <w:r w:rsidR="004F17EE" w:rsidRPr="00236128">
        <w:rPr>
          <w:lang w:val="en-GB"/>
        </w:rPr>
        <w:t xml:space="preserve">an official of </w:t>
      </w:r>
      <w:r w:rsidRPr="00236128">
        <w:rPr>
          <w:lang w:val="en-GB"/>
        </w:rPr>
        <w:t xml:space="preserve">the </w:t>
      </w:r>
      <w:r w:rsidR="007D5900">
        <w:rPr>
          <w:lang w:val="en-GB"/>
        </w:rPr>
        <w:t>Human Rights Commission</w:t>
      </w:r>
      <w:r w:rsidRPr="00236128">
        <w:rPr>
          <w:lang w:val="en-GB"/>
        </w:rPr>
        <w:t xml:space="preserve"> </w:t>
      </w:r>
      <w:r w:rsidR="00577F30" w:rsidRPr="00236128">
        <w:rPr>
          <w:lang w:val="en-GB"/>
        </w:rPr>
        <w:t xml:space="preserve">examined the author’s application and </w:t>
      </w:r>
      <w:r w:rsidR="00AB35A2" w:rsidRPr="00236128">
        <w:rPr>
          <w:lang w:val="en-GB"/>
        </w:rPr>
        <w:t>stated that</w:t>
      </w:r>
      <w:r w:rsidR="003B1103">
        <w:rPr>
          <w:lang w:val="en-GB"/>
        </w:rPr>
        <w:t>,</w:t>
      </w:r>
      <w:r w:rsidR="00AB35A2" w:rsidRPr="00236128">
        <w:rPr>
          <w:lang w:val="en-GB"/>
        </w:rPr>
        <w:t xml:space="preserve"> although </w:t>
      </w:r>
      <w:r w:rsidR="00577F30" w:rsidRPr="00236128">
        <w:rPr>
          <w:lang w:val="en-GB"/>
        </w:rPr>
        <w:t xml:space="preserve">the Commission </w:t>
      </w:r>
      <w:r w:rsidR="00AB35A2" w:rsidRPr="00236128">
        <w:rPr>
          <w:lang w:val="en-GB"/>
        </w:rPr>
        <w:t xml:space="preserve">could consider claims of </w:t>
      </w:r>
      <w:r w:rsidR="00055A27">
        <w:rPr>
          <w:lang w:val="en-GB"/>
        </w:rPr>
        <w:t xml:space="preserve">violations of </w:t>
      </w:r>
      <w:r w:rsidR="00AB35A2" w:rsidRPr="00236128">
        <w:rPr>
          <w:lang w:val="en-GB"/>
        </w:rPr>
        <w:t xml:space="preserve">human rights against the Commonwealth or its agents as defined in the Australian Human Rights Commission Act 1986, including </w:t>
      </w:r>
      <w:r w:rsidR="00533457">
        <w:rPr>
          <w:lang w:val="en-GB"/>
        </w:rPr>
        <w:t xml:space="preserve">violations of </w:t>
      </w:r>
      <w:r w:rsidR="00AB35A2" w:rsidRPr="00236128">
        <w:rPr>
          <w:lang w:val="en-GB"/>
        </w:rPr>
        <w:t xml:space="preserve">the </w:t>
      </w:r>
      <w:r w:rsidR="00533457">
        <w:rPr>
          <w:lang w:val="en-GB"/>
        </w:rPr>
        <w:t xml:space="preserve">rights guaranteed under </w:t>
      </w:r>
      <w:r w:rsidR="00AB35A2" w:rsidRPr="00236128">
        <w:rPr>
          <w:lang w:val="en-GB"/>
        </w:rPr>
        <w:t xml:space="preserve">Covenant, its power to investigate such claims </w:t>
      </w:r>
      <w:r w:rsidR="003B1103">
        <w:rPr>
          <w:lang w:val="en-GB"/>
        </w:rPr>
        <w:t>wa</w:t>
      </w:r>
      <w:r w:rsidR="00AB35A2" w:rsidRPr="00236128">
        <w:rPr>
          <w:lang w:val="en-GB"/>
        </w:rPr>
        <w:t>s limited to considering claims that relate</w:t>
      </w:r>
      <w:r w:rsidR="003B1103">
        <w:rPr>
          <w:lang w:val="en-GB"/>
        </w:rPr>
        <w:t>d</w:t>
      </w:r>
      <w:r w:rsidR="00AB35A2" w:rsidRPr="00236128">
        <w:rPr>
          <w:lang w:val="en-GB"/>
        </w:rPr>
        <w:t xml:space="preserve"> to a discretion being exercised by a decision maker. As such, the</w:t>
      </w:r>
      <w:r w:rsidR="00577F30" w:rsidRPr="00236128">
        <w:rPr>
          <w:lang w:val="en-GB"/>
        </w:rPr>
        <w:t xml:space="preserve"> </w:t>
      </w:r>
      <w:r w:rsidR="007D5900">
        <w:rPr>
          <w:lang w:val="en-GB"/>
        </w:rPr>
        <w:t>Human Rights Commission</w:t>
      </w:r>
      <w:r w:rsidR="00AB35A2" w:rsidRPr="00236128">
        <w:rPr>
          <w:lang w:val="en-GB"/>
        </w:rPr>
        <w:t xml:space="preserve"> was unable to investigate claims </w:t>
      </w:r>
      <w:r w:rsidR="00533457">
        <w:rPr>
          <w:lang w:val="en-GB"/>
        </w:rPr>
        <w:t>that</w:t>
      </w:r>
      <w:r w:rsidR="00533457" w:rsidRPr="00236128">
        <w:rPr>
          <w:lang w:val="en-GB"/>
        </w:rPr>
        <w:t xml:space="preserve"> </w:t>
      </w:r>
      <w:r w:rsidR="00AB35A2" w:rsidRPr="00236128">
        <w:rPr>
          <w:lang w:val="en-GB"/>
        </w:rPr>
        <w:t xml:space="preserve">related to acts or practices that arose </w:t>
      </w:r>
      <w:r w:rsidR="003B1103">
        <w:rPr>
          <w:lang w:val="en-GB"/>
        </w:rPr>
        <w:t>owing</w:t>
      </w:r>
      <w:r w:rsidR="003B1103" w:rsidRPr="00236128">
        <w:rPr>
          <w:lang w:val="en-GB"/>
        </w:rPr>
        <w:t xml:space="preserve"> </w:t>
      </w:r>
      <w:r w:rsidR="00AB35A2" w:rsidRPr="00236128">
        <w:rPr>
          <w:lang w:val="en-GB"/>
        </w:rPr>
        <w:t xml:space="preserve">to the automatic operation of legislation. </w:t>
      </w:r>
      <w:r w:rsidR="00E602B6" w:rsidRPr="00236128">
        <w:rPr>
          <w:lang w:val="en-GB"/>
        </w:rPr>
        <w:t xml:space="preserve">In this connection, the </w:t>
      </w:r>
      <w:r w:rsidR="007D5900">
        <w:rPr>
          <w:lang w:val="en-GB"/>
        </w:rPr>
        <w:t>Human Rights Commission</w:t>
      </w:r>
      <w:r w:rsidRPr="00236128">
        <w:rPr>
          <w:lang w:val="en-GB"/>
        </w:rPr>
        <w:t xml:space="preserve"> stated that the </w:t>
      </w:r>
      <w:r w:rsidR="007D5900">
        <w:rPr>
          <w:lang w:val="en-GB"/>
        </w:rPr>
        <w:t>Election Commission</w:t>
      </w:r>
      <w:r w:rsidRPr="00236128">
        <w:rPr>
          <w:lang w:val="en-GB"/>
        </w:rPr>
        <w:t xml:space="preserve">’s decision to request </w:t>
      </w:r>
      <w:r w:rsidR="00E602B6" w:rsidRPr="00236128">
        <w:rPr>
          <w:lang w:val="en-GB"/>
        </w:rPr>
        <w:t>the author to provide</w:t>
      </w:r>
      <w:r w:rsidRPr="00236128">
        <w:rPr>
          <w:lang w:val="en-GB"/>
        </w:rPr>
        <w:t xml:space="preserve"> a reason for his failure to vote was in accordance with the </w:t>
      </w:r>
      <w:r w:rsidR="007D5900">
        <w:rPr>
          <w:lang w:val="en-GB"/>
        </w:rPr>
        <w:t>Commonwealth Electoral Act</w:t>
      </w:r>
      <w:r w:rsidRPr="00236128">
        <w:rPr>
          <w:lang w:val="en-GB"/>
        </w:rPr>
        <w:t xml:space="preserve">; and that even if this decision was not in compliance with the </w:t>
      </w:r>
      <w:r w:rsidR="007D5900">
        <w:rPr>
          <w:lang w:val="en-GB"/>
        </w:rPr>
        <w:t>Commonwealth Electoral Act</w:t>
      </w:r>
      <w:r w:rsidRPr="00236128">
        <w:rPr>
          <w:lang w:val="en-GB"/>
        </w:rPr>
        <w:t xml:space="preserve">, it was unclear whether his concerns would constitute an arbitrary interference with his </w:t>
      </w:r>
      <w:r w:rsidR="00533457">
        <w:rPr>
          <w:lang w:val="en-GB"/>
        </w:rPr>
        <w:t xml:space="preserve">right to </w:t>
      </w:r>
      <w:r w:rsidRPr="00236128">
        <w:rPr>
          <w:lang w:val="en-GB"/>
        </w:rPr>
        <w:t>privacy</w:t>
      </w:r>
      <w:r w:rsidR="00577F30" w:rsidRPr="00236128">
        <w:rPr>
          <w:lang w:val="en-GB"/>
        </w:rPr>
        <w:t>.</w:t>
      </w:r>
      <w:r w:rsidRPr="00236128">
        <w:rPr>
          <w:lang w:val="en-GB"/>
        </w:rPr>
        <w:t xml:space="preserve"> It also held that his reasons </w:t>
      </w:r>
      <w:r w:rsidR="003B1103">
        <w:rPr>
          <w:lang w:val="en-GB"/>
        </w:rPr>
        <w:t xml:space="preserve">for </w:t>
      </w:r>
      <w:r w:rsidRPr="00236128">
        <w:rPr>
          <w:lang w:val="en-GB"/>
        </w:rPr>
        <w:t>not vot</w:t>
      </w:r>
      <w:r w:rsidR="003B1103">
        <w:rPr>
          <w:lang w:val="en-GB"/>
        </w:rPr>
        <w:t>ing</w:t>
      </w:r>
      <w:r w:rsidRPr="00236128">
        <w:rPr>
          <w:lang w:val="en-GB"/>
        </w:rPr>
        <w:t xml:space="preserve">, which </w:t>
      </w:r>
      <w:r w:rsidR="00533457" w:rsidRPr="00236128">
        <w:rPr>
          <w:lang w:val="en-GB"/>
        </w:rPr>
        <w:t>w</w:t>
      </w:r>
      <w:r w:rsidR="00533457">
        <w:rPr>
          <w:lang w:val="en-GB"/>
        </w:rPr>
        <w:t>ere</w:t>
      </w:r>
      <w:r w:rsidR="00533457" w:rsidRPr="00236128">
        <w:rPr>
          <w:lang w:val="en-GB"/>
        </w:rPr>
        <w:t xml:space="preserve"> </w:t>
      </w:r>
      <w:r w:rsidRPr="00236128">
        <w:rPr>
          <w:lang w:val="en-GB"/>
        </w:rPr>
        <w:t xml:space="preserve">not accepted by the </w:t>
      </w:r>
      <w:r w:rsidR="007D5900">
        <w:rPr>
          <w:lang w:val="en-GB"/>
        </w:rPr>
        <w:t>Election Commission</w:t>
      </w:r>
      <w:r w:rsidRPr="00236128">
        <w:rPr>
          <w:lang w:val="en-GB"/>
        </w:rPr>
        <w:t xml:space="preserve">, appeared to be an opinion and did not meet the definition of </w:t>
      </w:r>
      <w:r w:rsidR="00533457">
        <w:rPr>
          <w:lang w:val="en-GB"/>
        </w:rPr>
        <w:t>“</w:t>
      </w:r>
      <w:r w:rsidRPr="00236128">
        <w:rPr>
          <w:lang w:val="en-GB"/>
        </w:rPr>
        <w:t>belief</w:t>
      </w:r>
      <w:r w:rsidR="00533457">
        <w:rPr>
          <w:lang w:val="en-GB"/>
        </w:rPr>
        <w:t>”</w:t>
      </w:r>
      <w:r w:rsidRPr="00236128">
        <w:rPr>
          <w:lang w:val="en-GB"/>
        </w:rPr>
        <w:t xml:space="preserve"> as intended by articles 18 and 26 of the Covenant.</w:t>
      </w:r>
    </w:p>
    <w:p w14:paraId="599A41FC" w14:textId="08DF4B89" w:rsidR="00FE2D5C" w:rsidRPr="00236128" w:rsidRDefault="00CF6F31" w:rsidP="007A6388">
      <w:pPr>
        <w:pStyle w:val="SingleTxtG"/>
        <w:rPr>
          <w:lang w:val="en-GB"/>
        </w:rPr>
      </w:pPr>
      <w:r w:rsidRPr="00236128">
        <w:rPr>
          <w:lang w:val="en-GB"/>
        </w:rPr>
        <w:t>2.10</w:t>
      </w:r>
      <w:r w:rsidR="00FE2D5C" w:rsidRPr="00236128">
        <w:rPr>
          <w:lang w:val="en-GB"/>
        </w:rPr>
        <w:t xml:space="preserve"> </w:t>
      </w:r>
      <w:r w:rsidR="00071B2D" w:rsidRPr="00236128">
        <w:rPr>
          <w:lang w:val="en-GB"/>
        </w:rPr>
        <w:tab/>
      </w:r>
      <w:r w:rsidR="00FE2D5C" w:rsidRPr="00236128">
        <w:rPr>
          <w:lang w:val="en-GB"/>
        </w:rPr>
        <w:t xml:space="preserve">On 18 and 20 July 2011, the author challenged the </w:t>
      </w:r>
      <w:r w:rsidR="007D5900">
        <w:rPr>
          <w:lang w:val="en-GB"/>
        </w:rPr>
        <w:t>Human Rights Commission</w:t>
      </w:r>
      <w:r w:rsidR="00FE2D5C" w:rsidRPr="00236128">
        <w:rPr>
          <w:lang w:val="en-GB"/>
        </w:rPr>
        <w:t xml:space="preserve">’s decision </w:t>
      </w:r>
      <w:r w:rsidR="002878C0" w:rsidRPr="00236128">
        <w:rPr>
          <w:lang w:val="en-GB"/>
        </w:rPr>
        <w:t xml:space="preserve">before the Commission itself </w:t>
      </w:r>
      <w:r w:rsidR="00FE2D5C" w:rsidRPr="00236128">
        <w:rPr>
          <w:lang w:val="en-GB"/>
        </w:rPr>
        <w:t>and asserted that article 18 of the Covenant also protect</w:t>
      </w:r>
      <w:r w:rsidR="00E46DEF">
        <w:rPr>
          <w:lang w:val="en-GB"/>
        </w:rPr>
        <w:t>ed</w:t>
      </w:r>
      <w:r w:rsidR="00FE2D5C" w:rsidRPr="00236128">
        <w:rPr>
          <w:lang w:val="en-GB"/>
        </w:rPr>
        <w:t xml:space="preserve"> non-religious convictions. On 3 August 2011, </w:t>
      </w:r>
      <w:r w:rsidR="00626B9E" w:rsidRPr="00236128">
        <w:rPr>
          <w:lang w:val="en-GB"/>
        </w:rPr>
        <w:t xml:space="preserve">a senior </w:t>
      </w:r>
      <w:r w:rsidR="00E46DEF" w:rsidRPr="00236128">
        <w:rPr>
          <w:lang w:val="en-GB"/>
        </w:rPr>
        <w:t>investigati</w:t>
      </w:r>
      <w:r w:rsidR="00E46DEF">
        <w:rPr>
          <w:lang w:val="en-GB"/>
        </w:rPr>
        <w:t>ve</w:t>
      </w:r>
      <w:r w:rsidR="00E46DEF" w:rsidRPr="00236128">
        <w:rPr>
          <w:lang w:val="en-GB"/>
        </w:rPr>
        <w:t xml:space="preserve"> </w:t>
      </w:r>
      <w:r w:rsidR="00626B9E" w:rsidRPr="00236128">
        <w:rPr>
          <w:lang w:val="en-GB"/>
        </w:rPr>
        <w:t xml:space="preserve">officer of the </w:t>
      </w:r>
      <w:r w:rsidR="007D5900">
        <w:rPr>
          <w:lang w:val="en-GB"/>
        </w:rPr>
        <w:t>Human Rights Commission</w:t>
      </w:r>
      <w:r w:rsidR="00FE2D5C" w:rsidRPr="00236128">
        <w:rPr>
          <w:lang w:val="en-GB"/>
        </w:rPr>
        <w:t xml:space="preserve"> stated that</w:t>
      </w:r>
      <w:r w:rsidR="00E46DEF">
        <w:rPr>
          <w:lang w:val="en-GB"/>
        </w:rPr>
        <w:t>,</w:t>
      </w:r>
      <w:r w:rsidR="00FE2D5C" w:rsidRPr="00236128">
        <w:rPr>
          <w:lang w:val="en-GB"/>
        </w:rPr>
        <w:t xml:space="preserve"> </w:t>
      </w:r>
      <w:r w:rsidR="00E46DEF">
        <w:rPr>
          <w:lang w:val="en-GB"/>
        </w:rPr>
        <w:t xml:space="preserve">as </w:t>
      </w:r>
      <w:r w:rsidR="00626B9E" w:rsidRPr="00236128">
        <w:rPr>
          <w:lang w:val="en-GB"/>
        </w:rPr>
        <w:t>concern</w:t>
      </w:r>
      <w:r w:rsidR="00E46DEF">
        <w:rPr>
          <w:lang w:val="en-GB"/>
        </w:rPr>
        <w:t>ed</w:t>
      </w:r>
      <w:r w:rsidR="00626B9E" w:rsidRPr="00236128">
        <w:rPr>
          <w:lang w:val="en-GB"/>
        </w:rPr>
        <w:t xml:space="preserve"> </w:t>
      </w:r>
      <w:r w:rsidR="00FE2D5C" w:rsidRPr="00236128">
        <w:rPr>
          <w:lang w:val="en-GB"/>
        </w:rPr>
        <w:t xml:space="preserve">his claim of arbitrary interference with privacy, it did not appear that the </w:t>
      </w:r>
      <w:r w:rsidR="007D5900">
        <w:rPr>
          <w:lang w:val="en-GB"/>
        </w:rPr>
        <w:t>Election Commission</w:t>
      </w:r>
      <w:r w:rsidR="00FE2D5C" w:rsidRPr="00236128">
        <w:rPr>
          <w:lang w:val="en-GB"/>
        </w:rPr>
        <w:t xml:space="preserve">’s decision of seeking information from the author regarding his reasons for not voting was discretionary, but based on </w:t>
      </w:r>
      <w:r w:rsidR="00E46DEF" w:rsidRPr="00A15D1A">
        <w:rPr>
          <w:lang w:val="en-GB"/>
        </w:rPr>
        <w:t>s</w:t>
      </w:r>
      <w:r w:rsidR="00FE2D5C" w:rsidRPr="00236128">
        <w:rPr>
          <w:lang w:val="en-GB"/>
        </w:rPr>
        <w:t>ection 245</w:t>
      </w:r>
      <w:r w:rsidR="00E46DEF" w:rsidRPr="00A15D1A">
        <w:rPr>
          <w:lang w:val="en-GB"/>
        </w:rPr>
        <w:t> </w:t>
      </w:r>
      <w:r w:rsidR="00FE2D5C" w:rsidRPr="00236128">
        <w:rPr>
          <w:lang w:val="en-GB"/>
        </w:rPr>
        <w:t xml:space="preserve">(5) </w:t>
      </w:r>
      <w:r w:rsidR="00E46DEF" w:rsidRPr="00A15D1A">
        <w:rPr>
          <w:lang w:val="en-GB"/>
        </w:rPr>
        <w:t xml:space="preserve">of </w:t>
      </w:r>
      <w:r w:rsidR="00FE2D5C" w:rsidRPr="00236128">
        <w:rPr>
          <w:lang w:val="en-GB"/>
        </w:rPr>
        <w:t xml:space="preserve">the </w:t>
      </w:r>
      <w:r w:rsidR="007D5900" w:rsidRPr="00A15D1A">
        <w:rPr>
          <w:lang w:val="en-GB"/>
        </w:rPr>
        <w:t>Commonwealth Electoral Act</w:t>
      </w:r>
      <w:r w:rsidR="00C72FB7" w:rsidRPr="00236128">
        <w:rPr>
          <w:lang w:val="en-GB"/>
        </w:rPr>
        <w:t>; and that therefore under section 20</w:t>
      </w:r>
      <w:r w:rsidR="00E46DEF" w:rsidRPr="00A15D1A">
        <w:rPr>
          <w:lang w:val="en-GB"/>
        </w:rPr>
        <w:t> </w:t>
      </w:r>
      <w:r w:rsidR="00C72FB7" w:rsidRPr="00236128">
        <w:rPr>
          <w:lang w:val="en-GB"/>
        </w:rPr>
        <w:t>(2)</w:t>
      </w:r>
      <w:r w:rsidR="00E46DEF" w:rsidRPr="00A15D1A">
        <w:rPr>
          <w:lang w:val="en-GB"/>
        </w:rPr>
        <w:t> </w:t>
      </w:r>
      <w:r w:rsidR="00C72FB7" w:rsidRPr="00236128">
        <w:rPr>
          <w:lang w:val="en-GB"/>
        </w:rPr>
        <w:t>(c)</w:t>
      </w:r>
      <w:r w:rsidR="00E46DEF" w:rsidRPr="00A15D1A">
        <w:rPr>
          <w:lang w:val="en-GB"/>
        </w:rPr>
        <w:t> </w:t>
      </w:r>
      <w:r w:rsidR="00C72FB7" w:rsidRPr="00236128">
        <w:rPr>
          <w:lang w:val="en-GB"/>
        </w:rPr>
        <w:t xml:space="preserve">(ii) of the </w:t>
      </w:r>
      <w:r w:rsidR="00E46DEF">
        <w:rPr>
          <w:lang w:val="en-GB"/>
        </w:rPr>
        <w:t>Human Rights Commission Act</w:t>
      </w:r>
      <w:r w:rsidR="00C72FB7" w:rsidRPr="00236128">
        <w:rPr>
          <w:lang w:val="en-GB"/>
        </w:rPr>
        <w:t xml:space="preserve">, the </w:t>
      </w:r>
      <w:r w:rsidR="007D5900">
        <w:rPr>
          <w:lang w:val="en-GB"/>
        </w:rPr>
        <w:t>Human Rights Commission</w:t>
      </w:r>
      <w:r w:rsidR="00C72FB7" w:rsidRPr="00236128">
        <w:rPr>
          <w:lang w:val="en-GB"/>
        </w:rPr>
        <w:t xml:space="preserve"> might decide not to inquire into this part of the complaint because it </w:t>
      </w:r>
      <w:r w:rsidR="000B6FC7">
        <w:rPr>
          <w:lang w:val="en-GB"/>
        </w:rPr>
        <w:t>wa</w:t>
      </w:r>
      <w:r w:rsidR="00C72FB7" w:rsidRPr="00236128">
        <w:rPr>
          <w:lang w:val="en-GB"/>
        </w:rPr>
        <w:t>s considered misconceived</w:t>
      </w:r>
      <w:r w:rsidR="00FE2D5C" w:rsidRPr="00236128">
        <w:rPr>
          <w:lang w:val="en-GB"/>
        </w:rPr>
        <w:t xml:space="preserve">. As </w:t>
      </w:r>
      <w:r w:rsidR="0059390B">
        <w:rPr>
          <w:lang w:val="en-GB"/>
        </w:rPr>
        <w:t>regards</w:t>
      </w:r>
      <w:r w:rsidR="0059390B" w:rsidRPr="00236128">
        <w:rPr>
          <w:lang w:val="en-GB"/>
        </w:rPr>
        <w:t xml:space="preserve"> </w:t>
      </w:r>
      <w:r w:rsidR="00FE2D5C" w:rsidRPr="00236128">
        <w:rPr>
          <w:lang w:val="en-GB"/>
        </w:rPr>
        <w:t xml:space="preserve">his claim of violation of his freedom of thought, conscience, belief, opinion and expression, the </w:t>
      </w:r>
      <w:r w:rsidR="007D5900">
        <w:rPr>
          <w:lang w:val="en-GB"/>
        </w:rPr>
        <w:t>Human Rights Commission</w:t>
      </w:r>
      <w:r w:rsidR="00FE2D5C" w:rsidRPr="00236128">
        <w:rPr>
          <w:lang w:val="en-GB"/>
        </w:rPr>
        <w:t xml:space="preserve"> </w:t>
      </w:r>
      <w:r w:rsidR="003967F9" w:rsidRPr="00236128">
        <w:rPr>
          <w:lang w:val="en-GB"/>
        </w:rPr>
        <w:t>found</w:t>
      </w:r>
      <w:r w:rsidR="00FE2D5C" w:rsidRPr="00236128">
        <w:rPr>
          <w:lang w:val="en-GB"/>
        </w:rPr>
        <w:t xml:space="preserve"> that </w:t>
      </w:r>
      <w:r w:rsidR="00577F30" w:rsidRPr="00236128">
        <w:rPr>
          <w:lang w:val="en-GB"/>
        </w:rPr>
        <w:t xml:space="preserve">the author </w:t>
      </w:r>
      <w:r w:rsidR="00FE2D5C" w:rsidRPr="00236128">
        <w:rPr>
          <w:lang w:val="en-GB"/>
        </w:rPr>
        <w:t xml:space="preserve">failed to provide sufficient information </w:t>
      </w:r>
      <w:r w:rsidR="003967F9" w:rsidRPr="00236128">
        <w:rPr>
          <w:lang w:val="en-GB"/>
        </w:rPr>
        <w:t xml:space="preserve">to explain how the </w:t>
      </w:r>
      <w:r w:rsidR="007D5900">
        <w:rPr>
          <w:lang w:val="en-GB"/>
        </w:rPr>
        <w:t>Election Commission</w:t>
      </w:r>
      <w:r w:rsidR="003967F9" w:rsidRPr="00236128">
        <w:rPr>
          <w:lang w:val="en-GB"/>
        </w:rPr>
        <w:t xml:space="preserve">’s decision to send him a penalty notice contravened his rights to hold an opinion and/or belief. It stated that the requirement to participate in the voting process was separate to the requirement to express a preference </w:t>
      </w:r>
      <w:r w:rsidR="003967F9" w:rsidRPr="00236128">
        <w:rPr>
          <w:lang w:val="en-GB"/>
        </w:rPr>
        <w:lastRenderedPageBreak/>
        <w:t>for candidates that a</w:t>
      </w:r>
      <w:r w:rsidR="00BC4E15">
        <w:rPr>
          <w:lang w:val="en-GB"/>
        </w:rPr>
        <w:t> </w:t>
      </w:r>
      <w:r w:rsidR="003967F9" w:rsidRPr="00236128">
        <w:rPr>
          <w:lang w:val="en-GB"/>
        </w:rPr>
        <w:t>voter did not wish to vote for.</w:t>
      </w:r>
      <w:r w:rsidR="00FE2D5C" w:rsidRPr="00236128">
        <w:rPr>
          <w:lang w:val="en-GB"/>
        </w:rPr>
        <w:t xml:space="preserve"> Therefore, the author was invited to provide further information within 14 days.</w:t>
      </w:r>
    </w:p>
    <w:p w14:paraId="0DE25164" w14:textId="03CC9284" w:rsidR="00FE2D5C" w:rsidRPr="00236128" w:rsidRDefault="004F17EE" w:rsidP="007A6388">
      <w:pPr>
        <w:pStyle w:val="SingleTxtG"/>
        <w:rPr>
          <w:lang w:val="en-GB"/>
        </w:rPr>
      </w:pPr>
      <w:r w:rsidRPr="00236128">
        <w:rPr>
          <w:lang w:val="en-GB"/>
        </w:rPr>
        <w:t>2.11</w:t>
      </w:r>
      <w:r w:rsidR="00071B2D" w:rsidRPr="00236128">
        <w:rPr>
          <w:lang w:val="en-GB"/>
        </w:rPr>
        <w:tab/>
      </w:r>
      <w:r w:rsidR="00FE2D5C" w:rsidRPr="00236128">
        <w:rPr>
          <w:lang w:val="en-GB"/>
        </w:rPr>
        <w:t xml:space="preserve">On </w:t>
      </w:r>
      <w:r w:rsidR="00955F0A" w:rsidRPr="00236128">
        <w:rPr>
          <w:lang w:val="en-GB"/>
        </w:rPr>
        <w:t>9</w:t>
      </w:r>
      <w:r w:rsidR="00FE2D5C" w:rsidRPr="00236128">
        <w:rPr>
          <w:lang w:val="en-GB"/>
        </w:rPr>
        <w:t xml:space="preserve"> August 2011, the author reiterated his previous allegations before the</w:t>
      </w:r>
      <w:r w:rsidR="0042245A" w:rsidRPr="00236128">
        <w:rPr>
          <w:lang w:val="en-GB"/>
        </w:rPr>
        <w:t xml:space="preserve"> </w:t>
      </w:r>
      <w:r w:rsidR="007D5900">
        <w:rPr>
          <w:lang w:val="en-GB"/>
        </w:rPr>
        <w:t>Human Rights Commission</w:t>
      </w:r>
      <w:r w:rsidR="0042245A" w:rsidRPr="00236128">
        <w:rPr>
          <w:lang w:val="en-GB"/>
        </w:rPr>
        <w:t xml:space="preserve"> and clarified that </w:t>
      </w:r>
      <w:r w:rsidR="00FE2D5C" w:rsidRPr="00236128">
        <w:rPr>
          <w:lang w:val="en-GB"/>
        </w:rPr>
        <w:t>he held the belief that</w:t>
      </w:r>
      <w:r w:rsidR="0059390B">
        <w:rPr>
          <w:lang w:val="en-GB"/>
        </w:rPr>
        <w:t>:</w:t>
      </w:r>
      <w:r w:rsidR="00FE2D5C" w:rsidRPr="00236128">
        <w:rPr>
          <w:lang w:val="en-GB"/>
        </w:rPr>
        <w:t xml:space="preserve"> he should not vote; it was inappropriate for him to vote</w:t>
      </w:r>
      <w:r w:rsidR="00577F30" w:rsidRPr="00236128">
        <w:rPr>
          <w:lang w:val="en-GB"/>
        </w:rPr>
        <w:t>;</w:t>
      </w:r>
      <w:r w:rsidR="00FE2D5C" w:rsidRPr="00236128">
        <w:rPr>
          <w:lang w:val="en-GB"/>
        </w:rPr>
        <w:t xml:space="preserve"> he was duty bound not to vote as a consequence of his belief</w:t>
      </w:r>
      <w:r w:rsidR="00577F30" w:rsidRPr="00236128">
        <w:rPr>
          <w:lang w:val="en-GB"/>
        </w:rPr>
        <w:t>; and that</w:t>
      </w:r>
      <w:r w:rsidR="00FE2D5C" w:rsidRPr="00236128">
        <w:rPr>
          <w:lang w:val="en-GB"/>
        </w:rPr>
        <w:t xml:space="preserve"> the </w:t>
      </w:r>
      <w:r w:rsidR="007D5900">
        <w:rPr>
          <w:lang w:val="en-GB"/>
        </w:rPr>
        <w:t>Election Commission</w:t>
      </w:r>
      <w:r w:rsidR="00FE2D5C" w:rsidRPr="00236128">
        <w:rPr>
          <w:lang w:val="en-GB"/>
        </w:rPr>
        <w:t xml:space="preserve"> </w:t>
      </w:r>
      <w:r w:rsidR="0059390B">
        <w:rPr>
          <w:lang w:val="en-GB"/>
        </w:rPr>
        <w:t xml:space="preserve">had </w:t>
      </w:r>
      <w:r w:rsidR="00FE2D5C" w:rsidRPr="00236128">
        <w:rPr>
          <w:lang w:val="en-GB"/>
        </w:rPr>
        <w:t>violated his human rights because it failed to treat his belief</w:t>
      </w:r>
      <w:r w:rsidR="0059390B">
        <w:rPr>
          <w:lang w:val="en-GB"/>
        </w:rPr>
        <w:t>s</w:t>
      </w:r>
      <w:r w:rsidR="00FE2D5C" w:rsidRPr="00236128">
        <w:rPr>
          <w:lang w:val="en-GB"/>
        </w:rPr>
        <w:t xml:space="preserve"> on </w:t>
      </w:r>
      <w:r w:rsidR="0059390B">
        <w:rPr>
          <w:lang w:val="en-GB"/>
        </w:rPr>
        <w:t>an equal footing</w:t>
      </w:r>
      <w:r w:rsidR="00FE2D5C" w:rsidRPr="00236128">
        <w:rPr>
          <w:lang w:val="en-GB"/>
        </w:rPr>
        <w:t xml:space="preserve"> </w:t>
      </w:r>
      <w:r w:rsidR="00B408EB">
        <w:rPr>
          <w:lang w:val="en-GB"/>
        </w:rPr>
        <w:t>to</w:t>
      </w:r>
      <w:r w:rsidR="00B408EB" w:rsidRPr="00236128">
        <w:rPr>
          <w:lang w:val="en-GB"/>
        </w:rPr>
        <w:t xml:space="preserve"> </w:t>
      </w:r>
      <w:r w:rsidR="00FE2D5C" w:rsidRPr="00236128">
        <w:rPr>
          <w:lang w:val="en-GB"/>
        </w:rPr>
        <w:t>the belief</w:t>
      </w:r>
      <w:r w:rsidR="0059390B">
        <w:rPr>
          <w:lang w:val="en-GB"/>
        </w:rPr>
        <w:t>s</w:t>
      </w:r>
      <w:r w:rsidR="00FE2D5C" w:rsidRPr="00236128">
        <w:rPr>
          <w:lang w:val="en-GB"/>
        </w:rPr>
        <w:t xml:space="preserve"> </w:t>
      </w:r>
      <w:r w:rsidR="00EC12C0" w:rsidRPr="00236128">
        <w:rPr>
          <w:lang w:val="en-GB"/>
        </w:rPr>
        <w:t xml:space="preserve">of other electors who </w:t>
      </w:r>
      <w:r w:rsidR="000514FD">
        <w:rPr>
          <w:lang w:val="en-GB"/>
        </w:rPr>
        <w:t>had</w:t>
      </w:r>
      <w:r w:rsidR="000514FD" w:rsidRPr="00236128">
        <w:rPr>
          <w:lang w:val="en-GB"/>
        </w:rPr>
        <w:t xml:space="preserve"> </w:t>
      </w:r>
      <w:r w:rsidR="00EC12C0" w:rsidRPr="00236128">
        <w:rPr>
          <w:lang w:val="en-GB"/>
        </w:rPr>
        <w:t xml:space="preserve">not </w:t>
      </w:r>
      <w:r w:rsidR="000514FD">
        <w:rPr>
          <w:lang w:val="en-GB"/>
        </w:rPr>
        <w:t xml:space="preserve">been </w:t>
      </w:r>
      <w:r w:rsidR="004B3232" w:rsidRPr="00236128">
        <w:rPr>
          <w:lang w:val="en-GB"/>
        </w:rPr>
        <w:t>penalized pursuant</w:t>
      </w:r>
      <w:r w:rsidR="00EC12C0" w:rsidRPr="00236128">
        <w:rPr>
          <w:lang w:val="en-GB"/>
        </w:rPr>
        <w:t xml:space="preserve"> to sub</w:t>
      </w:r>
      <w:r w:rsidR="00FE2D5C" w:rsidRPr="00236128">
        <w:rPr>
          <w:lang w:val="en-GB"/>
        </w:rPr>
        <w:t>section 245</w:t>
      </w:r>
      <w:r w:rsidR="000514FD">
        <w:rPr>
          <w:lang w:val="en-GB"/>
        </w:rPr>
        <w:t> </w:t>
      </w:r>
      <w:r w:rsidR="00FE2D5C" w:rsidRPr="00236128">
        <w:rPr>
          <w:lang w:val="en-GB"/>
        </w:rPr>
        <w:t xml:space="preserve">(14) of the </w:t>
      </w:r>
      <w:r w:rsidR="007D5900">
        <w:rPr>
          <w:lang w:val="en-GB"/>
        </w:rPr>
        <w:t>Commonwealth Electoral Act</w:t>
      </w:r>
      <w:r w:rsidR="00FE2D5C" w:rsidRPr="00236128">
        <w:rPr>
          <w:lang w:val="en-GB"/>
        </w:rPr>
        <w:t>.</w:t>
      </w:r>
    </w:p>
    <w:p w14:paraId="3E5931EF" w14:textId="23C04F57" w:rsidR="00FE2D5C" w:rsidRPr="00236128" w:rsidRDefault="00FE2D5C" w:rsidP="007A6388">
      <w:pPr>
        <w:pStyle w:val="SingleTxtG"/>
        <w:rPr>
          <w:lang w:val="en-GB"/>
        </w:rPr>
      </w:pPr>
      <w:r w:rsidRPr="00236128">
        <w:rPr>
          <w:lang w:val="en-GB"/>
        </w:rPr>
        <w:t>2.1</w:t>
      </w:r>
      <w:r w:rsidR="004F17EE" w:rsidRPr="00236128">
        <w:rPr>
          <w:lang w:val="en-GB"/>
        </w:rPr>
        <w:t xml:space="preserve">2 </w:t>
      </w:r>
      <w:r w:rsidR="00071B2D" w:rsidRPr="00236128">
        <w:rPr>
          <w:lang w:val="en-GB"/>
        </w:rPr>
        <w:tab/>
      </w:r>
      <w:r w:rsidRPr="00236128">
        <w:rPr>
          <w:lang w:val="en-GB"/>
        </w:rPr>
        <w:t xml:space="preserve">On 30 September 2011, the </w:t>
      </w:r>
      <w:r w:rsidR="00791D0F" w:rsidRPr="00236128">
        <w:rPr>
          <w:lang w:val="en-GB"/>
        </w:rPr>
        <w:t xml:space="preserve">Delegate of the President of the </w:t>
      </w:r>
      <w:r w:rsidR="007D5900" w:rsidRPr="00A15D1A">
        <w:rPr>
          <w:lang w:val="en-GB"/>
        </w:rPr>
        <w:t>Human Rights Commission</w:t>
      </w:r>
      <w:r w:rsidRPr="00236128">
        <w:rPr>
          <w:lang w:val="en-GB"/>
        </w:rPr>
        <w:t xml:space="preserve"> decided n</w:t>
      </w:r>
      <w:r w:rsidR="00626B9E" w:rsidRPr="00236128">
        <w:rPr>
          <w:lang w:val="en-GB"/>
        </w:rPr>
        <w:t>ot to continue inquir</w:t>
      </w:r>
      <w:r w:rsidR="00391797" w:rsidRPr="00236128">
        <w:rPr>
          <w:lang w:val="en-GB"/>
        </w:rPr>
        <w:t>ing</w:t>
      </w:r>
      <w:r w:rsidR="00626B9E" w:rsidRPr="00236128">
        <w:rPr>
          <w:lang w:val="en-GB"/>
        </w:rPr>
        <w:t xml:space="preserve"> into the author’s complaint</w:t>
      </w:r>
      <w:r w:rsidRPr="00236128">
        <w:rPr>
          <w:lang w:val="en-GB"/>
        </w:rPr>
        <w:t xml:space="preserve"> since </w:t>
      </w:r>
      <w:r w:rsidR="00626B9E" w:rsidRPr="00236128">
        <w:rPr>
          <w:lang w:val="en-GB"/>
        </w:rPr>
        <w:t>it</w:t>
      </w:r>
      <w:r w:rsidRPr="00236128">
        <w:rPr>
          <w:lang w:val="en-GB"/>
        </w:rPr>
        <w:t xml:space="preserve"> was misconceived</w:t>
      </w:r>
      <w:r w:rsidR="00E55778" w:rsidRPr="00236128">
        <w:rPr>
          <w:lang w:val="en-GB"/>
        </w:rPr>
        <w:t xml:space="preserve"> pursuant to section 20</w:t>
      </w:r>
      <w:r w:rsidR="000514FD">
        <w:rPr>
          <w:lang w:val="en-GB"/>
        </w:rPr>
        <w:t> </w:t>
      </w:r>
      <w:r w:rsidR="00E55778" w:rsidRPr="00236128">
        <w:rPr>
          <w:lang w:val="en-GB"/>
        </w:rPr>
        <w:t>(2)</w:t>
      </w:r>
      <w:r w:rsidR="000514FD">
        <w:rPr>
          <w:lang w:val="en-GB"/>
        </w:rPr>
        <w:t> </w:t>
      </w:r>
      <w:r w:rsidR="00E55778" w:rsidRPr="00236128">
        <w:rPr>
          <w:lang w:val="en-GB"/>
        </w:rPr>
        <w:t>(c)</w:t>
      </w:r>
      <w:r w:rsidR="000514FD">
        <w:rPr>
          <w:lang w:val="en-GB"/>
        </w:rPr>
        <w:t> </w:t>
      </w:r>
      <w:r w:rsidR="00E55778" w:rsidRPr="00236128">
        <w:rPr>
          <w:lang w:val="en-GB"/>
        </w:rPr>
        <w:t xml:space="preserve">(ii) of the </w:t>
      </w:r>
      <w:r w:rsidR="00E46DEF">
        <w:rPr>
          <w:lang w:val="en-GB"/>
        </w:rPr>
        <w:t>Human Rights Commission Act</w:t>
      </w:r>
      <w:r w:rsidRPr="00236128">
        <w:rPr>
          <w:lang w:val="en-GB"/>
        </w:rPr>
        <w:t xml:space="preserve">. </w:t>
      </w:r>
      <w:r w:rsidR="000514FD">
        <w:rPr>
          <w:lang w:val="en-GB"/>
        </w:rPr>
        <w:t>The Returning Officer,</w:t>
      </w:r>
      <w:r w:rsidR="000514FD" w:rsidRPr="00236128">
        <w:rPr>
          <w:lang w:val="en-GB"/>
        </w:rPr>
        <w:t xml:space="preserve"> </w:t>
      </w:r>
      <w:r w:rsidR="00791D0F" w:rsidRPr="00236128">
        <w:rPr>
          <w:lang w:val="en-GB"/>
        </w:rPr>
        <w:t>who had the discretion not to issue a penalty notice to electors who had failed to vote</w:t>
      </w:r>
      <w:r w:rsidR="000514FD">
        <w:rPr>
          <w:lang w:val="en-GB"/>
        </w:rPr>
        <w:t>,</w:t>
      </w:r>
      <w:r w:rsidR="00791D0F" w:rsidRPr="00236128">
        <w:rPr>
          <w:lang w:val="en-GB"/>
        </w:rPr>
        <w:t xml:space="preserve"> could not disregard the intention </w:t>
      </w:r>
      <w:r w:rsidR="002C2D9C" w:rsidRPr="008E4345">
        <w:rPr>
          <w:lang w:val="en-GB"/>
        </w:rPr>
        <w:t>to establish compulsory voting</w:t>
      </w:r>
      <w:r w:rsidR="002C2D9C" w:rsidRPr="00E27706">
        <w:rPr>
          <w:lang w:val="en-GB"/>
        </w:rPr>
        <w:t xml:space="preserve"> </w:t>
      </w:r>
      <w:r w:rsidR="002C2D9C">
        <w:rPr>
          <w:lang w:val="en-GB"/>
        </w:rPr>
        <w:t>by means of</w:t>
      </w:r>
      <w:r w:rsidR="002C2D9C" w:rsidRPr="00236128">
        <w:rPr>
          <w:lang w:val="en-GB"/>
        </w:rPr>
        <w:t xml:space="preserve"> </w:t>
      </w:r>
      <w:r w:rsidR="00791D0F" w:rsidRPr="00236128">
        <w:rPr>
          <w:lang w:val="en-GB"/>
        </w:rPr>
        <w:t xml:space="preserve">the </w:t>
      </w:r>
      <w:r w:rsidR="007D5900">
        <w:rPr>
          <w:lang w:val="en-GB"/>
        </w:rPr>
        <w:t>Commonwealth Electoral Act</w:t>
      </w:r>
      <w:r w:rsidR="00791D0F" w:rsidRPr="00236128">
        <w:rPr>
          <w:lang w:val="en-GB"/>
        </w:rPr>
        <w:t xml:space="preserve">. Therefore, the </w:t>
      </w:r>
      <w:r w:rsidR="002C2D9C">
        <w:rPr>
          <w:lang w:val="en-GB"/>
        </w:rPr>
        <w:t>Returning Officer</w:t>
      </w:r>
      <w:r w:rsidR="00791D0F" w:rsidRPr="00236128">
        <w:rPr>
          <w:lang w:val="en-GB"/>
        </w:rPr>
        <w:t xml:space="preserve"> was not able to exercise </w:t>
      </w:r>
      <w:r w:rsidR="0049697B">
        <w:rPr>
          <w:lang w:val="en-GB"/>
        </w:rPr>
        <w:t xml:space="preserve">his or her </w:t>
      </w:r>
      <w:r w:rsidR="00EC12C0" w:rsidRPr="00236128">
        <w:rPr>
          <w:lang w:val="en-GB"/>
        </w:rPr>
        <w:t>discretion</w:t>
      </w:r>
      <w:r w:rsidR="00791D0F" w:rsidRPr="00236128">
        <w:rPr>
          <w:lang w:val="en-GB"/>
        </w:rPr>
        <w:t xml:space="preserve"> to not issue a penalty notice to electors who </w:t>
      </w:r>
      <w:r w:rsidR="0049697B">
        <w:rPr>
          <w:lang w:val="en-GB"/>
        </w:rPr>
        <w:t xml:space="preserve">had </w:t>
      </w:r>
      <w:r w:rsidR="00791D0F" w:rsidRPr="00236128">
        <w:rPr>
          <w:lang w:val="en-GB"/>
        </w:rPr>
        <w:t>fail</w:t>
      </w:r>
      <w:r w:rsidR="0049697B">
        <w:rPr>
          <w:lang w:val="en-GB"/>
        </w:rPr>
        <w:t>ed</w:t>
      </w:r>
      <w:r w:rsidR="00791D0F" w:rsidRPr="00236128">
        <w:rPr>
          <w:lang w:val="en-GB"/>
        </w:rPr>
        <w:t xml:space="preserve"> to vote simpl</w:t>
      </w:r>
      <w:r w:rsidR="00577F30" w:rsidRPr="00236128">
        <w:rPr>
          <w:lang w:val="en-GB"/>
        </w:rPr>
        <w:t>y</w:t>
      </w:r>
      <w:r w:rsidR="00791D0F" w:rsidRPr="00236128">
        <w:rPr>
          <w:lang w:val="en-GB"/>
        </w:rPr>
        <w:t xml:space="preserve"> because </w:t>
      </w:r>
      <w:r w:rsidR="0049697B">
        <w:rPr>
          <w:lang w:val="en-GB"/>
        </w:rPr>
        <w:t>they</w:t>
      </w:r>
      <w:r w:rsidR="0049697B" w:rsidRPr="00236128">
        <w:rPr>
          <w:lang w:val="en-GB"/>
        </w:rPr>
        <w:t xml:space="preserve"> </w:t>
      </w:r>
      <w:r w:rsidR="00791D0F" w:rsidRPr="00236128">
        <w:rPr>
          <w:lang w:val="en-GB"/>
        </w:rPr>
        <w:t xml:space="preserve">believed that they should not vote. </w:t>
      </w:r>
      <w:r w:rsidRPr="00236128">
        <w:rPr>
          <w:lang w:val="en-GB"/>
        </w:rPr>
        <w:t>In the Commission’s decision</w:t>
      </w:r>
      <w:r w:rsidR="0049697B">
        <w:rPr>
          <w:lang w:val="en-GB"/>
        </w:rPr>
        <w:t>,</w:t>
      </w:r>
      <w:r w:rsidRPr="00236128">
        <w:rPr>
          <w:lang w:val="en-GB"/>
        </w:rPr>
        <w:t xml:space="preserve"> the author was informed that he could </w:t>
      </w:r>
      <w:r w:rsidR="0049697B">
        <w:rPr>
          <w:lang w:val="en-GB"/>
        </w:rPr>
        <w:t>seek a</w:t>
      </w:r>
      <w:r w:rsidRPr="00236128">
        <w:rPr>
          <w:lang w:val="en-GB"/>
        </w:rPr>
        <w:t xml:space="preserve"> review </w:t>
      </w:r>
      <w:r w:rsidR="0049697B">
        <w:rPr>
          <w:lang w:val="en-GB"/>
        </w:rPr>
        <w:t xml:space="preserve">of </w:t>
      </w:r>
      <w:r w:rsidR="00432150">
        <w:rPr>
          <w:lang w:val="en-GB"/>
        </w:rPr>
        <w:t>its findings by</w:t>
      </w:r>
      <w:r w:rsidR="0049697B" w:rsidRPr="00236128">
        <w:rPr>
          <w:lang w:val="en-GB"/>
        </w:rPr>
        <w:t xml:space="preserve"> </w:t>
      </w:r>
      <w:r w:rsidRPr="00236128">
        <w:rPr>
          <w:lang w:val="en-GB"/>
        </w:rPr>
        <w:t>the Federal Court of Australia or the Federal Magistrates Court</w:t>
      </w:r>
      <w:r w:rsidR="00B23516" w:rsidRPr="00236128">
        <w:rPr>
          <w:lang w:val="en-GB"/>
        </w:rPr>
        <w:t xml:space="preserve"> (now Federal Circuit Court)</w:t>
      </w:r>
      <w:r w:rsidRPr="00236128">
        <w:rPr>
          <w:lang w:val="en-GB"/>
        </w:rPr>
        <w:t xml:space="preserve"> under the Administrative Decisions </w:t>
      </w:r>
      <w:r w:rsidR="00E55778" w:rsidRPr="00236128">
        <w:rPr>
          <w:lang w:val="en-GB"/>
        </w:rPr>
        <w:t xml:space="preserve">(Judicial Review) </w:t>
      </w:r>
      <w:r w:rsidRPr="00236128">
        <w:rPr>
          <w:lang w:val="en-GB"/>
        </w:rPr>
        <w:t xml:space="preserve">Act 1997. </w:t>
      </w:r>
      <w:r w:rsidR="00522A65">
        <w:rPr>
          <w:lang w:val="en-GB"/>
        </w:rPr>
        <w:t>A</w:t>
      </w:r>
      <w:r w:rsidR="00432150">
        <w:rPr>
          <w:lang w:val="en-GB"/>
        </w:rPr>
        <w:t xml:space="preserve">lthough </w:t>
      </w:r>
      <w:r w:rsidRPr="00236128">
        <w:rPr>
          <w:lang w:val="en-GB"/>
        </w:rPr>
        <w:t xml:space="preserve">the </w:t>
      </w:r>
      <w:r w:rsidR="0081009E" w:rsidRPr="00236128">
        <w:rPr>
          <w:lang w:val="en-GB"/>
        </w:rPr>
        <w:t>c</w:t>
      </w:r>
      <w:r w:rsidRPr="00236128">
        <w:rPr>
          <w:lang w:val="en-GB"/>
        </w:rPr>
        <w:t>ourts could not review the merits o</w:t>
      </w:r>
      <w:r w:rsidR="0081009E" w:rsidRPr="00236128">
        <w:rPr>
          <w:lang w:val="en-GB"/>
        </w:rPr>
        <w:t>f</w:t>
      </w:r>
      <w:r w:rsidRPr="00236128">
        <w:rPr>
          <w:lang w:val="en-GB"/>
        </w:rPr>
        <w:t xml:space="preserve"> the case </w:t>
      </w:r>
      <w:r w:rsidR="00432150">
        <w:rPr>
          <w:lang w:val="en-GB"/>
        </w:rPr>
        <w:t>they could</w:t>
      </w:r>
      <w:r w:rsidRPr="00236128">
        <w:rPr>
          <w:lang w:val="en-GB"/>
        </w:rPr>
        <w:t xml:space="preserve"> refer the matter back to the Commission if the</w:t>
      </w:r>
      <w:r w:rsidR="00432150">
        <w:rPr>
          <w:lang w:val="en-GB"/>
        </w:rPr>
        <w:t>y</w:t>
      </w:r>
      <w:r w:rsidRPr="00236128">
        <w:rPr>
          <w:lang w:val="en-GB"/>
        </w:rPr>
        <w:t xml:space="preserve"> f</w:t>
      </w:r>
      <w:r w:rsidR="00432150">
        <w:rPr>
          <w:lang w:val="en-GB"/>
        </w:rPr>
        <w:t>ound</w:t>
      </w:r>
      <w:r w:rsidRPr="00236128">
        <w:rPr>
          <w:lang w:val="en-GB"/>
        </w:rPr>
        <w:t xml:space="preserve"> that the Commission </w:t>
      </w:r>
      <w:r w:rsidR="00432150">
        <w:rPr>
          <w:lang w:val="en-GB"/>
        </w:rPr>
        <w:t>had been</w:t>
      </w:r>
      <w:r w:rsidR="00432150" w:rsidRPr="00236128">
        <w:rPr>
          <w:lang w:val="en-GB"/>
        </w:rPr>
        <w:t xml:space="preserve"> </w:t>
      </w:r>
      <w:r w:rsidRPr="00236128">
        <w:rPr>
          <w:lang w:val="en-GB"/>
        </w:rPr>
        <w:t xml:space="preserve">wrong </w:t>
      </w:r>
      <w:r w:rsidR="00432150">
        <w:rPr>
          <w:lang w:val="en-GB"/>
        </w:rPr>
        <w:t>on a point of</w:t>
      </w:r>
      <w:r w:rsidRPr="00236128">
        <w:rPr>
          <w:lang w:val="en-GB"/>
        </w:rPr>
        <w:t xml:space="preserve"> law or </w:t>
      </w:r>
      <w:r w:rsidR="00432150">
        <w:rPr>
          <w:lang w:val="en-GB"/>
        </w:rPr>
        <w:t>had</w:t>
      </w:r>
      <w:r w:rsidRPr="00236128">
        <w:rPr>
          <w:lang w:val="en-GB"/>
        </w:rPr>
        <w:t xml:space="preserve"> not exercise</w:t>
      </w:r>
      <w:r w:rsidR="00432150">
        <w:rPr>
          <w:lang w:val="en-GB"/>
        </w:rPr>
        <w:t>d</w:t>
      </w:r>
      <w:r w:rsidRPr="00236128">
        <w:rPr>
          <w:lang w:val="en-GB"/>
        </w:rPr>
        <w:t xml:space="preserve"> its powers properly.</w:t>
      </w:r>
    </w:p>
    <w:p w14:paraId="7EDD7809" w14:textId="44BCD0CC" w:rsidR="00EC12C0" w:rsidRPr="00236128" w:rsidRDefault="00071B2D" w:rsidP="007A6388">
      <w:pPr>
        <w:pStyle w:val="SingleTxtG"/>
        <w:rPr>
          <w:lang w:val="en-GB"/>
        </w:rPr>
      </w:pPr>
      <w:r w:rsidRPr="00236128">
        <w:rPr>
          <w:lang w:val="en-GB"/>
        </w:rPr>
        <w:t>2.13</w:t>
      </w:r>
      <w:r w:rsidRPr="00236128">
        <w:rPr>
          <w:lang w:val="en-GB"/>
        </w:rPr>
        <w:tab/>
      </w:r>
      <w:r w:rsidR="00EC12C0" w:rsidRPr="00236128">
        <w:rPr>
          <w:lang w:val="en-GB"/>
        </w:rPr>
        <w:t xml:space="preserve">On 11 December 2011, the author wrote to the </w:t>
      </w:r>
      <w:r w:rsidR="007D5900">
        <w:rPr>
          <w:lang w:val="en-GB"/>
        </w:rPr>
        <w:t>Election Commission</w:t>
      </w:r>
      <w:r w:rsidR="00EC12C0" w:rsidRPr="00236128">
        <w:rPr>
          <w:lang w:val="en-GB"/>
        </w:rPr>
        <w:t xml:space="preserve"> and reiterated </w:t>
      </w:r>
      <w:r w:rsidR="002878C0" w:rsidRPr="00236128">
        <w:rPr>
          <w:lang w:val="en-GB"/>
        </w:rPr>
        <w:t xml:space="preserve">that </w:t>
      </w:r>
      <w:r w:rsidR="00D94DBF" w:rsidRPr="00236128">
        <w:rPr>
          <w:lang w:val="en-GB"/>
        </w:rPr>
        <w:t xml:space="preserve">the penalty imposed </w:t>
      </w:r>
      <w:r w:rsidR="00522A65">
        <w:rPr>
          <w:lang w:val="en-GB"/>
        </w:rPr>
        <w:t>on</w:t>
      </w:r>
      <w:r w:rsidR="00522A65" w:rsidRPr="00236128">
        <w:rPr>
          <w:lang w:val="en-GB"/>
        </w:rPr>
        <w:t xml:space="preserve"> </w:t>
      </w:r>
      <w:r w:rsidR="00D94DBF" w:rsidRPr="00236128">
        <w:rPr>
          <w:lang w:val="en-GB"/>
        </w:rPr>
        <w:t>him constituted</w:t>
      </w:r>
      <w:r w:rsidR="00EC12C0" w:rsidRPr="00236128">
        <w:rPr>
          <w:lang w:val="en-GB"/>
        </w:rPr>
        <w:t xml:space="preserve"> </w:t>
      </w:r>
      <w:r w:rsidR="00D94DBF" w:rsidRPr="00236128">
        <w:rPr>
          <w:lang w:val="en-GB"/>
        </w:rPr>
        <w:t xml:space="preserve">a </w:t>
      </w:r>
      <w:r w:rsidR="00EC12C0" w:rsidRPr="00236128">
        <w:rPr>
          <w:lang w:val="en-GB"/>
        </w:rPr>
        <w:t>violation</w:t>
      </w:r>
      <w:r w:rsidR="00D94DBF" w:rsidRPr="00236128">
        <w:rPr>
          <w:lang w:val="en-GB"/>
        </w:rPr>
        <w:t xml:space="preserve"> of his rights under</w:t>
      </w:r>
      <w:r w:rsidR="00EC12C0" w:rsidRPr="00236128">
        <w:rPr>
          <w:lang w:val="en-GB"/>
        </w:rPr>
        <w:t xml:space="preserve"> article</w:t>
      </w:r>
      <w:r w:rsidR="00D94DBF" w:rsidRPr="00236128">
        <w:rPr>
          <w:lang w:val="en-GB"/>
        </w:rPr>
        <w:t>s</w:t>
      </w:r>
      <w:r w:rsidR="00EC12C0" w:rsidRPr="00236128">
        <w:rPr>
          <w:lang w:val="en-GB"/>
        </w:rPr>
        <w:t xml:space="preserve"> 17 and 18 of the Covenant</w:t>
      </w:r>
      <w:r w:rsidR="008D4E38">
        <w:rPr>
          <w:lang w:val="en-GB"/>
        </w:rPr>
        <w:t>.</w:t>
      </w:r>
    </w:p>
    <w:p w14:paraId="1152E5C9" w14:textId="015493ED" w:rsidR="00FE2D5C" w:rsidRPr="00236128" w:rsidRDefault="00FE2D5C" w:rsidP="007A6388">
      <w:pPr>
        <w:pStyle w:val="SingleTxtG"/>
        <w:rPr>
          <w:lang w:val="en-GB"/>
        </w:rPr>
      </w:pPr>
      <w:r w:rsidRPr="00236128">
        <w:rPr>
          <w:lang w:val="en-GB"/>
        </w:rPr>
        <w:t>2.1</w:t>
      </w:r>
      <w:r w:rsidR="00D94DBF" w:rsidRPr="00236128">
        <w:rPr>
          <w:lang w:val="en-GB"/>
        </w:rPr>
        <w:t>4</w:t>
      </w:r>
      <w:r w:rsidR="00071B2D" w:rsidRPr="00236128">
        <w:rPr>
          <w:lang w:val="en-GB"/>
        </w:rPr>
        <w:tab/>
      </w:r>
      <w:r w:rsidRPr="00236128">
        <w:rPr>
          <w:lang w:val="en-GB"/>
        </w:rPr>
        <w:t xml:space="preserve">On 18 January 2012, the </w:t>
      </w:r>
      <w:r w:rsidR="007D5900">
        <w:rPr>
          <w:lang w:val="en-GB"/>
        </w:rPr>
        <w:t>Election Commission</w:t>
      </w:r>
      <w:r w:rsidRPr="00236128">
        <w:rPr>
          <w:lang w:val="en-GB"/>
        </w:rPr>
        <w:t xml:space="preserve"> </w:t>
      </w:r>
      <w:r w:rsidR="0081009E" w:rsidRPr="00236128">
        <w:rPr>
          <w:lang w:val="en-GB"/>
        </w:rPr>
        <w:t xml:space="preserve">reiterated </w:t>
      </w:r>
      <w:r w:rsidR="00522A65">
        <w:rPr>
          <w:lang w:val="en-GB"/>
        </w:rPr>
        <w:t xml:space="preserve">its claim </w:t>
      </w:r>
      <w:r w:rsidRPr="00236128">
        <w:rPr>
          <w:lang w:val="en-GB"/>
        </w:rPr>
        <w:t xml:space="preserve">that </w:t>
      </w:r>
      <w:r w:rsidR="00577F30" w:rsidRPr="00236128">
        <w:rPr>
          <w:lang w:val="en-GB"/>
        </w:rPr>
        <w:t xml:space="preserve">the author </w:t>
      </w:r>
      <w:r w:rsidR="00522A65">
        <w:rPr>
          <w:lang w:val="en-GB"/>
        </w:rPr>
        <w:t xml:space="preserve">had </w:t>
      </w:r>
      <w:r w:rsidRPr="00236128">
        <w:rPr>
          <w:lang w:val="en-GB"/>
        </w:rPr>
        <w:t xml:space="preserve">admitted </w:t>
      </w:r>
      <w:r w:rsidR="00522A65">
        <w:rPr>
          <w:lang w:val="en-GB"/>
        </w:rPr>
        <w:t xml:space="preserve">a </w:t>
      </w:r>
      <w:r w:rsidRPr="00236128">
        <w:rPr>
          <w:lang w:val="en-GB"/>
        </w:rPr>
        <w:t xml:space="preserve">breach of the compulsory voting requirements contained in section 245 of the </w:t>
      </w:r>
      <w:r w:rsidR="00522A65">
        <w:rPr>
          <w:lang w:val="en-GB"/>
        </w:rPr>
        <w:t xml:space="preserve">Commonwealth </w:t>
      </w:r>
      <w:r w:rsidRPr="00236128">
        <w:rPr>
          <w:lang w:val="en-GB"/>
        </w:rPr>
        <w:t>Electoral Act</w:t>
      </w:r>
      <w:r w:rsidR="00522A65">
        <w:rPr>
          <w:lang w:val="en-GB"/>
        </w:rPr>
        <w:t>, while</w:t>
      </w:r>
      <w:r w:rsidRPr="00236128">
        <w:rPr>
          <w:lang w:val="en-GB"/>
        </w:rPr>
        <w:t xml:space="preserve"> reject</w:t>
      </w:r>
      <w:r w:rsidR="00522A65">
        <w:rPr>
          <w:lang w:val="en-GB"/>
        </w:rPr>
        <w:t>ing</w:t>
      </w:r>
      <w:r w:rsidRPr="00236128">
        <w:rPr>
          <w:lang w:val="en-GB"/>
        </w:rPr>
        <w:t xml:space="preserve"> that its action concerning </w:t>
      </w:r>
      <w:r w:rsidR="00522A65" w:rsidRPr="00236128">
        <w:rPr>
          <w:lang w:val="en-GB"/>
        </w:rPr>
        <w:t>th</w:t>
      </w:r>
      <w:r w:rsidR="00522A65">
        <w:rPr>
          <w:lang w:val="en-GB"/>
        </w:rPr>
        <w:t>at</w:t>
      </w:r>
      <w:r w:rsidR="00522A65" w:rsidRPr="00236128">
        <w:rPr>
          <w:lang w:val="en-GB"/>
        </w:rPr>
        <w:t xml:space="preserve"> </w:t>
      </w:r>
      <w:r w:rsidRPr="00236128">
        <w:rPr>
          <w:lang w:val="en-GB"/>
        </w:rPr>
        <w:t xml:space="preserve">breach constituted a violation of the Covenant as </w:t>
      </w:r>
      <w:r w:rsidR="00254E34">
        <w:rPr>
          <w:lang w:val="en-GB"/>
        </w:rPr>
        <w:t>embodied</w:t>
      </w:r>
      <w:r w:rsidR="00254E34" w:rsidRPr="00236128">
        <w:rPr>
          <w:lang w:val="en-GB"/>
        </w:rPr>
        <w:t xml:space="preserve"> </w:t>
      </w:r>
      <w:r w:rsidRPr="00236128">
        <w:rPr>
          <w:lang w:val="en-GB"/>
        </w:rPr>
        <w:t>in the Australian Human Rights Commission Act</w:t>
      </w:r>
      <w:r w:rsidR="0062327E" w:rsidRPr="00236128">
        <w:rPr>
          <w:lang w:val="en-GB"/>
        </w:rPr>
        <w:t xml:space="preserve">. The </w:t>
      </w:r>
      <w:r w:rsidR="007D5900">
        <w:rPr>
          <w:lang w:val="en-GB"/>
        </w:rPr>
        <w:t>Election Commission</w:t>
      </w:r>
      <w:r w:rsidR="0062327E" w:rsidRPr="00236128">
        <w:rPr>
          <w:lang w:val="en-GB"/>
        </w:rPr>
        <w:t xml:space="preserve"> stated that the reason that the author </w:t>
      </w:r>
      <w:r w:rsidR="00254E34">
        <w:rPr>
          <w:lang w:val="en-GB"/>
        </w:rPr>
        <w:t xml:space="preserve">had </w:t>
      </w:r>
      <w:r w:rsidR="0062327E" w:rsidRPr="00236128">
        <w:rPr>
          <w:lang w:val="en-GB"/>
        </w:rPr>
        <w:t xml:space="preserve">provided to the </w:t>
      </w:r>
      <w:r w:rsidR="00254E34">
        <w:rPr>
          <w:lang w:val="en-GB"/>
        </w:rPr>
        <w:t xml:space="preserve">Returning Officer </w:t>
      </w:r>
      <w:r w:rsidR="0062327E" w:rsidRPr="00236128">
        <w:rPr>
          <w:lang w:val="en-GB"/>
        </w:rPr>
        <w:t xml:space="preserve">to justify </w:t>
      </w:r>
      <w:r w:rsidR="00477B7A">
        <w:rPr>
          <w:lang w:val="en-GB"/>
        </w:rPr>
        <w:t>not</w:t>
      </w:r>
      <w:r w:rsidR="00477B7A" w:rsidRPr="00236128">
        <w:rPr>
          <w:lang w:val="en-GB"/>
        </w:rPr>
        <w:t xml:space="preserve"> </w:t>
      </w:r>
      <w:r w:rsidR="0062327E" w:rsidRPr="00236128">
        <w:rPr>
          <w:lang w:val="en-GB"/>
        </w:rPr>
        <w:t xml:space="preserve">voting </w:t>
      </w:r>
      <w:r w:rsidR="00477B7A">
        <w:rPr>
          <w:lang w:val="en-GB"/>
        </w:rPr>
        <w:t>had</w:t>
      </w:r>
      <w:r w:rsidR="00477B7A" w:rsidRPr="00236128">
        <w:rPr>
          <w:lang w:val="en-GB"/>
        </w:rPr>
        <w:t xml:space="preserve"> </w:t>
      </w:r>
      <w:r w:rsidR="0062327E" w:rsidRPr="00236128">
        <w:rPr>
          <w:lang w:val="en-GB"/>
        </w:rPr>
        <w:t xml:space="preserve">not </w:t>
      </w:r>
      <w:r w:rsidR="00477B7A">
        <w:rPr>
          <w:lang w:val="en-GB"/>
        </w:rPr>
        <w:t>referred to</w:t>
      </w:r>
      <w:r w:rsidR="00477B7A" w:rsidRPr="00236128">
        <w:rPr>
          <w:lang w:val="en-GB"/>
        </w:rPr>
        <w:t xml:space="preserve"> </w:t>
      </w:r>
      <w:r w:rsidR="00477B7A">
        <w:rPr>
          <w:lang w:val="en-GB"/>
        </w:rPr>
        <w:t>an</w:t>
      </w:r>
      <w:r w:rsidR="00477B7A" w:rsidRPr="00236128">
        <w:rPr>
          <w:lang w:val="en-GB"/>
        </w:rPr>
        <w:t xml:space="preserve"> </w:t>
      </w:r>
      <w:r w:rsidR="0062327E" w:rsidRPr="00236128">
        <w:rPr>
          <w:lang w:val="en-GB"/>
        </w:rPr>
        <w:t xml:space="preserve">actual belief covered by article 18 of the Covenant. </w:t>
      </w:r>
      <w:r w:rsidRPr="00236128">
        <w:rPr>
          <w:lang w:val="en-GB"/>
        </w:rPr>
        <w:t xml:space="preserve">Therefore, the </w:t>
      </w:r>
      <w:r w:rsidR="007D5900">
        <w:rPr>
          <w:lang w:val="en-GB"/>
        </w:rPr>
        <w:t>Election Commission</w:t>
      </w:r>
      <w:r w:rsidRPr="00236128">
        <w:rPr>
          <w:lang w:val="en-GB"/>
        </w:rPr>
        <w:t xml:space="preserve"> rejected the author</w:t>
      </w:r>
      <w:r w:rsidR="0062327E" w:rsidRPr="00236128">
        <w:rPr>
          <w:lang w:val="en-GB"/>
        </w:rPr>
        <w:t>’s</w:t>
      </w:r>
      <w:r w:rsidRPr="00236128">
        <w:rPr>
          <w:lang w:val="en-GB"/>
        </w:rPr>
        <w:t xml:space="preserve"> request </w:t>
      </w:r>
      <w:r w:rsidR="009D53FF">
        <w:rPr>
          <w:lang w:val="en-GB"/>
        </w:rPr>
        <w:t>to</w:t>
      </w:r>
      <w:r w:rsidR="009D53FF" w:rsidRPr="00236128">
        <w:rPr>
          <w:lang w:val="en-GB"/>
        </w:rPr>
        <w:t xml:space="preserve"> </w:t>
      </w:r>
      <w:r w:rsidRPr="00236128">
        <w:rPr>
          <w:lang w:val="en-GB"/>
        </w:rPr>
        <w:t>refund</w:t>
      </w:r>
      <w:r w:rsidR="009D53FF">
        <w:rPr>
          <w:lang w:val="en-GB"/>
        </w:rPr>
        <w:t xml:space="preserve"> </w:t>
      </w:r>
      <w:r w:rsidR="0062327E" w:rsidRPr="00236128">
        <w:rPr>
          <w:lang w:val="en-GB"/>
        </w:rPr>
        <w:t>the fine paid by him</w:t>
      </w:r>
      <w:r w:rsidRPr="00236128">
        <w:rPr>
          <w:lang w:val="en-GB"/>
        </w:rPr>
        <w:t>.</w:t>
      </w:r>
    </w:p>
    <w:p w14:paraId="344614E1" w14:textId="405F686A" w:rsidR="00FE2D5C" w:rsidRPr="00236128" w:rsidRDefault="00FE2D5C" w:rsidP="007A6388">
      <w:pPr>
        <w:pStyle w:val="SingleTxtG"/>
        <w:rPr>
          <w:lang w:val="en-GB"/>
        </w:rPr>
      </w:pPr>
      <w:r w:rsidRPr="00236128">
        <w:rPr>
          <w:lang w:val="en-GB"/>
        </w:rPr>
        <w:t>2.1</w:t>
      </w:r>
      <w:r w:rsidR="00920161" w:rsidRPr="00236128">
        <w:rPr>
          <w:lang w:val="en-GB"/>
        </w:rPr>
        <w:t>5</w:t>
      </w:r>
      <w:r w:rsidR="00071B2D" w:rsidRPr="00236128">
        <w:rPr>
          <w:lang w:val="en-GB"/>
        </w:rPr>
        <w:tab/>
      </w:r>
      <w:r w:rsidRPr="00236128">
        <w:rPr>
          <w:lang w:val="en-GB"/>
        </w:rPr>
        <w:t>The author argues that</w:t>
      </w:r>
      <w:r w:rsidR="00023EA1" w:rsidRPr="00236128">
        <w:rPr>
          <w:lang w:val="en-GB"/>
        </w:rPr>
        <w:t xml:space="preserve"> </w:t>
      </w:r>
      <w:r w:rsidRPr="00236128">
        <w:rPr>
          <w:lang w:val="en-GB"/>
        </w:rPr>
        <w:t xml:space="preserve">Australian courts cannot examine the facts of his case and </w:t>
      </w:r>
      <w:r w:rsidR="00023EA1" w:rsidRPr="00236128">
        <w:rPr>
          <w:lang w:val="en-GB"/>
        </w:rPr>
        <w:t xml:space="preserve">that </w:t>
      </w:r>
      <w:r w:rsidRPr="00236128">
        <w:rPr>
          <w:lang w:val="en-GB"/>
        </w:rPr>
        <w:t xml:space="preserve">the Human Rights Commission can only investigate complaints of breaches of the Covenant if </w:t>
      </w:r>
      <w:r w:rsidR="009D53FF">
        <w:rPr>
          <w:lang w:val="en-GB"/>
        </w:rPr>
        <w:t>such</w:t>
      </w:r>
      <w:r w:rsidR="00023EA1" w:rsidRPr="00236128">
        <w:rPr>
          <w:lang w:val="en-GB"/>
        </w:rPr>
        <w:t xml:space="preserve"> </w:t>
      </w:r>
      <w:r w:rsidRPr="00236128">
        <w:rPr>
          <w:lang w:val="en-GB"/>
        </w:rPr>
        <w:t>breaches are the result of a discretionary action</w:t>
      </w:r>
      <w:r w:rsidR="00023EA1" w:rsidRPr="00236128">
        <w:rPr>
          <w:lang w:val="en-GB"/>
        </w:rPr>
        <w:t xml:space="preserve"> of an officer</w:t>
      </w:r>
      <w:r w:rsidRPr="00236128">
        <w:rPr>
          <w:lang w:val="en-GB"/>
        </w:rPr>
        <w:t xml:space="preserve"> and no</w:t>
      </w:r>
      <w:r w:rsidR="00E610A3" w:rsidRPr="00236128">
        <w:rPr>
          <w:lang w:val="en-GB"/>
        </w:rPr>
        <w:t xml:space="preserve">t </w:t>
      </w:r>
      <w:r w:rsidR="009D53FF">
        <w:rPr>
          <w:lang w:val="en-GB"/>
        </w:rPr>
        <w:t>the</w:t>
      </w:r>
      <w:r w:rsidR="009D53FF" w:rsidRPr="00236128">
        <w:rPr>
          <w:lang w:val="en-GB"/>
        </w:rPr>
        <w:t xml:space="preserve"> </w:t>
      </w:r>
      <w:r w:rsidR="00E610A3" w:rsidRPr="00236128">
        <w:rPr>
          <w:lang w:val="en-GB"/>
        </w:rPr>
        <w:t xml:space="preserve">automatic </w:t>
      </w:r>
      <w:r w:rsidR="009D53FF">
        <w:rPr>
          <w:lang w:val="en-GB"/>
        </w:rPr>
        <w:t>application</w:t>
      </w:r>
      <w:r w:rsidR="009D53FF" w:rsidRPr="00236128">
        <w:rPr>
          <w:lang w:val="en-GB"/>
        </w:rPr>
        <w:t xml:space="preserve"> </w:t>
      </w:r>
      <w:r w:rsidR="00023EA1" w:rsidRPr="00236128">
        <w:rPr>
          <w:lang w:val="en-GB"/>
        </w:rPr>
        <w:t>of the law. He thus argues that</w:t>
      </w:r>
      <w:r w:rsidRPr="00236128">
        <w:rPr>
          <w:lang w:val="en-GB"/>
        </w:rPr>
        <w:t xml:space="preserve"> </w:t>
      </w:r>
      <w:r w:rsidR="009D53FF">
        <w:rPr>
          <w:lang w:val="en-GB"/>
        </w:rPr>
        <w:t>he has</w:t>
      </w:r>
      <w:r w:rsidRPr="00236128">
        <w:rPr>
          <w:lang w:val="en-GB"/>
        </w:rPr>
        <w:t xml:space="preserve"> exhausted </w:t>
      </w:r>
      <w:r w:rsidR="009D53FF">
        <w:rPr>
          <w:lang w:val="en-GB"/>
        </w:rPr>
        <w:t xml:space="preserve">all domestic remedies </w:t>
      </w:r>
      <w:r w:rsidR="00023EA1" w:rsidRPr="00236128">
        <w:rPr>
          <w:lang w:val="en-GB"/>
        </w:rPr>
        <w:t>in relation to</w:t>
      </w:r>
      <w:r w:rsidRPr="00236128">
        <w:rPr>
          <w:lang w:val="en-GB"/>
        </w:rPr>
        <w:t xml:space="preserve"> the allegations contained in his communication.</w:t>
      </w:r>
    </w:p>
    <w:p w14:paraId="7F9BD2CD" w14:textId="27357045" w:rsidR="00323FF5" w:rsidRPr="00236128" w:rsidRDefault="00071B2D" w:rsidP="00071B2D">
      <w:pPr>
        <w:pStyle w:val="H23G"/>
      </w:pPr>
      <w:r w:rsidRPr="00236128">
        <w:tab/>
      </w:r>
      <w:r w:rsidRPr="00236128">
        <w:tab/>
      </w:r>
      <w:r w:rsidR="00323FF5" w:rsidRPr="00236128">
        <w:t xml:space="preserve">The </w:t>
      </w:r>
      <w:r w:rsidR="00323FF5" w:rsidRPr="00E27706">
        <w:t>complaint</w:t>
      </w:r>
    </w:p>
    <w:p w14:paraId="17F3053A" w14:textId="2B3F510E" w:rsidR="002878C0" w:rsidRPr="00236128" w:rsidRDefault="00E54280" w:rsidP="00071B2D">
      <w:pPr>
        <w:pStyle w:val="SingleTxtG"/>
        <w:rPr>
          <w:lang w:val="en-GB"/>
        </w:rPr>
      </w:pPr>
      <w:r w:rsidRPr="00236128">
        <w:rPr>
          <w:lang w:val="en-GB"/>
        </w:rPr>
        <w:t>3.1</w:t>
      </w:r>
      <w:r w:rsidRPr="00236128">
        <w:rPr>
          <w:lang w:val="en-GB"/>
        </w:rPr>
        <w:tab/>
        <w:t xml:space="preserve">The author claims that the fine imposed </w:t>
      </w:r>
      <w:r w:rsidR="00677568">
        <w:rPr>
          <w:lang w:val="en-GB"/>
        </w:rPr>
        <w:t xml:space="preserve">on him </w:t>
      </w:r>
      <w:r w:rsidRPr="00236128">
        <w:rPr>
          <w:lang w:val="en-GB"/>
        </w:rPr>
        <w:t xml:space="preserve">by the </w:t>
      </w:r>
      <w:r w:rsidR="007D5900">
        <w:rPr>
          <w:lang w:val="en-GB"/>
        </w:rPr>
        <w:t>Election Commission</w:t>
      </w:r>
      <w:r w:rsidRPr="00236128">
        <w:rPr>
          <w:lang w:val="en-GB"/>
        </w:rPr>
        <w:t xml:space="preserve">, due to his failure to vote </w:t>
      </w:r>
      <w:r w:rsidR="002878C0" w:rsidRPr="00236128">
        <w:rPr>
          <w:lang w:val="en-GB"/>
        </w:rPr>
        <w:t>at</w:t>
      </w:r>
      <w:r w:rsidRPr="00236128">
        <w:rPr>
          <w:lang w:val="en-GB"/>
        </w:rPr>
        <w:t xml:space="preserve"> the </w:t>
      </w:r>
      <w:r w:rsidR="00577F30" w:rsidRPr="00236128">
        <w:rPr>
          <w:lang w:val="en-GB"/>
        </w:rPr>
        <w:t xml:space="preserve">2010 </w:t>
      </w:r>
      <w:r w:rsidRPr="00236128">
        <w:rPr>
          <w:lang w:val="en-GB"/>
        </w:rPr>
        <w:t>federal elections</w:t>
      </w:r>
      <w:r w:rsidR="00677568">
        <w:rPr>
          <w:lang w:val="en-GB"/>
        </w:rPr>
        <w:t>,</w:t>
      </w:r>
      <w:r w:rsidR="00577F30" w:rsidRPr="00236128">
        <w:rPr>
          <w:lang w:val="en-GB"/>
        </w:rPr>
        <w:t xml:space="preserve"> in application </w:t>
      </w:r>
      <w:r w:rsidRPr="00236128">
        <w:rPr>
          <w:lang w:val="en-GB"/>
        </w:rPr>
        <w:t>of the Commonwealth Electoral Act constitute</w:t>
      </w:r>
      <w:r w:rsidR="00577F30" w:rsidRPr="00236128">
        <w:rPr>
          <w:lang w:val="en-GB"/>
        </w:rPr>
        <w:t>s</w:t>
      </w:r>
      <w:r w:rsidRPr="00236128">
        <w:rPr>
          <w:lang w:val="en-GB"/>
        </w:rPr>
        <w:t xml:space="preserve"> a violation by Australia of his right</w:t>
      </w:r>
      <w:r w:rsidR="00677568">
        <w:rPr>
          <w:lang w:val="en-GB"/>
        </w:rPr>
        <w:t>s</w:t>
      </w:r>
      <w:r w:rsidRPr="00236128">
        <w:rPr>
          <w:lang w:val="en-GB"/>
        </w:rPr>
        <w:t xml:space="preserve"> under articles 17</w:t>
      </w:r>
      <w:r w:rsidR="00813195" w:rsidRPr="00236128">
        <w:rPr>
          <w:lang w:val="en-GB"/>
        </w:rPr>
        <w:t xml:space="preserve"> and</w:t>
      </w:r>
      <w:r w:rsidRPr="00236128">
        <w:rPr>
          <w:lang w:val="en-GB"/>
        </w:rPr>
        <w:t xml:space="preserve"> 18</w:t>
      </w:r>
      <w:r w:rsidR="00813195" w:rsidRPr="00236128">
        <w:rPr>
          <w:lang w:val="en-GB"/>
        </w:rPr>
        <w:t>, read alone and</w:t>
      </w:r>
      <w:r w:rsidR="00D448B9" w:rsidRPr="00236128">
        <w:rPr>
          <w:lang w:val="en-GB"/>
        </w:rPr>
        <w:t xml:space="preserve"> in </w:t>
      </w:r>
      <w:r w:rsidR="00FF2C7F" w:rsidRPr="00236128">
        <w:rPr>
          <w:lang w:val="en-GB"/>
        </w:rPr>
        <w:t>conjunction</w:t>
      </w:r>
      <w:r w:rsidR="00D448B9" w:rsidRPr="00236128">
        <w:rPr>
          <w:lang w:val="en-GB"/>
        </w:rPr>
        <w:t xml:space="preserve"> with article</w:t>
      </w:r>
      <w:r w:rsidR="00677568">
        <w:rPr>
          <w:lang w:val="en-GB"/>
        </w:rPr>
        <w:t>s</w:t>
      </w:r>
      <w:r w:rsidR="00D448B9" w:rsidRPr="00236128">
        <w:rPr>
          <w:lang w:val="en-GB"/>
        </w:rPr>
        <w:t xml:space="preserve"> 2</w:t>
      </w:r>
      <w:r w:rsidR="00677568">
        <w:rPr>
          <w:lang w:val="en-GB"/>
        </w:rPr>
        <w:t> </w:t>
      </w:r>
      <w:r w:rsidR="00813195" w:rsidRPr="00236128">
        <w:rPr>
          <w:lang w:val="en-GB"/>
        </w:rPr>
        <w:t>(2) and (3)</w:t>
      </w:r>
      <w:r w:rsidR="00D448B9" w:rsidRPr="00236128">
        <w:rPr>
          <w:lang w:val="en-GB"/>
        </w:rPr>
        <w:t xml:space="preserve">, </w:t>
      </w:r>
      <w:r w:rsidR="00BB610D" w:rsidRPr="00236128">
        <w:rPr>
          <w:lang w:val="en-GB"/>
        </w:rPr>
        <w:t>26</w:t>
      </w:r>
      <w:r w:rsidRPr="00236128">
        <w:rPr>
          <w:lang w:val="en-GB"/>
        </w:rPr>
        <w:t xml:space="preserve"> </w:t>
      </w:r>
      <w:r w:rsidR="001D1106" w:rsidRPr="00236128">
        <w:rPr>
          <w:lang w:val="en-GB"/>
        </w:rPr>
        <w:t xml:space="preserve">and 50 </w:t>
      </w:r>
      <w:r w:rsidRPr="00236128">
        <w:rPr>
          <w:lang w:val="en-GB"/>
        </w:rPr>
        <w:t>of the Covenant.</w:t>
      </w:r>
      <w:r w:rsidR="00D448B9" w:rsidRPr="00236128">
        <w:rPr>
          <w:lang w:val="en-GB"/>
        </w:rPr>
        <w:t xml:space="preserve"> </w:t>
      </w:r>
    </w:p>
    <w:p w14:paraId="611C3432" w14:textId="6C07B2A9" w:rsidR="00E54280" w:rsidRPr="00236128" w:rsidRDefault="00071B2D" w:rsidP="007A6388">
      <w:pPr>
        <w:pStyle w:val="SingleTxtG"/>
        <w:rPr>
          <w:lang w:val="en-GB"/>
        </w:rPr>
      </w:pPr>
      <w:r w:rsidRPr="00236128">
        <w:rPr>
          <w:lang w:val="en-GB"/>
        </w:rPr>
        <w:t>3.2</w:t>
      </w:r>
      <w:r w:rsidR="00E54280" w:rsidRPr="00236128">
        <w:rPr>
          <w:lang w:val="en-GB"/>
        </w:rPr>
        <w:tab/>
        <w:t xml:space="preserve">The author contends that the </w:t>
      </w:r>
      <w:r w:rsidR="00886EB3">
        <w:rPr>
          <w:lang w:val="en-GB"/>
        </w:rPr>
        <w:t>n</w:t>
      </w:r>
      <w:r w:rsidR="00886EB3" w:rsidRPr="00375D14">
        <w:rPr>
          <w:lang w:val="en-GB"/>
        </w:rPr>
        <w:t xml:space="preserve">otice </w:t>
      </w:r>
      <w:r w:rsidR="00886EB3">
        <w:rPr>
          <w:lang w:val="en-GB"/>
        </w:rPr>
        <w:t>informing him of his a</w:t>
      </w:r>
      <w:r w:rsidR="00E54280" w:rsidRPr="00236128">
        <w:rPr>
          <w:lang w:val="en-GB"/>
        </w:rPr>
        <w:t xml:space="preserve">pparent </w:t>
      </w:r>
      <w:r w:rsidR="00886EB3">
        <w:rPr>
          <w:lang w:val="en-GB"/>
        </w:rPr>
        <w:t>f</w:t>
      </w:r>
      <w:r w:rsidR="00E54280" w:rsidRPr="00236128">
        <w:rPr>
          <w:lang w:val="en-GB"/>
        </w:rPr>
        <w:t xml:space="preserve">ailure to </w:t>
      </w:r>
      <w:r w:rsidR="00886EB3">
        <w:rPr>
          <w:lang w:val="en-GB"/>
        </w:rPr>
        <w:t>v</w:t>
      </w:r>
      <w:r w:rsidR="00E54280" w:rsidRPr="00236128">
        <w:rPr>
          <w:lang w:val="en-GB"/>
        </w:rPr>
        <w:t xml:space="preserve">ote </w:t>
      </w:r>
      <w:r w:rsidR="008F6C28" w:rsidRPr="00236128">
        <w:rPr>
          <w:lang w:val="en-GB"/>
        </w:rPr>
        <w:t xml:space="preserve">gave him three options: to pay a fine, to go to court or to provide a justification to the </w:t>
      </w:r>
      <w:r w:rsidR="007D5900">
        <w:rPr>
          <w:lang w:val="en-GB"/>
        </w:rPr>
        <w:t>Election Commission</w:t>
      </w:r>
      <w:r w:rsidR="008F6C28" w:rsidRPr="00236128">
        <w:rPr>
          <w:lang w:val="en-GB"/>
        </w:rPr>
        <w:t xml:space="preserve"> for not </w:t>
      </w:r>
      <w:r w:rsidR="00DA3538">
        <w:rPr>
          <w:lang w:val="en-GB"/>
        </w:rPr>
        <w:t xml:space="preserve">having </w:t>
      </w:r>
      <w:r w:rsidR="008F6C28" w:rsidRPr="00236128">
        <w:rPr>
          <w:lang w:val="en-GB"/>
        </w:rPr>
        <w:t>vot</w:t>
      </w:r>
      <w:r w:rsidR="00DA3538">
        <w:rPr>
          <w:lang w:val="en-GB"/>
        </w:rPr>
        <w:t>ed</w:t>
      </w:r>
      <w:r w:rsidR="008F6C28" w:rsidRPr="00236128">
        <w:rPr>
          <w:lang w:val="en-GB"/>
        </w:rPr>
        <w:t xml:space="preserve">. Since his </w:t>
      </w:r>
      <w:r w:rsidR="00FC7CC0" w:rsidRPr="00236128">
        <w:rPr>
          <w:lang w:val="en-GB"/>
        </w:rPr>
        <w:t>reasons</w:t>
      </w:r>
      <w:r w:rsidR="008F6C28" w:rsidRPr="00236128">
        <w:rPr>
          <w:lang w:val="en-GB"/>
        </w:rPr>
        <w:t xml:space="preserve"> for abstaining to vote were his thoughts, beliefs and opinions, the</w:t>
      </w:r>
      <w:r w:rsidR="00F36537" w:rsidRPr="00236128">
        <w:rPr>
          <w:lang w:val="en-GB"/>
        </w:rPr>
        <w:t xml:space="preserve"> notice</w:t>
      </w:r>
      <w:r w:rsidR="008F6C28" w:rsidRPr="00236128">
        <w:rPr>
          <w:lang w:val="en-GB"/>
        </w:rPr>
        <w:t xml:space="preserve"> compelled him to reveal them.</w:t>
      </w:r>
      <w:r w:rsidR="00FC7CC0" w:rsidRPr="00236128">
        <w:rPr>
          <w:lang w:val="en-GB"/>
        </w:rPr>
        <w:t xml:space="preserve"> </w:t>
      </w:r>
      <w:r w:rsidR="00577F30" w:rsidRPr="00236128">
        <w:rPr>
          <w:lang w:val="en-GB"/>
        </w:rPr>
        <w:t xml:space="preserve">However, </w:t>
      </w:r>
      <w:r w:rsidR="00FC7CC0" w:rsidRPr="00236128">
        <w:rPr>
          <w:lang w:val="en-GB"/>
        </w:rPr>
        <w:t xml:space="preserve">his reasons are private and he should not be required to </w:t>
      </w:r>
      <w:r w:rsidR="00577F30" w:rsidRPr="00236128">
        <w:rPr>
          <w:lang w:val="en-GB"/>
        </w:rPr>
        <w:t>reveal</w:t>
      </w:r>
      <w:r w:rsidR="00FC7CC0" w:rsidRPr="00236128">
        <w:rPr>
          <w:lang w:val="en-GB"/>
        </w:rPr>
        <w:t xml:space="preserve"> them. </w:t>
      </w:r>
      <w:r w:rsidR="008F6C28" w:rsidRPr="00236128">
        <w:rPr>
          <w:lang w:val="en-GB"/>
        </w:rPr>
        <w:t>Therefore</w:t>
      </w:r>
      <w:r w:rsidR="00577F30" w:rsidRPr="00236128">
        <w:rPr>
          <w:lang w:val="en-GB"/>
        </w:rPr>
        <w:t>,</w:t>
      </w:r>
      <w:r w:rsidR="008F6C28" w:rsidRPr="00236128">
        <w:rPr>
          <w:lang w:val="en-GB"/>
        </w:rPr>
        <w:t xml:space="preserve"> in practice, t</w:t>
      </w:r>
      <w:r w:rsidR="00E54280" w:rsidRPr="00236128">
        <w:rPr>
          <w:lang w:val="en-GB"/>
        </w:rPr>
        <w:t xml:space="preserve">he </w:t>
      </w:r>
      <w:r w:rsidR="00577F30" w:rsidRPr="00236128">
        <w:rPr>
          <w:lang w:val="en-GB"/>
        </w:rPr>
        <w:t>notice</w:t>
      </w:r>
      <w:r w:rsidR="00E54280" w:rsidRPr="00236128">
        <w:rPr>
          <w:lang w:val="en-GB"/>
        </w:rPr>
        <w:t xml:space="preserve"> constitutes an arbitrary interference with his privacy</w:t>
      </w:r>
      <w:r w:rsidR="00577F30" w:rsidRPr="00236128">
        <w:rPr>
          <w:lang w:val="en-GB"/>
        </w:rPr>
        <w:t>,</w:t>
      </w:r>
      <w:r w:rsidR="00E54280" w:rsidRPr="00236128">
        <w:rPr>
          <w:lang w:val="en-GB"/>
        </w:rPr>
        <w:t xml:space="preserve"> </w:t>
      </w:r>
      <w:r w:rsidR="00FC7CC0" w:rsidRPr="00236128">
        <w:rPr>
          <w:lang w:val="en-GB"/>
        </w:rPr>
        <w:t xml:space="preserve">in </w:t>
      </w:r>
      <w:r w:rsidR="00DA3538">
        <w:rPr>
          <w:lang w:val="en-GB"/>
        </w:rPr>
        <w:t>violation</w:t>
      </w:r>
      <w:r w:rsidR="00DA3538" w:rsidRPr="00236128">
        <w:rPr>
          <w:lang w:val="en-GB"/>
        </w:rPr>
        <w:t xml:space="preserve"> </w:t>
      </w:r>
      <w:r w:rsidR="00FC7CC0" w:rsidRPr="00236128">
        <w:rPr>
          <w:lang w:val="en-GB"/>
        </w:rPr>
        <w:t>of</w:t>
      </w:r>
      <w:r w:rsidR="00E54280" w:rsidRPr="00236128">
        <w:rPr>
          <w:lang w:val="en-GB"/>
        </w:rPr>
        <w:t xml:space="preserve"> article 17 of the Covenant.</w:t>
      </w:r>
      <w:r w:rsidR="008F6C28" w:rsidRPr="00236128">
        <w:rPr>
          <w:rStyle w:val="FootnoteReference"/>
          <w:lang w:val="en-GB"/>
        </w:rPr>
        <w:footnoteReference w:id="4"/>
      </w:r>
    </w:p>
    <w:p w14:paraId="120B4FDD" w14:textId="3E4E347D" w:rsidR="00E6112F" w:rsidRPr="00236128" w:rsidRDefault="00E54280" w:rsidP="007A6388">
      <w:pPr>
        <w:pStyle w:val="SingleTxtG"/>
        <w:rPr>
          <w:lang w:val="en-GB"/>
        </w:rPr>
      </w:pPr>
      <w:r w:rsidRPr="00236128">
        <w:rPr>
          <w:lang w:val="en-GB"/>
        </w:rPr>
        <w:t xml:space="preserve">3.3 </w:t>
      </w:r>
      <w:r w:rsidRPr="00236128">
        <w:rPr>
          <w:lang w:val="en-GB"/>
        </w:rPr>
        <w:tab/>
        <w:t>T</w:t>
      </w:r>
      <w:r w:rsidR="00F36537" w:rsidRPr="00236128">
        <w:rPr>
          <w:lang w:val="en-GB"/>
        </w:rPr>
        <w:t>he author claims that the p</w:t>
      </w:r>
      <w:r w:rsidRPr="00236128">
        <w:rPr>
          <w:lang w:val="en-GB"/>
        </w:rPr>
        <w:t>enalty notice violated his right</w:t>
      </w:r>
      <w:r w:rsidR="00DA3538">
        <w:rPr>
          <w:lang w:val="en-GB"/>
        </w:rPr>
        <w:t>s</w:t>
      </w:r>
      <w:r w:rsidRPr="00236128">
        <w:rPr>
          <w:lang w:val="en-GB"/>
        </w:rPr>
        <w:t xml:space="preserve"> under article 18 of the Covenant</w:t>
      </w:r>
      <w:r w:rsidR="00DA3538">
        <w:rPr>
          <w:lang w:val="en-GB"/>
        </w:rPr>
        <w:t xml:space="preserve"> by </w:t>
      </w:r>
      <w:r w:rsidR="00E6112F" w:rsidRPr="00236128">
        <w:rPr>
          <w:lang w:val="en-GB"/>
        </w:rPr>
        <w:t>limit</w:t>
      </w:r>
      <w:r w:rsidR="00DA3538">
        <w:rPr>
          <w:lang w:val="en-GB"/>
        </w:rPr>
        <w:t>ing</w:t>
      </w:r>
      <w:r w:rsidR="00E6112F" w:rsidRPr="00236128">
        <w:rPr>
          <w:lang w:val="en-GB"/>
        </w:rPr>
        <w:t xml:space="preserve"> his freedom to </w:t>
      </w:r>
      <w:r w:rsidR="00034888" w:rsidRPr="00236128">
        <w:rPr>
          <w:lang w:val="en-GB"/>
        </w:rPr>
        <w:t>manifest</w:t>
      </w:r>
      <w:r w:rsidR="00E6112F" w:rsidRPr="00236128">
        <w:rPr>
          <w:lang w:val="en-GB"/>
        </w:rPr>
        <w:t xml:space="preserve"> </w:t>
      </w:r>
      <w:r w:rsidR="006F0852" w:rsidRPr="00236128">
        <w:rPr>
          <w:lang w:val="en-GB"/>
        </w:rPr>
        <w:t>his</w:t>
      </w:r>
      <w:r w:rsidR="00E6112F" w:rsidRPr="00236128">
        <w:rPr>
          <w:lang w:val="en-GB"/>
        </w:rPr>
        <w:t xml:space="preserve"> beliefs</w:t>
      </w:r>
      <w:r w:rsidR="00244E02">
        <w:rPr>
          <w:lang w:val="en-GB"/>
        </w:rPr>
        <w:t>. Such a limitation</w:t>
      </w:r>
      <w:r w:rsidR="00034888" w:rsidRPr="00236128">
        <w:rPr>
          <w:lang w:val="en-GB"/>
        </w:rPr>
        <w:t xml:space="preserve"> cannot be justified under article 18</w:t>
      </w:r>
      <w:r w:rsidR="00DA3538">
        <w:rPr>
          <w:lang w:val="en-GB"/>
        </w:rPr>
        <w:t> </w:t>
      </w:r>
      <w:r w:rsidR="00034888" w:rsidRPr="00236128">
        <w:rPr>
          <w:lang w:val="en-GB"/>
        </w:rPr>
        <w:t xml:space="preserve">(3) of the Covenant. </w:t>
      </w:r>
      <w:r w:rsidR="008F6C28" w:rsidRPr="00236128">
        <w:rPr>
          <w:lang w:val="en-GB"/>
        </w:rPr>
        <w:t xml:space="preserve">The author points out that although he </w:t>
      </w:r>
      <w:r w:rsidR="00577F30" w:rsidRPr="00236128">
        <w:rPr>
          <w:lang w:val="en-GB"/>
        </w:rPr>
        <w:lastRenderedPageBreak/>
        <w:t xml:space="preserve">explained to </w:t>
      </w:r>
      <w:r w:rsidR="008F6C28" w:rsidRPr="00236128">
        <w:rPr>
          <w:lang w:val="en-GB"/>
        </w:rPr>
        <w:t xml:space="preserve">the </w:t>
      </w:r>
      <w:r w:rsidR="007D5900">
        <w:rPr>
          <w:lang w:val="en-GB"/>
        </w:rPr>
        <w:t>Election Commission</w:t>
      </w:r>
      <w:r w:rsidR="008F6C28" w:rsidRPr="00236128">
        <w:rPr>
          <w:lang w:val="en-GB"/>
        </w:rPr>
        <w:t xml:space="preserve"> </w:t>
      </w:r>
      <w:r w:rsidR="00577F30" w:rsidRPr="00236128">
        <w:rPr>
          <w:lang w:val="en-GB"/>
        </w:rPr>
        <w:t xml:space="preserve">that his decision not to vote was based on </w:t>
      </w:r>
      <w:r w:rsidR="008F6C28" w:rsidRPr="00236128">
        <w:rPr>
          <w:lang w:val="en-GB"/>
        </w:rPr>
        <w:t xml:space="preserve">his non-religious </w:t>
      </w:r>
      <w:r w:rsidR="00175209" w:rsidRPr="00236128">
        <w:rPr>
          <w:lang w:val="en-GB"/>
        </w:rPr>
        <w:t>belief</w:t>
      </w:r>
      <w:r w:rsidR="00A52CA5" w:rsidRPr="00236128">
        <w:rPr>
          <w:lang w:val="en-GB"/>
        </w:rPr>
        <w:t xml:space="preserve">, the </w:t>
      </w:r>
      <w:r w:rsidR="007D5900">
        <w:rPr>
          <w:lang w:val="en-GB"/>
        </w:rPr>
        <w:t>Election Commission</w:t>
      </w:r>
      <w:r w:rsidR="00A52CA5" w:rsidRPr="00236128">
        <w:rPr>
          <w:lang w:val="en-GB"/>
        </w:rPr>
        <w:t xml:space="preserve"> considered that </w:t>
      </w:r>
      <w:r w:rsidR="000A7783" w:rsidRPr="00236128">
        <w:rPr>
          <w:lang w:val="en-GB"/>
        </w:rPr>
        <w:t>this</w:t>
      </w:r>
      <w:r w:rsidR="00A52CA5" w:rsidRPr="00236128">
        <w:rPr>
          <w:lang w:val="en-GB"/>
        </w:rPr>
        <w:t xml:space="preserve"> was not a valid and suf</w:t>
      </w:r>
      <w:r w:rsidR="00F36537" w:rsidRPr="00236128">
        <w:rPr>
          <w:lang w:val="en-GB"/>
        </w:rPr>
        <w:t>ficient reason</w:t>
      </w:r>
      <w:r w:rsidR="00A52CA5" w:rsidRPr="00236128">
        <w:rPr>
          <w:lang w:val="en-GB"/>
        </w:rPr>
        <w:t xml:space="preserve">. He further </w:t>
      </w:r>
      <w:r w:rsidR="006F0852" w:rsidRPr="00236128">
        <w:rPr>
          <w:lang w:val="en-GB"/>
        </w:rPr>
        <w:t>points out</w:t>
      </w:r>
      <w:r w:rsidR="00A52CA5" w:rsidRPr="00236128">
        <w:rPr>
          <w:lang w:val="en-GB"/>
        </w:rPr>
        <w:t xml:space="preserve"> that article 18 of the Covenant protects the right not to</w:t>
      </w:r>
      <w:r w:rsidR="006F0852" w:rsidRPr="00236128">
        <w:rPr>
          <w:lang w:val="en-GB"/>
        </w:rPr>
        <w:t xml:space="preserve"> profess any religion or belief;</w:t>
      </w:r>
      <w:r w:rsidR="00A52CA5" w:rsidRPr="00236128">
        <w:rPr>
          <w:rStyle w:val="FootnoteReference"/>
          <w:lang w:val="en-GB"/>
        </w:rPr>
        <w:footnoteReference w:id="5"/>
      </w:r>
      <w:r w:rsidR="006F0852" w:rsidRPr="00236128">
        <w:rPr>
          <w:lang w:val="en-GB"/>
        </w:rPr>
        <w:t xml:space="preserve"> and that</w:t>
      </w:r>
      <w:r w:rsidR="001D0534">
        <w:rPr>
          <w:lang w:val="en-GB"/>
        </w:rPr>
        <w:t>,</w:t>
      </w:r>
      <w:r w:rsidR="009F46D0" w:rsidRPr="00236128">
        <w:rPr>
          <w:lang w:val="en-GB"/>
        </w:rPr>
        <w:t xml:space="preserve"> although his reason</w:t>
      </w:r>
      <w:r w:rsidR="00244E02">
        <w:rPr>
          <w:lang w:val="en-GB"/>
        </w:rPr>
        <w:t>s</w:t>
      </w:r>
      <w:r w:rsidR="009F46D0" w:rsidRPr="00236128">
        <w:rPr>
          <w:lang w:val="en-GB"/>
        </w:rPr>
        <w:t xml:space="preserve"> for not voting can be perceived as an opinion, in his case, it was predominantly a manifestation of his belief driven by long</w:t>
      </w:r>
      <w:r w:rsidR="00244E02">
        <w:rPr>
          <w:lang w:val="en-GB"/>
        </w:rPr>
        <w:t>-</w:t>
      </w:r>
      <w:r w:rsidR="009F46D0" w:rsidRPr="00236128">
        <w:rPr>
          <w:lang w:val="en-GB"/>
        </w:rPr>
        <w:t xml:space="preserve">term non-religious convictions related to values such as honesty, accountability, legitimacy, decency and mutual obligations between electors and politicians. </w:t>
      </w:r>
    </w:p>
    <w:p w14:paraId="570381C3" w14:textId="1621AFA7" w:rsidR="00E54280" w:rsidRPr="00236128" w:rsidRDefault="00117164" w:rsidP="007A6388">
      <w:pPr>
        <w:pStyle w:val="SingleTxtG"/>
        <w:rPr>
          <w:lang w:val="en-GB"/>
        </w:rPr>
      </w:pPr>
      <w:r w:rsidRPr="00236128">
        <w:rPr>
          <w:lang w:val="en-GB"/>
        </w:rPr>
        <w:t xml:space="preserve">3.4 </w:t>
      </w:r>
      <w:r w:rsidRPr="00236128">
        <w:rPr>
          <w:lang w:val="en-GB"/>
        </w:rPr>
        <w:tab/>
      </w:r>
      <w:r w:rsidR="00E6112F" w:rsidRPr="00236128">
        <w:rPr>
          <w:lang w:val="en-GB"/>
        </w:rPr>
        <w:t xml:space="preserve">The penalty notice by the </w:t>
      </w:r>
      <w:r w:rsidR="007D5900">
        <w:rPr>
          <w:lang w:val="en-GB"/>
        </w:rPr>
        <w:t>Election Commission</w:t>
      </w:r>
      <w:r w:rsidR="00E6112F" w:rsidRPr="00236128">
        <w:rPr>
          <w:lang w:val="en-GB"/>
        </w:rPr>
        <w:t xml:space="preserve"> was also discriminatory</w:t>
      </w:r>
      <w:r w:rsidR="001D1106" w:rsidRPr="00236128">
        <w:rPr>
          <w:lang w:val="en-GB"/>
        </w:rPr>
        <w:t xml:space="preserve"> on religious grounds</w:t>
      </w:r>
      <w:r w:rsidR="00E6112F" w:rsidRPr="00236128">
        <w:rPr>
          <w:lang w:val="en-GB"/>
        </w:rPr>
        <w:t xml:space="preserve">. </w:t>
      </w:r>
      <w:r w:rsidR="009E0270" w:rsidRPr="00236128">
        <w:rPr>
          <w:lang w:val="en-GB"/>
        </w:rPr>
        <w:t xml:space="preserve">Although </w:t>
      </w:r>
      <w:r w:rsidR="00244E02">
        <w:rPr>
          <w:lang w:val="en-GB"/>
        </w:rPr>
        <w:t>s</w:t>
      </w:r>
      <w:r w:rsidR="003D16AF" w:rsidRPr="00236128">
        <w:rPr>
          <w:lang w:val="en-GB"/>
        </w:rPr>
        <w:t>ubs</w:t>
      </w:r>
      <w:r w:rsidR="009E0270" w:rsidRPr="00236128">
        <w:rPr>
          <w:lang w:val="en-GB"/>
        </w:rPr>
        <w:t>ection 245</w:t>
      </w:r>
      <w:r w:rsidR="00244E02">
        <w:rPr>
          <w:lang w:val="en-GB"/>
        </w:rPr>
        <w:t> </w:t>
      </w:r>
      <w:r w:rsidR="009E0270" w:rsidRPr="00236128">
        <w:rPr>
          <w:lang w:val="en-GB"/>
        </w:rPr>
        <w:t xml:space="preserve">(14) of the </w:t>
      </w:r>
      <w:r w:rsidR="007D5900">
        <w:rPr>
          <w:lang w:val="en-GB"/>
        </w:rPr>
        <w:t>Commonwealth Electoral Act</w:t>
      </w:r>
      <w:r w:rsidR="009E0270" w:rsidRPr="00236128">
        <w:rPr>
          <w:lang w:val="en-GB"/>
        </w:rPr>
        <w:t xml:space="preserve"> does not </w:t>
      </w:r>
      <w:r w:rsidR="003D16AF" w:rsidRPr="00236128">
        <w:rPr>
          <w:lang w:val="en-GB"/>
        </w:rPr>
        <w:t>limit the kind of beliefs that may constitute a valid reason for no</w:t>
      </w:r>
      <w:r w:rsidR="00244E02">
        <w:rPr>
          <w:lang w:val="en-GB"/>
        </w:rPr>
        <w:t>t</w:t>
      </w:r>
      <w:r w:rsidR="003D16AF" w:rsidRPr="00236128">
        <w:rPr>
          <w:lang w:val="en-GB"/>
        </w:rPr>
        <w:t xml:space="preserve"> voting</w:t>
      </w:r>
      <w:r w:rsidR="009E0270" w:rsidRPr="00236128">
        <w:rPr>
          <w:lang w:val="en-GB"/>
        </w:rPr>
        <w:t>, in practice the State party’s electoral authorities have restricted it to certain belief</w:t>
      </w:r>
      <w:r w:rsidR="00920161" w:rsidRPr="00236128">
        <w:rPr>
          <w:lang w:val="en-GB"/>
        </w:rPr>
        <w:t>s</w:t>
      </w:r>
      <w:r w:rsidR="009E0270" w:rsidRPr="00236128">
        <w:rPr>
          <w:lang w:val="en-GB"/>
        </w:rPr>
        <w:t xml:space="preserve">. </w:t>
      </w:r>
      <w:r w:rsidR="00E54280" w:rsidRPr="00236128">
        <w:rPr>
          <w:lang w:val="en-GB"/>
        </w:rPr>
        <w:t xml:space="preserve">If </w:t>
      </w:r>
      <w:r w:rsidR="001D0534">
        <w:rPr>
          <w:lang w:val="en-GB"/>
        </w:rPr>
        <w:t>the author</w:t>
      </w:r>
      <w:r w:rsidR="001D0534" w:rsidRPr="00236128">
        <w:rPr>
          <w:lang w:val="en-GB"/>
        </w:rPr>
        <w:t xml:space="preserve"> </w:t>
      </w:r>
      <w:r w:rsidR="00244E02">
        <w:rPr>
          <w:lang w:val="en-GB"/>
        </w:rPr>
        <w:t>had</w:t>
      </w:r>
      <w:r w:rsidR="00E54280" w:rsidRPr="00236128">
        <w:rPr>
          <w:lang w:val="en-GB"/>
        </w:rPr>
        <w:t xml:space="preserve"> professed a particular religion or </w:t>
      </w:r>
      <w:r w:rsidR="00E6112F" w:rsidRPr="00236128">
        <w:rPr>
          <w:lang w:val="en-GB"/>
        </w:rPr>
        <w:t xml:space="preserve">religious </w:t>
      </w:r>
      <w:r w:rsidR="00E54280" w:rsidRPr="00236128">
        <w:rPr>
          <w:lang w:val="en-GB"/>
        </w:rPr>
        <w:t>belief</w:t>
      </w:r>
      <w:r w:rsidR="00055BF4">
        <w:rPr>
          <w:lang w:val="en-GB"/>
        </w:rPr>
        <w:t>,</w:t>
      </w:r>
      <w:r w:rsidR="00E54280" w:rsidRPr="00236128">
        <w:rPr>
          <w:lang w:val="en-GB"/>
        </w:rPr>
        <w:t xml:space="preserve"> he would </w:t>
      </w:r>
      <w:r w:rsidR="001D0534" w:rsidRPr="000913DD">
        <w:rPr>
          <w:lang w:val="en-GB"/>
        </w:rPr>
        <w:t xml:space="preserve">not </w:t>
      </w:r>
      <w:r w:rsidR="00E54280" w:rsidRPr="00236128">
        <w:rPr>
          <w:lang w:val="en-GB"/>
        </w:rPr>
        <w:t xml:space="preserve">have been penalized. </w:t>
      </w:r>
      <w:r w:rsidR="009E0270" w:rsidRPr="00236128">
        <w:rPr>
          <w:lang w:val="en-GB"/>
        </w:rPr>
        <w:t xml:space="preserve">Therefore, in his case, the application of </w:t>
      </w:r>
      <w:r w:rsidR="00055BF4">
        <w:rPr>
          <w:lang w:val="en-GB"/>
        </w:rPr>
        <w:t>s</w:t>
      </w:r>
      <w:r w:rsidR="003D16AF" w:rsidRPr="00236128">
        <w:rPr>
          <w:lang w:val="en-GB"/>
        </w:rPr>
        <w:t>ub</w:t>
      </w:r>
      <w:r w:rsidR="009E0270" w:rsidRPr="00236128">
        <w:rPr>
          <w:lang w:val="en-GB"/>
        </w:rPr>
        <w:t>section 245</w:t>
      </w:r>
      <w:r w:rsidR="00055BF4">
        <w:rPr>
          <w:lang w:val="en-GB"/>
        </w:rPr>
        <w:t> </w:t>
      </w:r>
      <w:r w:rsidR="009E0270" w:rsidRPr="00236128">
        <w:rPr>
          <w:lang w:val="en-GB"/>
        </w:rPr>
        <w:t>(14) was discriminatory</w:t>
      </w:r>
      <w:r w:rsidR="00A97D02" w:rsidRPr="00236128">
        <w:rPr>
          <w:lang w:val="en-GB"/>
        </w:rPr>
        <w:t xml:space="preserve"> under article 26 of the Covenant.</w:t>
      </w:r>
    </w:p>
    <w:p w14:paraId="3C9603AF" w14:textId="61739545" w:rsidR="00A30EBB" w:rsidRPr="00236128" w:rsidRDefault="0062327E" w:rsidP="007A6388">
      <w:pPr>
        <w:pStyle w:val="SingleTxtG"/>
        <w:rPr>
          <w:lang w:val="en-GB"/>
        </w:rPr>
      </w:pPr>
      <w:r w:rsidRPr="00236128">
        <w:rPr>
          <w:lang w:val="en-GB"/>
        </w:rPr>
        <w:t>3.</w:t>
      </w:r>
      <w:r w:rsidR="00920161" w:rsidRPr="00236128">
        <w:rPr>
          <w:lang w:val="en-GB"/>
        </w:rPr>
        <w:t>5</w:t>
      </w:r>
      <w:r w:rsidR="00092D64" w:rsidRPr="00236128">
        <w:rPr>
          <w:lang w:val="en-GB"/>
        </w:rPr>
        <w:tab/>
        <w:t>The author claims that</w:t>
      </w:r>
      <w:r w:rsidR="0026291E">
        <w:rPr>
          <w:lang w:val="en-GB"/>
        </w:rPr>
        <w:t>:</w:t>
      </w:r>
      <w:r w:rsidR="00092D64" w:rsidRPr="00236128">
        <w:rPr>
          <w:lang w:val="en-GB"/>
        </w:rPr>
        <w:t xml:space="preserve"> </w:t>
      </w:r>
      <w:r w:rsidR="00D43F05">
        <w:rPr>
          <w:lang w:val="en-GB"/>
        </w:rPr>
        <w:t xml:space="preserve">(a) </w:t>
      </w:r>
      <w:r w:rsidR="005B04F4" w:rsidRPr="00236128">
        <w:rPr>
          <w:lang w:val="en-GB"/>
        </w:rPr>
        <w:t xml:space="preserve">the State party has failed to adopt </w:t>
      </w:r>
      <w:r w:rsidR="0026291E">
        <w:rPr>
          <w:lang w:val="en-GB"/>
        </w:rPr>
        <w:t xml:space="preserve">the </w:t>
      </w:r>
      <w:r w:rsidR="005B04F4" w:rsidRPr="00236128">
        <w:rPr>
          <w:lang w:val="en-GB"/>
        </w:rPr>
        <w:t>laws or other measures necessary to give effect to the rights recognized in the Covenant</w:t>
      </w:r>
      <w:r w:rsidR="0026291E">
        <w:rPr>
          <w:lang w:val="en-GB"/>
        </w:rPr>
        <w:t>;</w:t>
      </w:r>
      <w:r w:rsidR="005B04F4" w:rsidRPr="00236128">
        <w:rPr>
          <w:lang w:val="en-GB"/>
        </w:rPr>
        <w:t xml:space="preserve"> </w:t>
      </w:r>
      <w:r w:rsidR="00D43F05">
        <w:rPr>
          <w:lang w:val="en-GB"/>
        </w:rPr>
        <w:t xml:space="preserve">(b) </w:t>
      </w:r>
      <w:r w:rsidR="00092D64" w:rsidRPr="00236128">
        <w:rPr>
          <w:lang w:val="en-GB"/>
        </w:rPr>
        <w:t xml:space="preserve">he did not have effective access to a remedy </w:t>
      </w:r>
      <w:r w:rsidR="003D16AF" w:rsidRPr="00236128">
        <w:rPr>
          <w:lang w:val="en-GB"/>
        </w:rPr>
        <w:t xml:space="preserve">for </w:t>
      </w:r>
      <w:r w:rsidR="00920161" w:rsidRPr="00236128">
        <w:rPr>
          <w:lang w:val="en-GB"/>
        </w:rPr>
        <w:t xml:space="preserve">the violations of his rights under articles 17 and 18 of the Covenant </w:t>
      </w:r>
      <w:r w:rsidR="005B04F4" w:rsidRPr="00236128">
        <w:rPr>
          <w:lang w:val="en-GB"/>
        </w:rPr>
        <w:t xml:space="preserve">since </w:t>
      </w:r>
      <w:r w:rsidR="00092D64" w:rsidRPr="00236128">
        <w:rPr>
          <w:lang w:val="en-GB"/>
        </w:rPr>
        <w:t xml:space="preserve">the </w:t>
      </w:r>
      <w:r w:rsidR="007D5900">
        <w:rPr>
          <w:lang w:val="en-GB"/>
        </w:rPr>
        <w:t>Human Rights Commission</w:t>
      </w:r>
      <w:r w:rsidR="005B04F4" w:rsidRPr="00236128">
        <w:rPr>
          <w:lang w:val="en-GB"/>
        </w:rPr>
        <w:t xml:space="preserve"> lacks jurisdiction</w:t>
      </w:r>
      <w:r w:rsidR="00092D64" w:rsidRPr="00236128">
        <w:rPr>
          <w:lang w:val="en-GB"/>
        </w:rPr>
        <w:t xml:space="preserve"> to </w:t>
      </w:r>
      <w:r w:rsidR="00055BF4" w:rsidRPr="00236128">
        <w:rPr>
          <w:lang w:val="en-GB"/>
        </w:rPr>
        <w:t>in</w:t>
      </w:r>
      <w:r w:rsidR="00055BF4">
        <w:rPr>
          <w:lang w:val="en-GB"/>
        </w:rPr>
        <w:t>vestigate</w:t>
      </w:r>
      <w:r w:rsidR="00092D64" w:rsidRPr="00236128">
        <w:rPr>
          <w:lang w:val="en-GB"/>
        </w:rPr>
        <w:t xml:space="preserve"> claims of human rights violation</w:t>
      </w:r>
      <w:r w:rsidR="0026291E">
        <w:rPr>
          <w:lang w:val="en-GB"/>
        </w:rPr>
        <w:t>s</w:t>
      </w:r>
      <w:r w:rsidR="00092D64" w:rsidRPr="00236128">
        <w:rPr>
          <w:lang w:val="en-GB"/>
        </w:rPr>
        <w:t xml:space="preserve"> </w:t>
      </w:r>
      <w:r w:rsidR="0026291E">
        <w:rPr>
          <w:lang w:val="en-GB"/>
        </w:rPr>
        <w:t xml:space="preserve">that </w:t>
      </w:r>
      <w:r w:rsidR="00092D64" w:rsidRPr="00236128">
        <w:rPr>
          <w:lang w:val="en-GB"/>
        </w:rPr>
        <w:t>aris</w:t>
      </w:r>
      <w:r w:rsidR="0026291E">
        <w:rPr>
          <w:lang w:val="en-GB"/>
        </w:rPr>
        <w:t>e</w:t>
      </w:r>
      <w:r w:rsidR="00092D64" w:rsidRPr="00236128">
        <w:rPr>
          <w:lang w:val="en-GB"/>
        </w:rPr>
        <w:t xml:space="preserve"> </w:t>
      </w:r>
      <w:r w:rsidR="00D43F05">
        <w:rPr>
          <w:lang w:val="en-GB"/>
        </w:rPr>
        <w:t>from</w:t>
      </w:r>
      <w:r w:rsidR="00092D64" w:rsidRPr="00236128">
        <w:rPr>
          <w:lang w:val="en-GB"/>
        </w:rPr>
        <w:t xml:space="preserve"> the automatic enforcement of the law</w:t>
      </w:r>
      <w:r w:rsidR="005B04F4" w:rsidRPr="00236128">
        <w:rPr>
          <w:lang w:val="en-GB"/>
        </w:rPr>
        <w:t xml:space="preserve">; and </w:t>
      </w:r>
      <w:r w:rsidR="00D43F05">
        <w:rPr>
          <w:lang w:val="en-GB"/>
        </w:rPr>
        <w:t>(c) both (a)</w:t>
      </w:r>
      <w:r w:rsidR="00D43F05" w:rsidRPr="00236128">
        <w:rPr>
          <w:lang w:val="en-GB"/>
        </w:rPr>
        <w:t xml:space="preserve"> </w:t>
      </w:r>
      <w:r w:rsidR="00D43F05">
        <w:rPr>
          <w:lang w:val="en-GB"/>
        </w:rPr>
        <w:t xml:space="preserve">and (b) </w:t>
      </w:r>
      <w:r w:rsidR="00092D64" w:rsidRPr="00236128">
        <w:rPr>
          <w:lang w:val="en-GB"/>
        </w:rPr>
        <w:t xml:space="preserve">constitute a </w:t>
      </w:r>
      <w:r w:rsidR="00D43F05">
        <w:rPr>
          <w:lang w:val="en-GB"/>
        </w:rPr>
        <w:t>violation</w:t>
      </w:r>
      <w:r w:rsidR="00D43F05" w:rsidRPr="00236128">
        <w:rPr>
          <w:lang w:val="en-GB"/>
        </w:rPr>
        <w:t xml:space="preserve"> </w:t>
      </w:r>
      <w:r w:rsidR="00092D64" w:rsidRPr="00236128">
        <w:rPr>
          <w:lang w:val="en-GB"/>
        </w:rPr>
        <w:t>of the State party’s obligations under article 2</w:t>
      </w:r>
      <w:r w:rsidR="00D43F05">
        <w:rPr>
          <w:lang w:val="en-GB"/>
        </w:rPr>
        <w:t> </w:t>
      </w:r>
      <w:r w:rsidR="00092D64" w:rsidRPr="00236128">
        <w:rPr>
          <w:lang w:val="en-GB"/>
        </w:rPr>
        <w:t>(2) and (3).</w:t>
      </w:r>
    </w:p>
    <w:p w14:paraId="6218355A" w14:textId="77777777" w:rsidR="00920161" w:rsidRPr="00236128" w:rsidRDefault="00071B2D" w:rsidP="007A6388">
      <w:pPr>
        <w:pStyle w:val="SingleTxtG"/>
        <w:rPr>
          <w:lang w:val="en-GB"/>
        </w:rPr>
      </w:pPr>
      <w:r w:rsidRPr="00236128">
        <w:rPr>
          <w:lang w:val="en-GB"/>
        </w:rPr>
        <w:t>3.6</w:t>
      </w:r>
      <w:r w:rsidRPr="00236128">
        <w:rPr>
          <w:lang w:val="en-GB"/>
        </w:rPr>
        <w:tab/>
      </w:r>
      <w:r w:rsidR="00920161" w:rsidRPr="00236128">
        <w:rPr>
          <w:lang w:val="en-GB"/>
        </w:rPr>
        <w:t>The author claims that similar compulsory voting legislation is enforced in the other States and territories of the State party</w:t>
      </w:r>
      <w:r w:rsidR="003D16AF" w:rsidRPr="00236128">
        <w:rPr>
          <w:lang w:val="en-GB"/>
        </w:rPr>
        <w:t>, which constitutes a</w:t>
      </w:r>
      <w:r w:rsidR="00920161" w:rsidRPr="00236128">
        <w:rPr>
          <w:lang w:val="en-GB"/>
        </w:rPr>
        <w:t xml:space="preserve"> breach of its obligations under article 50 of the Covenant. </w:t>
      </w:r>
    </w:p>
    <w:p w14:paraId="55C3A34C" w14:textId="26A506F5" w:rsidR="00323FF5" w:rsidRPr="00236128" w:rsidRDefault="00071B2D" w:rsidP="00071B2D">
      <w:pPr>
        <w:pStyle w:val="H23G"/>
      </w:pPr>
      <w:r w:rsidRPr="00236128">
        <w:tab/>
      </w:r>
      <w:r w:rsidRPr="00236128">
        <w:tab/>
      </w:r>
      <w:r w:rsidR="00323FF5" w:rsidRPr="00236128">
        <w:t>State party’s observations on admissibility</w:t>
      </w:r>
      <w:r w:rsidR="00BB610D" w:rsidRPr="00236128">
        <w:t xml:space="preserve"> and </w:t>
      </w:r>
      <w:r w:rsidR="007D3524">
        <w:t xml:space="preserve">the </w:t>
      </w:r>
      <w:r w:rsidR="00BB610D" w:rsidRPr="00236128">
        <w:t>merits</w:t>
      </w:r>
    </w:p>
    <w:p w14:paraId="4D5C8023" w14:textId="769771ED" w:rsidR="00BB610D" w:rsidRPr="00236128" w:rsidRDefault="00323FF5" w:rsidP="007A6388">
      <w:pPr>
        <w:pStyle w:val="SingleTxtG"/>
        <w:rPr>
          <w:lang w:val="en-GB"/>
        </w:rPr>
      </w:pPr>
      <w:r w:rsidRPr="00236128">
        <w:rPr>
          <w:lang w:val="en-GB"/>
        </w:rPr>
        <w:t>4.1</w:t>
      </w:r>
      <w:r w:rsidRPr="00236128">
        <w:rPr>
          <w:lang w:val="en-GB"/>
        </w:rPr>
        <w:tab/>
        <w:t xml:space="preserve">On </w:t>
      </w:r>
      <w:r w:rsidR="00BB610D" w:rsidRPr="00236128">
        <w:rPr>
          <w:lang w:val="en-GB"/>
        </w:rPr>
        <w:t xml:space="preserve">21 January </w:t>
      </w:r>
      <w:r w:rsidR="003D16AF" w:rsidRPr="00236128">
        <w:rPr>
          <w:lang w:val="en-GB"/>
        </w:rPr>
        <w:t xml:space="preserve">and 3 October </w:t>
      </w:r>
      <w:r w:rsidR="00BB610D" w:rsidRPr="00236128">
        <w:rPr>
          <w:lang w:val="en-GB"/>
        </w:rPr>
        <w:t xml:space="preserve">2014, </w:t>
      </w:r>
      <w:r w:rsidRPr="00236128">
        <w:rPr>
          <w:lang w:val="en-GB"/>
        </w:rPr>
        <w:t xml:space="preserve">the State party submitted its observations </w:t>
      </w:r>
      <w:r w:rsidR="00BB610D" w:rsidRPr="00236128">
        <w:rPr>
          <w:lang w:val="en-GB"/>
        </w:rPr>
        <w:t xml:space="preserve">on admissibility and </w:t>
      </w:r>
      <w:r w:rsidR="00AB5041">
        <w:rPr>
          <w:lang w:val="en-GB"/>
        </w:rPr>
        <w:t xml:space="preserve">the </w:t>
      </w:r>
      <w:r w:rsidR="00BB610D" w:rsidRPr="00236128">
        <w:rPr>
          <w:lang w:val="en-GB"/>
        </w:rPr>
        <w:t xml:space="preserve">merits of the communication. It maintains that the author’s claims under articles 2, 17, 18, 26 and 50 of the Covenant are inadmissible as </w:t>
      </w:r>
      <w:r w:rsidR="007D3524">
        <w:rPr>
          <w:lang w:val="en-GB"/>
        </w:rPr>
        <w:t xml:space="preserve">they are </w:t>
      </w:r>
      <w:r w:rsidR="00BB610D" w:rsidRPr="00236128">
        <w:rPr>
          <w:lang w:val="en-GB"/>
        </w:rPr>
        <w:t xml:space="preserve">incompatible with the Covenant and </w:t>
      </w:r>
      <w:r w:rsidR="00DB6170">
        <w:rPr>
          <w:lang w:val="en-GB"/>
        </w:rPr>
        <w:t>are</w:t>
      </w:r>
      <w:r w:rsidR="00DB6170" w:rsidRPr="00236128">
        <w:rPr>
          <w:lang w:val="en-GB"/>
        </w:rPr>
        <w:t xml:space="preserve"> </w:t>
      </w:r>
      <w:r w:rsidR="00BB610D" w:rsidRPr="00236128">
        <w:rPr>
          <w:lang w:val="en-GB"/>
        </w:rPr>
        <w:t xml:space="preserve">not sufficiently substantiated. Should the Committee be of the view that any of the author’s allegations </w:t>
      </w:r>
      <w:r w:rsidR="00DB6170">
        <w:rPr>
          <w:lang w:val="en-GB"/>
        </w:rPr>
        <w:t>are</w:t>
      </w:r>
      <w:r w:rsidR="00DB6170" w:rsidRPr="00236128">
        <w:rPr>
          <w:lang w:val="en-GB"/>
        </w:rPr>
        <w:t xml:space="preserve"> </w:t>
      </w:r>
      <w:r w:rsidR="00BB610D" w:rsidRPr="00236128">
        <w:rPr>
          <w:lang w:val="en-GB"/>
        </w:rPr>
        <w:t xml:space="preserve">admissible, </w:t>
      </w:r>
      <w:r w:rsidR="003D16AF" w:rsidRPr="00236128">
        <w:rPr>
          <w:lang w:val="en-GB"/>
        </w:rPr>
        <w:t xml:space="preserve">the State party maintains that </w:t>
      </w:r>
      <w:r w:rsidR="00BB610D" w:rsidRPr="00236128">
        <w:rPr>
          <w:lang w:val="en-GB"/>
        </w:rPr>
        <w:t xml:space="preserve">they do not disclose a </w:t>
      </w:r>
      <w:r w:rsidR="002F3DB2" w:rsidRPr="00236128">
        <w:rPr>
          <w:lang w:val="en-GB"/>
        </w:rPr>
        <w:t>violation of the rights</w:t>
      </w:r>
      <w:r w:rsidR="00BB610D" w:rsidRPr="00236128">
        <w:rPr>
          <w:lang w:val="en-GB"/>
        </w:rPr>
        <w:t xml:space="preserve"> enshrined in the Covenant.</w:t>
      </w:r>
    </w:p>
    <w:p w14:paraId="70AC9D46" w14:textId="285BFB29" w:rsidR="00842252" w:rsidRPr="00236128" w:rsidRDefault="00BB610D" w:rsidP="00071B2D">
      <w:pPr>
        <w:pStyle w:val="SingleTxtG"/>
        <w:rPr>
          <w:lang w:val="en-GB"/>
        </w:rPr>
      </w:pPr>
      <w:r w:rsidRPr="00236128">
        <w:rPr>
          <w:lang w:val="en-GB"/>
        </w:rPr>
        <w:t xml:space="preserve">4.2 </w:t>
      </w:r>
      <w:r w:rsidRPr="00236128">
        <w:rPr>
          <w:lang w:val="en-GB"/>
        </w:rPr>
        <w:tab/>
      </w:r>
      <w:r w:rsidR="00842252" w:rsidRPr="00236128">
        <w:rPr>
          <w:lang w:val="en-GB"/>
        </w:rPr>
        <w:t>The State party’s electoral system is based upon the democratic principle of universal adult suffrage</w:t>
      </w:r>
      <w:r w:rsidR="007274ED">
        <w:rPr>
          <w:lang w:val="en-GB"/>
        </w:rPr>
        <w:t>, which is</w:t>
      </w:r>
      <w:r w:rsidR="00842252" w:rsidRPr="00236128">
        <w:rPr>
          <w:lang w:val="en-GB"/>
        </w:rPr>
        <w:t xml:space="preserve"> recognized in article 25</w:t>
      </w:r>
      <w:r w:rsidR="00DB6170">
        <w:rPr>
          <w:lang w:val="en-GB"/>
        </w:rPr>
        <w:t> </w:t>
      </w:r>
      <w:r w:rsidR="00842252" w:rsidRPr="00236128">
        <w:rPr>
          <w:lang w:val="en-GB"/>
        </w:rPr>
        <w:t xml:space="preserve">(b) of the Covenant. This system makes it compulsory for all Australian citizens </w:t>
      </w:r>
      <w:r w:rsidR="009E30CD">
        <w:rPr>
          <w:lang w:val="en-GB"/>
        </w:rPr>
        <w:t>who have attained</w:t>
      </w:r>
      <w:r w:rsidR="009E30CD" w:rsidRPr="00236128">
        <w:rPr>
          <w:lang w:val="en-GB"/>
        </w:rPr>
        <w:t xml:space="preserve"> </w:t>
      </w:r>
      <w:r w:rsidR="00842252" w:rsidRPr="00236128">
        <w:rPr>
          <w:lang w:val="en-GB"/>
        </w:rPr>
        <w:t>the age of 18 to vote. Subsection 245</w:t>
      </w:r>
      <w:r w:rsidR="007274ED">
        <w:rPr>
          <w:lang w:val="en-GB"/>
        </w:rPr>
        <w:t> </w:t>
      </w:r>
      <w:r w:rsidR="00842252" w:rsidRPr="00236128">
        <w:rPr>
          <w:lang w:val="en-GB"/>
        </w:rPr>
        <w:t xml:space="preserve">(1) of the </w:t>
      </w:r>
      <w:r w:rsidR="007D5900">
        <w:rPr>
          <w:lang w:val="en-GB"/>
        </w:rPr>
        <w:t>Commonwealth Electoral Act</w:t>
      </w:r>
      <w:r w:rsidR="00842252" w:rsidRPr="00236128">
        <w:rPr>
          <w:lang w:val="en-GB"/>
        </w:rPr>
        <w:t xml:space="preserve"> states that</w:t>
      </w:r>
      <w:r w:rsidR="00010E3E" w:rsidRPr="00236128">
        <w:rPr>
          <w:lang w:val="en-GB"/>
        </w:rPr>
        <w:t xml:space="preserve"> </w:t>
      </w:r>
      <w:r w:rsidR="007274ED">
        <w:rPr>
          <w:color w:val="000000"/>
          <w:lang w:val="en-GB"/>
        </w:rPr>
        <w:t>“</w:t>
      </w:r>
      <w:r w:rsidR="00842252" w:rsidRPr="00236128">
        <w:rPr>
          <w:color w:val="000000"/>
          <w:lang w:val="en-GB"/>
        </w:rPr>
        <w:t>it shall be the duty of every elector to vote at each election</w:t>
      </w:r>
      <w:r w:rsidR="007274ED">
        <w:rPr>
          <w:color w:val="000000"/>
          <w:lang w:val="en-GB"/>
        </w:rPr>
        <w:t>”, while</w:t>
      </w:r>
      <w:r w:rsidR="00842252" w:rsidRPr="00236128">
        <w:rPr>
          <w:color w:val="000000"/>
          <w:lang w:val="en-GB"/>
        </w:rPr>
        <w:t xml:space="preserve"> subsection 245</w:t>
      </w:r>
      <w:r w:rsidR="007274ED">
        <w:rPr>
          <w:color w:val="000000"/>
          <w:lang w:val="en-GB"/>
        </w:rPr>
        <w:t> </w:t>
      </w:r>
      <w:r w:rsidR="00842252" w:rsidRPr="00236128">
        <w:rPr>
          <w:color w:val="000000"/>
          <w:lang w:val="en-GB"/>
        </w:rPr>
        <w:t xml:space="preserve">(15) makes it </w:t>
      </w:r>
      <w:r w:rsidR="007274ED">
        <w:rPr>
          <w:color w:val="000000"/>
          <w:lang w:val="en-GB"/>
        </w:rPr>
        <w:t>“</w:t>
      </w:r>
      <w:r w:rsidR="00842252" w:rsidRPr="00236128">
        <w:rPr>
          <w:color w:val="000000"/>
          <w:lang w:val="en-GB"/>
        </w:rPr>
        <w:t>an offence if the elector fails to vote at an election</w:t>
      </w:r>
      <w:r w:rsidR="00D53161">
        <w:rPr>
          <w:color w:val="000000"/>
          <w:lang w:val="en-GB"/>
        </w:rPr>
        <w:t>”</w:t>
      </w:r>
      <w:r w:rsidR="00842252" w:rsidRPr="00236128">
        <w:rPr>
          <w:color w:val="000000"/>
          <w:lang w:val="en-GB"/>
        </w:rPr>
        <w:t>. Subsection 245</w:t>
      </w:r>
      <w:r w:rsidR="00D53161">
        <w:rPr>
          <w:color w:val="000000"/>
          <w:lang w:val="en-GB"/>
        </w:rPr>
        <w:t> </w:t>
      </w:r>
      <w:r w:rsidR="00842252" w:rsidRPr="00236128">
        <w:rPr>
          <w:color w:val="000000"/>
          <w:lang w:val="en-GB"/>
        </w:rPr>
        <w:t>(5)</w:t>
      </w:r>
      <w:r w:rsidR="00D53161">
        <w:rPr>
          <w:color w:val="000000"/>
          <w:lang w:val="en-GB"/>
        </w:rPr>
        <w:t> </w:t>
      </w:r>
      <w:r w:rsidR="00842252" w:rsidRPr="00236128">
        <w:rPr>
          <w:color w:val="000000"/>
          <w:lang w:val="en-GB"/>
        </w:rPr>
        <w:t xml:space="preserve">(c) enables a person to </w:t>
      </w:r>
      <w:r w:rsidR="00D53161">
        <w:rPr>
          <w:color w:val="000000"/>
          <w:lang w:val="en-GB"/>
        </w:rPr>
        <w:t>escape</w:t>
      </w:r>
      <w:r w:rsidR="00842252" w:rsidRPr="00236128">
        <w:rPr>
          <w:color w:val="000000"/>
          <w:lang w:val="en-GB"/>
        </w:rPr>
        <w:t xml:space="preserve"> be</w:t>
      </w:r>
      <w:r w:rsidR="00D53161">
        <w:rPr>
          <w:color w:val="000000"/>
          <w:lang w:val="en-GB"/>
        </w:rPr>
        <w:t>ing</w:t>
      </w:r>
      <w:r w:rsidR="00842252" w:rsidRPr="00236128">
        <w:rPr>
          <w:color w:val="000000"/>
          <w:lang w:val="en-GB"/>
        </w:rPr>
        <w:t xml:space="preserve"> </w:t>
      </w:r>
      <w:r w:rsidR="002356D6" w:rsidRPr="00236128">
        <w:rPr>
          <w:color w:val="000000"/>
          <w:lang w:val="en-GB"/>
        </w:rPr>
        <w:t>penalized</w:t>
      </w:r>
      <w:r w:rsidR="00842252" w:rsidRPr="00236128">
        <w:rPr>
          <w:color w:val="000000"/>
          <w:lang w:val="en-GB"/>
        </w:rPr>
        <w:t xml:space="preserve"> for not voting if they are able to demonstrate that they had a </w:t>
      </w:r>
      <w:r w:rsidR="00D53161">
        <w:rPr>
          <w:color w:val="000000"/>
          <w:lang w:val="en-GB"/>
        </w:rPr>
        <w:t>“</w:t>
      </w:r>
      <w:r w:rsidR="00842252" w:rsidRPr="00236128">
        <w:rPr>
          <w:color w:val="000000"/>
          <w:lang w:val="en-GB"/>
        </w:rPr>
        <w:t>valid and sufficient</w:t>
      </w:r>
      <w:r w:rsidR="00D53161">
        <w:rPr>
          <w:color w:val="000000"/>
          <w:lang w:val="en-GB"/>
        </w:rPr>
        <w:t>”</w:t>
      </w:r>
      <w:r w:rsidR="00842252" w:rsidRPr="00236128">
        <w:rPr>
          <w:color w:val="000000"/>
          <w:lang w:val="en-GB"/>
        </w:rPr>
        <w:t xml:space="preserve"> reason to not vote. Anyone who is unable to provide a valid and sufficient reason for failure to vote at a federal election may pay a penalty of $</w:t>
      </w:r>
      <w:r w:rsidR="002235F3">
        <w:rPr>
          <w:color w:val="000000"/>
          <w:lang w:val="en-GB"/>
        </w:rPr>
        <w:t>A</w:t>
      </w:r>
      <w:r w:rsidR="00C83D97">
        <w:rPr>
          <w:color w:val="000000"/>
          <w:lang w:val="en-GB"/>
        </w:rPr>
        <w:t xml:space="preserve"> </w:t>
      </w:r>
      <w:r w:rsidR="00842252" w:rsidRPr="00236128">
        <w:rPr>
          <w:color w:val="000000"/>
          <w:lang w:val="en-GB"/>
        </w:rPr>
        <w:t>20</w:t>
      </w:r>
      <w:r w:rsidR="00010E3E" w:rsidRPr="00236128">
        <w:rPr>
          <w:color w:val="000000"/>
          <w:lang w:val="en-GB"/>
        </w:rPr>
        <w:t>. If an elector who has faile</w:t>
      </w:r>
      <w:r w:rsidR="002F3DB2" w:rsidRPr="00236128">
        <w:rPr>
          <w:color w:val="000000"/>
          <w:lang w:val="en-GB"/>
        </w:rPr>
        <w:t>d to vote chooses not to pay this</w:t>
      </w:r>
      <w:r w:rsidR="00010E3E" w:rsidRPr="00236128">
        <w:rPr>
          <w:color w:val="000000"/>
          <w:lang w:val="en-GB"/>
        </w:rPr>
        <w:t xml:space="preserve"> penalty, then the matter may be referred to a court, where a fine plus costs may be ordered on conviction. If a person chooses not to pay the court-ordered fine, the </w:t>
      </w:r>
      <w:r w:rsidR="003D16AF" w:rsidRPr="00236128">
        <w:rPr>
          <w:color w:val="000000"/>
          <w:lang w:val="en-GB"/>
        </w:rPr>
        <w:t>court will decide on a</w:t>
      </w:r>
      <w:r w:rsidR="00010E3E" w:rsidRPr="00236128">
        <w:rPr>
          <w:color w:val="000000"/>
          <w:lang w:val="en-GB"/>
        </w:rPr>
        <w:t xml:space="preserve"> penalty.</w:t>
      </w:r>
    </w:p>
    <w:p w14:paraId="291A691D" w14:textId="44E12833" w:rsidR="002878C0" w:rsidRPr="00236128" w:rsidRDefault="00010E3E" w:rsidP="007A6388">
      <w:pPr>
        <w:pStyle w:val="SingleTxtG"/>
        <w:rPr>
          <w:lang w:val="en-GB"/>
        </w:rPr>
      </w:pPr>
      <w:r w:rsidRPr="00236128">
        <w:rPr>
          <w:lang w:val="en-GB"/>
        </w:rPr>
        <w:t xml:space="preserve">4.3 </w:t>
      </w:r>
      <w:r w:rsidRPr="00236128">
        <w:rPr>
          <w:lang w:val="en-GB"/>
        </w:rPr>
        <w:tab/>
        <w:t>All Australian states and territories have compulsory voting legislation. As voting is compulsory, elector</w:t>
      </w:r>
      <w:r w:rsidR="00647916" w:rsidRPr="00236128">
        <w:rPr>
          <w:lang w:val="en-GB"/>
        </w:rPr>
        <w:t>s</w:t>
      </w:r>
      <w:r w:rsidRPr="00236128">
        <w:rPr>
          <w:lang w:val="en-GB"/>
        </w:rPr>
        <w:t xml:space="preserve"> are given a number of ways to cast their vote</w:t>
      </w:r>
      <w:r w:rsidR="00647916" w:rsidRPr="00236128">
        <w:rPr>
          <w:lang w:val="en-GB"/>
        </w:rPr>
        <w:t>,</w:t>
      </w:r>
      <w:r w:rsidRPr="00236128">
        <w:rPr>
          <w:lang w:val="en-GB"/>
        </w:rPr>
        <w:t xml:space="preserve"> including postal voting, voting at Australian overseas mission</w:t>
      </w:r>
      <w:r w:rsidR="00647916" w:rsidRPr="00236128">
        <w:rPr>
          <w:lang w:val="en-GB"/>
        </w:rPr>
        <w:t>s</w:t>
      </w:r>
      <w:r w:rsidRPr="00236128">
        <w:rPr>
          <w:lang w:val="en-GB"/>
        </w:rPr>
        <w:t xml:space="preserve"> and in remote localities, as well as in person at a polling place in their </w:t>
      </w:r>
      <w:r w:rsidR="000B02B3">
        <w:rPr>
          <w:lang w:val="en-GB"/>
        </w:rPr>
        <w:t>district</w:t>
      </w:r>
      <w:r w:rsidRPr="00236128">
        <w:rPr>
          <w:lang w:val="en-GB"/>
        </w:rPr>
        <w:t xml:space="preserve">. </w:t>
      </w:r>
      <w:r w:rsidR="002878C0" w:rsidRPr="00236128">
        <w:rPr>
          <w:lang w:val="en-GB"/>
        </w:rPr>
        <w:t>In accordance with article 25</w:t>
      </w:r>
      <w:r w:rsidR="000B02B3">
        <w:rPr>
          <w:lang w:val="en-GB"/>
        </w:rPr>
        <w:t> </w:t>
      </w:r>
      <w:r w:rsidR="002878C0" w:rsidRPr="00236128">
        <w:rPr>
          <w:lang w:val="en-GB"/>
        </w:rPr>
        <w:t xml:space="preserve">(b) of the Covenant, voting is conducted by secret ballot. Consequently, citizens are not compelled to vote. Instead, the duty of the voter is to attend a polling </w:t>
      </w:r>
      <w:r w:rsidR="00CF274E">
        <w:rPr>
          <w:lang w:val="en-GB"/>
        </w:rPr>
        <w:t>station</w:t>
      </w:r>
      <w:r w:rsidR="002878C0" w:rsidRPr="00236128">
        <w:rPr>
          <w:lang w:val="en-GB"/>
        </w:rPr>
        <w:t xml:space="preserve">, have their name marked off the certified list, receive a ballot paper and take it to an individual voting booth, mark it, fold the ballot paper and place it in the ballot box. Electors can therefore exercise their right to vote by submitting a blank or non-compliant ballot paper if they choose to do so. </w:t>
      </w:r>
    </w:p>
    <w:p w14:paraId="753F398D" w14:textId="6C35217D" w:rsidR="00377181" w:rsidRPr="00236128" w:rsidRDefault="00071B2D" w:rsidP="007A6388">
      <w:pPr>
        <w:pStyle w:val="SingleTxtG"/>
        <w:rPr>
          <w:lang w:val="en-GB"/>
        </w:rPr>
      </w:pPr>
      <w:r w:rsidRPr="00236128">
        <w:rPr>
          <w:lang w:val="en-GB"/>
        </w:rPr>
        <w:lastRenderedPageBreak/>
        <w:t>4.4</w:t>
      </w:r>
      <w:r w:rsidRPr="00236128">
        <w:rPr>
          <w:lang w:val="en-GB"/>
        </w:rPr>
        <w:tab/>
      </w:r>
      <w:r w:rsidR="00B44EB3" w:rsidRPr="00236128">
        <w:rPr>
          <w:lang w:val="en-GB"/>
        </w:rPr>
        <w:t>The State party points out that the Covenant does not impose any particular electoral system on State parties</w:t>
      </w:r>
      <w:r w:rsidR="000B02B3">
        <w:rPr>
          <w:lang w:val="en-GB"/>
        </w:rPr>
        <w:t>,</w:t>
      </w:r>
      <w:r w:rsidR="00B44EB3" w:rsidRPr="00236128">
        <w:rPr>
          <w:lang w:val="en-GB"/>
        </w:rPr>
        <w:t xml:space="preserve"> provided that the system is compatible with the rights protected by article 25 and guarantee</w:t>
      </w:r>
      <w:r w:rsidR="00377181" w:rsidRPr="00236128">
        <w:rPr>
          <w:lang w:val="en-GB"/>
        </w:rPr>
        <w:t>s</w:t>
      </w:r>
      <w:r w:rsidR="00B44EB3" w:rsidRPr="00236128">
        <w:rPr>
          <w:lang w:val="en-GB"/>
        </w:rPr>
        <w:t xml:space="preserve"> and give</w:t>
      </w:r>
      <w:r w:rsidR="00377181" w:rsidRPr="00236128">
        <w:rPr>
          <w:lang w:val="en-GB"/>
        </w:rPr>
        <w:t>s</w:t>
      </w:r>
      <w:r w:rsidR="00B44EB3" w:rsidRPr="00236128">
        <w:rPr>
          <w:lang w:val="en-GB"/>
        </w:rPr>
        <w:t xml:space="preserve"> effect to the free expression of the will of the electors.</w:t>
      </w:r>
      <w:r w:rsidR="00B44EB3" w:rsidRPr="00236128">
        <w:rPr>
          <w:rStyle w:val="FootnoteReference"/>
          <w:lang w:val="en-GB"/>
        </w:rPr>
        <w:footnoteReference w:id="6"/>
      </w:r>
      <w:r w:rsidR="00B44EB3" w:rsidRPr="00236128">
        <w:rPr>
          <w:lang w:val="en-GB"/>
        </w:rPr>
        <w:t xml:space="preserve"> In this regard, its system of compulsory voting represents international best practice and is </w:t>
      </w:r>
      <w:r w:rsidR="00BD62CE">
        <w:rPr>
          <w:lang w:val="en-GB"/>
        </w:rPr>
        <w:t xml:space="preserve">the </w:t>
      </w:r>
      <w:r w:rsidR="00B44EB3" w:rsidRPr="00236128">
        <w:rPr>
          <w:lang w:val="en-GB"/>
        </w:rPr>
        <w:t>optimal way of giving effect to the free expression of Australian citizens</w:t>
      </w:r>
      <w:r w:rsidR="00E303A5">
        <w:rPr>
          <w:lang w:val="en-GB"/>
        </w:rPr>
        <w:t>. The State party claims that compulsory voting</w:t>
      </w:r>
      <w:r w:rsidR="00B44EB3" w:rsidRPr="00236128">
        <w:rPr>
          <w:lang w:val="en-GB"/>
        </w:rPr>
        <w:t xml:space="preserve">: </w:t>
      </w:r>
      <w:r w:rsidR="00620A8D">
        <w:rPr>
          <w:lang w:val="en-GB"/>
        </w:rPr>
        <w:t>(a</w:t>
      </w:r>
      <w:r w:rsidR="00B44EB3" w:rsidRPr="00236128">
        <w:rPr>
          <w:lang w:val="en-GB"/>
        </w:rPr>
        <w:t xml:space="preserve">) </w:t>
      </w:r>
      <w:r w:rsidR="00407371">
        <w:rPr>
          <w:lang w:val="en-GB"/>
        </w:rPr>
        <w:t>contributes to</w:t>
      </w:r>
      <w:r w:rsidR="00B44EB3" w:rsidRPr="00236128">
        <w:rPr>
          <w:lang w:val="en-GB"/>
        </w:rPr>
        <w:t xml:space="preserve"> a system of representative democracy, in which its Constitution requires the Parliament to be made up of members directly chosen by the people; </w:t>
      </w:r>
      <w:r w:rsidR="00087FD4">
        <w:rPr>
          <w:lang w:val="en-GB"/>
        </w:rPr>
        <w:t>(b</w:t>
      </w:r>
      <w:r w:rsidR="00B44EB3" w:rsidRPr="00236128">
        <w:rPr>
          <w:lang w:val="en-GB"/>
        </w:rPr>
        <w:t>) maintains a high level of participation in elections</w:t>
      </w:r>
      <w:r w:rsidR="00087FD4">
        <w:rPr>
          <w:lang w:val="en-GB"/>
        </w:rPr>
        <w:t xml:space="preserve"> (p</w:t>
      </w:r>
      <w:r w:rsidR="00B44EB3" w:rsidRPr="00236128">
        <w:rPr>
          <w:lang w:val="en-GB"/>
        </w:rPr>
        <w:t>articipation in Australian federal elections has never fallen below 90</w:t>
      </w:r>
      <w:r w:rsidR="00087FD4">
        <w:rPr>
          <w:lang w:val="en-GB"/>
        </w:rPr>
        <w:t xml:space="preserve"> per cent</w:t>
      </w:r>
      <w:r w:rsidR="00B44EB3" w:rsidRPr="00236128">
        <w:rPr>
          <w:lang w:val="en-GB"/>
        </w:rPr>
        <w:t xml:space="preserve"> since compulsor</w:t>
      </w:r>
      <w:r w:rsidR="00377181" w:rsidRPr="00236128">
        <w:rPr>
          <w:lang w:val="en-GB"/>
        </w:rPr>
        <w:t>y voting was introduced in 1924</w:t>
      </w:r>
      <w:r w:rsidR="00087FD4">
        <w:rPr>
          <w:lang w:val="en-GB"/>
        </w:rPr>
        <w:t>)</w:t>
      </w:r>
      <w:r w:rsidR="00735080" w:rsidRPr="00236128">
        <w:rPr>
          <w:lang w:val="en-GB"/>
        </w:rPr>
        <w:t xml:space="preserve">; </w:t>
      </w:r>
      <w:r w:rsidR="00087FD4">
        <w:rPr>
          <w:lang w:val="en-GB"/>
        </w:rPr>
        <w:t>(c</w:t>
      </w:r>
      <w:r w:rsidR="00735080" w:rsidRPr="00236128">
        <w:rPr>
          <w:lang w:val="en-GB"/>
        </w:rPr>
        <w:t xml:space="preserve">) encourages political parties to collectively appeal to and address the full spectrum of </w:t>
      </w:r>
      <w:r w:rsidR="00087FD4">
        <w:rPr>
          <w:lang w:val="en-GB"/>
        </w:rPr>
        <w:t xml:space="preserve">the </w:t>
      </w:r>
      <w:r w:rsidR="00735080" w:rsidRPr="00236128">
        <w:rPr>
          <w:lang w:val="en-GB"/>
        </w:rPr>
        <w:t>elector</w:t>
      </w:r>
      <w:r w:rsidR="00087FD4">
        <w:rPr>
          <w:lang w:val="en-GB"/>
        </w:rPr>
        <w:t>ate’s</w:t>
      </w:r>
      <w:r w:rsidR="00735080" w:rsidRPr="00236128">
        <w:rPr>
          <w:lang w:val="en-GB"/>
        </w:rPr>
        <w:t xml:space="preserve"> values</w:t>
      </w:r>
      <w:r w:rsidR="00087FD4">
        <w:rPr>
          <w:lang w:val="en-GB"/>
        </w:rPr>
        <w:t xml:space="preserve"> (i</w:t>
      </w:r>
      <w:r w:rsidR="00735080" w:rsidRPr="00236128">
        <w:rPr>
          <w:lang w:val="en-GB"/>
        </w:rPr>
        <w:t>t also enhances fundamental democratic values</w:t>
      </w:r>
      <w:r w:rsidR="00087FD4">
        <w:rPr>
          <w:lang w:val="en-GB"/>
        </w:rPr>
        <w:t>,</w:t>
      </w:r>
      <w:r w:rsidR="00735080" w:rsidRPr="00236128">
        <w:rPr>
          <w:lang w:val="en-GB"/>
        </w:rPr>
        <w:t xml:space="preserve"> including representativeness, political equality and the </w:t>
      </w:r>
      <w:r w:rsidR="001E4D99" w:rsidRPr="00236128">
        <w:rPr>
          <w:lang w:val="en-GB"/>
        </w:rPr>
        <w:t>minimization</w:t>
      </w:r>
      <w:r w:rsidR="00735080" w:rsidRPr="00236128">
        <w:rPr>
          <w:lang w:val="en-GB"/>
        </w:rPr>
        <w:t xml:space="preserve"> of elite power</w:t>
      </w:r>
      <w:r w:rsidR="00087FD4">
        <w:rPr>
          <w:lang w:val="en-GB"/>
        </w:rPr>
        <w:t>)</w:t>
      </w:r>
      <w:r w:rsidR="00735080" w:rsidRPr="00236128">
        <w:rPr>
          <w:lang w:val="en-GB"/>
        </w:rPr>
        <w:t xml:space="preserve">; </w:t>
      </w:r>
      <w:r w:rsidR="002878C0" w:rsidRPr="00236128">
        <w:rPr>
          <w:lang w:val="en-GB"/>
        </w:rPr>
        <w:t xml:space="preserve">and </w:t>
      </w:r>
      <w:r w:rsidR="00E303A5">
        <w:rPr>
          <w:lang w:val="en-GB"/>
        </w:rPr>
        <w:t>(d</w:t>
      </w:r>
      <w:r w:rsidR="00735080" w:rsidRPr="00236128">
        <w:rPr>
          <w:lang w:val="en-GB"/>
        </w:rPr>
        <w:t>)</w:t>
      </w:r>
      <w:r w:rsidR="001D16A0">
        <w:rPr>
          <w:lang w:val="en-GB"/>
        </w:rPr>
        <w:t> </w:t>
      </w:r>
      <w:r w:rsidR="00735080" w:rsidRPr="00236128">
        <w:rPr>
          <w:lang w:val="en-GB"/>
        </w:rPr>
        <w:t xml:space="preserve">allows candidates to concentrate </w:t>
      </w:r>
      <w:r w:rsidR="00407371">
        <w:rPr>
          <w:lang w:val="en-GB"/>
        </w:rPr>
        <w:t>on</w:t>
      </w:r>
      <w:r w:rsidR="00407371" w:rsidRPr="00236128">
        <w:rPr>
          <w:lang w:val="en-GB"/>
        </w:rPr>
        <w:t xml:space="preserve"> </w:t>
      </w:r>
      <w:r w:rsidR="00735080" w:rsidRPr="00236128">
        <w:rPr>
          <w:lang w:val="en-GB"/>
        </w:rPr>
        <w:t>campaigning on issues rather than also having to encourage voters to</w:t>
      </w:r>
      <w:r w:rsidR="002878C0" w:rsidRPr="00236128">
        <w:rPr>
          <w:lang w:val="en-GB"/>
        </w:rPr>
        <w:t xml:space="preserve"> vote.</w:t>
      </w:r>
    </w:p>
    <w:p w14:paraId="158FC305" w14:textId="2B1780B3" w:rsidR="002D2238" w:rsidRPr="00236128" w:rsidRDefault="002D2238" w:rsidP="007A6388">
      <w:pPr>
        <w:pStyle w:val="SingleTxtG"/>
        <w:rPr>
          <w:lang w:val="en-GB"/>
        </w:rPr>
      </w:pPr>
      <w:r w:rsidRPr="00236128">
        <w:rPr>
          <w:lang w:val="en-GB"/>
        </w:rPr>
        <w:t>4.</w:t>
      </w:r>
      <w:r w:rsidR="00377181" w:rsidRPr="00236128">
        <w:rPr>
          <w:lang w:val="en-GB"/>
        </w:rPr>
        <w:t>5</w:t>
      </w:r>
      <w:r w:rsidR="00071B2D" w:rsidRPr="00236128">
        <w:rPr>
          <w:lang w:val="en-GB"/>
        </w:rPr>
        <w:tab/>
      </w:r>
      <w:r w:rsidRPr="00236128">
        <w:rPr>
          <w:lang w:val="en-GB"/>
        </w:rPr>
        <w:t xml:space="preserve">In </w:t>
      </w:r>
      <w:r w:rsidR="00407371">
        <w:rPr>
          <w:lang w:val="en-GB"/>
        </w:rPr>
        <w:t xml:space="preserve">the </w:t>
      </w:r>
      <w:r w:rsidRPr="00236128">
        <w:rPr>
          <w:lang w:val="en-GB"/>
        </w:rPr>
        <w:t>light of the foregoing</w:t>
      </w:r>
      <w:r w:rsidR="00407371">
        <w:rPr>
          <w:lang w:val="en-GB"/>
        </w:rPr>
        <w:t>,</w:t>
      </w:r>
      <w:r w:rsidRPr="00236128">
        <w:rPr>
          <w:lang w:val="en-GB"/>
        </w:rPr>
        <w:t xml:space="preserve"> the State party maintains that electors are free to vote for any candidate or for no</w:t>
      </w:r>
      <w:r w:rsidR="00407371">
        <w:rPr>
          <w:lang w:val="en-GB"/>
        </w:rPr>
        <w:t xml:space="preserve"> </w:t>
      </w:r>
      <w:r w:rsidRPr="00236128">
        <w:rPr>
          <w:lang w:val="en-GB"/>
        </w:rPr>
        <w:t xml:space="preserve">one at all without undue influence or coercion of any kind. Electors will only be liable for a penalty </w:t>
      </w:r>
      <w:r w:rsidR="002D5BE7">
        <w:rPr>
          <w:lang w:val="en-GB"/>
        </w:rPr>
        <w:t>if</w:t>
      </w:r>
      <w:r w:rsidR="002D5BE7" w:rsidRPr="00236128">
        <w:rPr>
          <w:lang w:val="en-GB"/>
        </w:rPr>
        <w:t xml:space="preserve"> </w:t>
      </w:r>
      <w:r w:rsidRPr="00236128">
        <w:rPr>
          <w:lang w:val="en-GB"/>
        </w:rPr>
        <w:t xml:space="preserve">they fail to submit a ballot paper </w:t>
      </w:r>
      <w:r w:rsidR="002D5BE7">
        <w:rPr>
          <w:lang w:val="en-GB"/>
        </w:rPr>
        <w:t>using</w:t>
      </w:r>
      <w:r w:rsidR="002D5BE7" w:rsidRPr="00236128">
        <w:rPr>
          <w:lang w:val="en-GB"/>
        </w:rPr>
        <w:t xml:space="preserve"> </w:t>
      </w:r>
      <w:r w:rsidRPr="00236128">
        <w:rPr>
          <w:lang w:val="en-GB"/>
        </w:rPr>
        <w:t>one of the available methods without a valid and sufficient reason for not voting. Hence</w:t>
      </w:r>
      <w:r w:rsidR="002D5BE7">
        <w:rPr>
          <w:lang w:val="en-GB"/>
        </w:rPr>
        <w:t>,</w:t>
      </w:r>
      <w:r w:rsidRPr="00236128">
        <w:rPr>
          <w:lang w:val="en-GB"/>
        </w:rPr>
        <w:t xml:space="preserve"> its system of compulsory voting fulfils the obligation enshrined in article 25 of the Covenant. </w:t>
      </w:r>
    </w:p>
    <w:p w14:paraId="473966C4" w14:textId="05C1BE31" w:rsidR="00010E3E" w:rsidRPr="00236128" w:rsidRDefault="00377181" w:rsidP="007A6388">
      <w:pPr>
        <w:pStyle w:val="SingleTxtG"/>
        <w:rPr>
          <w:lang w:val="en-GB"/>
        </w:rPr>
      </w:pPr>
      <w:r w:rsidRPr="00236128">
        <w:rPr>
          <w:lang w:val="en-GB"/>
        </w:rPr>
        <w:t>4.6</w:t>
      </w:r>
      <w:r w:rsidR="00FC7CC0" w:rsidRPr="00236128">
        <w:rPr>
          <w:lang w:val="en-GB"/>
        </w:rPr>
        <w:tab/>
        <w:t xml:space="preserve">With regard to the author’s claim under article 17 of the Covenant, the State party contends that it is inadmissible </w:t>
      </w:r>
      <w:r w:rsidR="00FC7CC0" w:rsidRPr="00236128">
        <w:rPr>
          <w:i/>
          <w:lang w:val="en-GB"/>
        </w:rPr>
        <w:t>ratione materiae</w:t>
      </w:r>
      <w:r w:rsidR="00FC7CC0" w:rsidRPr="00236128">
        <w:rPr>
          <w:lang w:val="en-GB"/>
        </w:rPr>
        <w:t xml:space="preserve"> as there has been no interference with his privacy </w:t>
      </w:r>
      <w:r w:rsidR="00647916" w:rsidRPr="00236128">
        <w:rPr>
          <w:lang w:val="en-GB"/>
        </w:rPr>
        <w:t xml:space="preserve">that would </w:t>
      </w:r>
      <w:r w:rsidR="003654CB">
        <w:rPr>
          <w:lang w:val="en-GB"/>
        </w:rPr>
        <w:t>violate the</w:t>
      </w:r>
      <w:r w:rsidR="003654CB" w:rsidRPr="00236128">
        <w:rPr>
          <w:lang w:val="en-GB"/>
        </w:rPr>
        <w:t xml:space="preserve"> </w:t>
      </w:r>
      <w:r w:rsidR="00FC7CC0" w:rsidRPr="00236128">
        <w:rPr>
          <w:lang w:val="en-GB"/>
        </w:rPr>
        <w:t xml:space="preserve">rights </w:t>
      </w:r>
      <w:r w:rsidR="003654CB">
        <w:rPr>
          <w:lang w:val="en-GB"/>
        </w:rPr>
        <w:t xml:space="preserve">guaranteed </w:t>
      </w:r>
      <w:r w:rsidR="00FC7CC0" w:rsidRPr="00236128">
        <w:rPr>
          <w:lang w:val="en-GB"/>
        </w:rPr>
        <w:t>under this article. Further</w:t>
      </w:r>
      <w:r w:rsidR="003654CB">
        <w:rPr>
          <w:lang w:val="en-GB"/>
        </w:rPr>
        <w:t>more</w:t>
      </w:r>
      <w:r w:rsidR="00FC7CC0" w:rsidRPr="00236128">
        <w:rPr>
          <w:lang w:val="en-GB"/>
        </w:rPr>
        <w:t xml:space="preserve">, </w:t>
      </w:r>
      <w:r w:rsidR="003D16AF" w:rsidRPr="00236128">
        <w:rPr>
          <w:lang w:val="en-GB"/>
        </w:rPr>
        <w:t xml:space="preserve">the author </w:t>
      </w:r>
      <w:r w:rsidR="00FC7CC0" w:rsidRPr="00236128">
        <w:rPr>
          <w:lang w:val="en-GB"/>
        </w:rPr>
        <w:t xml:space="preserve">has not sufficiently substantiated </w:t>
      </w:r>
      <w:r w:rsidR="003654CB">
        <w:rPr>
          <w:lang w:val="en-GB"/>
        </w:rPr>
        <w:t xml:space="preserve">the claim </w:t>
      </w:r>
      <w:r w:rsidR="00FC7CC0" w:rsidRPr="00236128">
        <w:rPr>
          <w:lang w:val="en-GB"/>
        </w:rPr>
        <w:t>that the issu</w:t>
      </w:r>
      <w:r w:rsidR="00647916" w:rsidRPr="00236128">
        <w:rPr>
          <w:lang w:val="en-GB"/>
        </w:rPr>
        <w:t>ance</w:t>
      </w:r>
      <w:r w:rsidR="00FC7CC0" w:rsidRPr="00236128">
        <w:rPr>
          <w:lang w:val="en-GB"/>
        </w:rPr>
        <w:t xml:space="preserve"> of the </w:t>
      </w:r>
      <w:r w:rsidR="009C5D09" w:rsidRPr="001D73CF">
        <w:rPr>
          <w:lang w:val="en-GB"/>
        </w:rPr>
        <w:t>notice</w:t>
      </w:r>
      <w:r w:rsidR="009C5D09" w:rsidRPr="00E27706">
        <w:rPr>
          <w:lang w:val="en-GB"/>
        </w:rPr>
        <w:t xml:space="preserve"> </w:t>
      </w:r>
      <w:r w:rsidR="009C5D09">
        <w:rPr>
          <w:lang w:val="en-GB"/>
        </w:rPr>
        <w:t xml:space="preserve">advising him of his </w:t>
      </w:r>
      <w:r w:rsidR="00FC7CC0" w:rsidRPr="00236128">
        <w:rPr>
          <w:lang w:val="en-GB"/>
        </w:rPr>
        <w:t xml:space="preserve">apparent failure to vote, or the request </w:t>
      </w:r>
      <w:r w:rsidR="009C5D09">
        <w:rPr>
          <w:lang w:val="en-GB"/>
        </w:rPr>
        <w:t xml:space="preserve">contained </w:t>
      </w:r>
      <w:r w:rsidR="009C5D09" w:rsidRPr="00A1502A">
        <w:rPr>
          <w:lang w:val="en-GB"/>
        </w:rPr>
        <w:t>in the notice</w:t>
      </w:r>
      <w:r w:rsidR="009C5D09" w:rsidRPr="00E27706">
        <w:rPr>
          <w:lang w:val="en-GB"/>
        </w:rPr>
        <w:t xml:space="preserve"> </w:t>
      </w:r>
      <w:r w:rsidR="00FC7CC0" w:rsidRPr="00236128">
        <w:rPr>
          <w:lang w:val="en-GB"/>
        </w:rPr>
        <w:t>to provide reasons for not voting, constitute</w:t>
      </w:r>
      <w:r w:rsidR="00647916" w:rsidRPr="00236128">
        <w:rPr>
          <w:lang w:val="en-GB"/>
        </w:rPr>
        <w:t>s</w:t>
      </w:r>
      <w:r w:rsidR="00FC7CC0" w:rsidRPr="00236128">
        <w:rPr>
          <w:lang w:val="en-GB"/>
        </w:rPr>
        <w:t xml:space="preserve"> an arbitrary interference with his privacy. The notice system was designed specifically to give recipients a range of options to resolve a</w:t>
      </w:r>
      <w:r w:rsidR="009C5D09">
        <w:rPr>
          <w:lang w:val="en-GB"/>
        </w:rPr>
        <w:t>n apparent</w:t>
      </w:r>
      <w:r w:rsidR="00FC7CC0" w:rsidRPr="00236128">
        <w:rPr>
          <w:lang w:val="en-GB"/>
        </w:rPr>
        <w:t xml:space="preserve"> failure to vote. The author was under no obligation to respond to the notice as he could have </w:t>
      </w:r>
      <w:r w:rsidR="009C5D09">
        <w:rPr>
          <w:lang w:val="en-GB"/>
        </w:rPr>
        <w:t>chosen</w:t>
      </w:r>
      <w:r w:rsidR="009C5D09" w:rsidRPr="00236128">
        <w:rPr>
          <w:lang w:val="en-GB"/>
        </w:rPr>
        <w:t xml:space="preserve"> </w:t>
      </w:r>
      <w:r w:rsidR="00FC7CC0" w:rsidRPr="00236128">
        <w:rPr>
          <w:lang w:val="en-GB"/>
        </w:rPr>
        <w:t xml:space="preserve">one of the other options. </w:t>
      </w:r>
      <w:r w:rsidR="00450A67" w:rsidRPr="00236128">
        <w:rPr>
          <w:lang w:val="en-GB"/>
        </w:rPr>
        <w:t xml:space="preserve">Should an explanation </w:t>
      </w:r>
      <w:r w:rsidR="005E3408" w:rsidRPr="00236128">
        <w:rPr>
          <w:lang w:val="en-GB"/>
        </w:rPr>
        <w:t xml:space="preserve">be </w:t>
      </w:r>
      <w:r w:rsidR="00450A67" w:rsidRPr="00236128">
        <w:rPr>
          <w:lang w:val="en-GB"/>
        </w:rPr>
        <w:t xml:space="preserve">provided, it is kept confidential by the </w:t>
      </w:r>
      <w:r w:rsidR="007D5900">
        <w:rPr>
          <w:lang w:val="en-GB"/>
        </w:rPr>
        <w:t>Election Commission</w:t>
      </w:r>
      <w:r w:rsidR="00450A67" w:rsidRPr="00236128">
        <w:rPr>
          <w:lang w:val="en-GB"/>
        </w:rPr>
        <w:t xml:space="preserve"> unless the reasons provided are not valid </w:t>
      </w:r>
      <w:r w:rsidR="00401D69">
        <w:rPr>
          <w:lang w:val="en-GB"/>
        </w:rPr>
        <w:t>and</w:t>
      </w:r>
      <w:r w:rsidR="00401D69" w:rsidRPr="00236128">
        <w:rPr>
          <w:lang w:val="en-GB"/>
        </w:rPr>
        <w:t xml:space="preserve"> </w:t>
      </w:r>
      <w:r w:rsidR="00450A67" w:rsidRPr="00236128">
        <w:rPr>
          <w:lang w:val="en-GB"/>
        </w:rPr>
        <w:t xml:space="preserve">sufficient and the matter proceeds to court. </w:t>
      </w:r>
    </w:p>
    <w:p w14:paraId="00283FC7" w14:textId="34557028" w:rsidR="0087439B" w:rsidRPr="00236128" w:rsidRDefault="00246337" w:rsidP="007A6388">
      <w:pPr>
        <w:pStyle w:val="SingleTxtG"/>
        <w:rPr>
          <w:lang w:val="en-GB"/>
        </w:rPr>
      </w:pPr>
      <w:r w:rsidRPr="00236128">
        <w:rPr>
          <w:lang w:val="en-GB"/>
        </w:rPr>
        <w:t>4.7</w:t>
      </w:r>
      <w:r w:rsidR="004D195F" w:rsidRPr="00236128">
        <w:rPr>
          <w:lang w:val="en-GB"/>
        </w:rPr>
        <w:tab/>
      </w:r>
      <w:r w:rsidR="00836D26" w:rsidRPr="00236128">
        <w:rPr>
          <w:lang w:val="en-GB"/>
        </w:rPr>
        <w:t xml:space="preserve">Should the Committee find the author’s claim under article 17 of the Covenant admissible, it </w:t>
      </w:r>
      <w:r w:rsidR="00D44644">
        <w:rPr>
          <w:lang w:val="en-GB"/>
        </w:rPr>
        <w:t xml:space="preserve">should find that the claim does </w:t>
      </w:r>
      <w:r w:rsidR="00836D26" w:rsidRPr="00236128">
        <w:rPr>
          <w:lang w:val="en-GB"/>
        </w:rPr>
        <w:t>not disclose a violation of the Covenant. Firstly, the issu</w:t>
      </w:r>
      <w:r w:rsidR="00647916" w:rsidRPr="00236128">
        <w:rPr>
          <w:lang w:val="en-GB"/>
        </w:rPr>
        <w:t>ance</w:t>
      </w:r>
      <w:r w:rsidR="00836D26" w:rsidRPr="00236128">
        <w:rPr>
          <w:lang w:val="en-GB"/>
        </w:rPr>
        <w:t xml:space="preserve"> and the content of the </w:t>
      </w:r>
      <w:r w:rsidR="000F5278" w:rsidRPr="002F40E8">
        <w:rPr>
          <w:lang w:val="en-GB"/>
        </w:rPr>
        <w:t xml:space="preserve">notice </w:t>
      </w:r>
      <w:r w:rsidR="000F5278">
        <w:rPr>
          <w:lang w:val="en-GB"/>
        </w:rPr>
        <w:t xml:space="preserve">advising him of his </w:t>
      </w:r>
      <w:r w:rsidR="00836D26" w:rsidRPr="00236128">
        <w:rPr>
          <w:lang w:val="en-GB"/>
        </w:rPr>
        <w:t xml:space="preserve">apparent failure to vote were carried out by the </w:t>
      </w:r>
      <w:r w:rsidR="007D5900">
        <w:rPr>
          <w:lang w:val="en-GB"/>
        </w:rPr>
        <w:t>Election Commission</w:t>
      </w:r>
      <w:r w:rsidR="00836D26" w:rsidRPr="00236128">
        <w:rPr>
          <w:lang w:val="en-GB"/>
        </w:rPr>
        <w:t xml:space="preserve"> in accordance with the </w:t>
      </w:r>
      <w:r w:rsidR="007D5900">
        <w:rPr>
          <w:lang w:val="en-GB"/>
        </w:rPr>
        <w:t>Commonwealth Electoral Act</w:t>
      </w:r>
      <w:r w:rsidR="00836D26" w:rsidRPr="00236128">
        <w:rPr>
          <w:lang w:val="en-GB"/>
        </w:rPr>
        <w:t xml:space="preserve"> and are lawful for the purpose of the Covenant. Secondly, the notice and request for reasons cannot be considered arbitrary as these are reasonable, necessary and proportionate measures to achieve the aim of maintaining a compulsory </w:t>
      </w:r>
      <w:r w:rsidR="00666148">
        <w:rPr>
          <w:lang w:val="en-GB"/>
        </w:rPr>
        <w:t xml:space="preserve">voting </w:t>
      </w:r>
      <w:r w:rsidR="00836D26" w:rsidRPr="00236128">
        <w:rPr>
          <w:lang w:val="en-GB"/>
        </w:rPr>
        <w:t>system in Australia.</w:t>
      </w:r>
      <w:r w:rsidR="00027673" w:rsidRPr="00236128">
        <w:rPr>
          <w:rStyle w:val="FootnoteReference"/>
          <w:lang w:val="en-GB"/>
        </w:rPr>
        <w:footnoteReference w:id="7"/>
      </w:r>
      <w:r w:rsidR="00836D26" w:rsidRPr="00236128">
        <w:rPr>
          <w:lang w:val="en-GB"/>
        </w:rPr>
        <w:t xml:space="preserve"> </w:t>
      </w:r>
      <w:r w:rsidR="004D195F" w:rsidRPr="00236128">
        <w:rPr>
          <w:lang w:val="en-GB"/>
        </w:rPr>
        <w:t>The State party points out that there is significant case law in Australia</w:t>
      </w:r>
      <w:r w:rsidR="005E3408" w:rsidRPr="00236128">
        <w:rPr>
          <w:lang w:val="en-GB"/>
        </w:rPr>
        <w:t>n</w:t>
      </w:r>
      <w:r w:rsidR="004D195F" w:rsidRPr="00236128">
        <w:rPr>
          <w:lang w:val="en-GB"/>
        </w:rPr>
        <w:t xml:space="preserve"> courts to guide the </w:t>
      </w:r>
      <w:r w:rsidR="007D5900">
        <w:rPr>
          <w:lang w:val="en-GB"/>
        </w:rPr>
        <w:t>Election Commission</w:t>
      </w:r>
      <w:r w:rsidR="004D195F" w:rsidRPr="00236128">
        <w:rPr>
          <w:lang w:val="en-GB"/>
        </w:rPr>
        <w:t xml:space="preserve"> in determining whether a non-voter has a valid and sufficient reason for failing to vote. These cases indicate that there is a wide range of valid and sufficient reasons for a person failing to vote, including sickness, natural events </w:t>
      </w:r>
      <w:r w:rsidR="00647916" w:rsidRPr="00236128">
        <w:rPr>
          <w:lang w:val="en-GB"/>
        </w:rPr>
        <w:t xml:space="preserve">and </w:t>
      </w:r>
      <w:r w:rsidR="004D195F" w:rsidRPr="00236128">
        <w:rPr>
          <w:lang w:val="en-GB"/>
        </w:rPr>
        <w:t>accidents.</w:t>
      </w:r>
      <w:r w:rsidR="004D195F" w:rsidRPr="00236128">
        <w:rPr>
          <w:rStyle w:val="FootnoteReference"/>
          <w:lang w:val="en-GB"/>
        </w:rPr>
        <w:footnoteReference w:id="8"/>
      </w:r>
      <w:r w:rsidR="004D195F" w:rsidRPr="00236128">
        <w:rPr>
          <w:lang w:val="en-GB"/>
        </w:rPr>
        <w:t xml:space="preserve"> </w:t>
      </w:r>
      <w:r w:rsidR="00B76583" w:rsidRPr="00236128">
        <w:rPr>
          <w:lang w:val="en-GB"/>
        </w:rPr>
        <w:t>In this regard</w:t>
      </w:r>
      <w:r w:rsidR="00D44644">
        <w:rPr>
          <w:lang w:val="en-GB"/>
        </w:rPr>
        <w:t>,</w:t>
      </w:r>
      <w:r w:rsidR="00B76583" w:rsidRPr="00236128">
        <w:rPr>
          <w:lang w:val="en-GB"/>
        </w:rPr>
        <w:t xml:space="preserve"> the author has failed to demonstrate that </w:t>
      </w:r>
      <w:r w:rsidR="00C91702" w:rsidRPr="00236128">
        <w:rPr>
          <w:lang w:val="en-GB"/>
        </w:rPr>
        <w:t xml:space="preserve">the </w:t>
      </w:r>
      <w:r w:rsidR="00B76583" w:rsidRPr="00236128">
        <w:rPr>
          <w:lang w:val="en-GB"/>
        </w:rPr>
        <w:t xml:space="preserve">courts’ interpretation of </w:t>
      </w:r>
      <w:r w:rsidR="00BD40D6">
        <w:rPr>
          <w:lang w:val="en-GB"/>
        </w:rPr>
        <w:t>“</w:t>
      </w:r>
      <w:r w:rsidR="00B76583" w:rsidRPr="00236128">
        <w:rPr>
          <w:lang w:val="en-GB"/>
        </w:rPr>
        <w:t>valid and sufficient</w:t>
      </w:r>
      <w:r w:rsidR="00BD40D6">
        <w:rPr>
          <w:lang w:val="en-GB"/>
        </w:rPr>
        <w:t>”</w:t>
      </w:r>
      <w:r w:rsidR="00B76583" w:rsidRPr="00236128">
        <w:rPr>
          <w:lang w:val="en-GB"/>
        </w:rPr>
        <w:t xml:space="preserve"> under the </w:t>
      </w:r>
      <w:r w:rsidR="007D5900">
        <w:rPr>
          <w:lang w:val="en-GB"/>
        </w:rPr>
        <w:t>Commonwealth Electoral Act</w:t>
      </w:r>
      <w:r w:rsidR="00B76583" w:rsidRPr="00236128">
        <w:rPr>
          <w:lang w:val="en-GB"/>
        </w:rPr>
        <w:t xml:space="preserve"> is manifestly arbitrary or amounted to </w:t>
      </w:r>
      <w:r w:rsidR="00BD40D6">
        <w:rPr>
          <w:lang w:val="en-GB"/>
        </w:rPr>
        <w:t xml:space="preserve">a </w:t>
      </w:r>
      <w:r w:rsidR="00B76583" w:rsidRPr="00236128">
        <w:rPr>
          <w:lang w:val="en-GB"/>
        </w:rPr>
        <w:t>denial of justice.</w:t>
      </w:r>
      <w:r w:rsidR="00B76583" w:rsidRPr="00236128">
        <w:rPr>
          <w:rStyle w:val="FootnoteReference"/>
          <w:lang w:val="en-GB"/>
        </w:rPr>
        <w:footnoteReference w:id="9"/>
      </w:r>
    </w:p>
    <w:p w14:paraId="23236F37" w14:textId="591247AE" w:rsidR="00010E3E" w:rsidRPr="00236128" w:rsidRDefault="00246337" w:rsidP="007A6388">
      <w:pPr>
        <w:pStyle w:val="SingleTxtG"/>
        <w:rPr>
          <w:lang w:val="en-GB"/>
        </w:rPr>
      </w:pPr>
      <w:r w:rsidRPr="00236128">
        <w:rPr>
          <w:lang w:val="en-GB"/>
        </w:rPr>
        <w:t>4.8</w:t>
      </w:r>
      <w:r w:rsidR="00671EC8" w:rsidRPr="00236128">
        <w:rPr>
          <w:lang w:val="en-GB"/>
        </w:rPr>
        <w:tab/>
        <w:t>T</w:t>
      </w:r>
      <w:r w:rsidR="007C7CE3" w:rsidRPr="00236128">
        <w:rPr>
          <w:lang w:val="en-GB"/>
        </w:rPr>
        <w:t xml:space="preserve">he State party maintains that </w:t>
      </w:r>
      <w:r w:rsidR="00671EC8" w:rsidRPr="00236128">
        <w:rPr>
          <w:lang w:val="en-GB"/>
        </w:rPr>
        <w:t xml:space="preserve">the author’s claims under article 18 of the Covenant </w:t>
      </w:r>
      <w:r w:rsidR="007C7CE3" w:rsidRPr="00236128">
        <w:rPr>
          <w:lang w:val="en-GB"/>
        </w:rPr>
        <w:t xml:space="preserve">are inadmissible </w:t>
      </w:r>
      <w:r w:rsidR="00C91702" w:rsidRPr="00236128">
        <w:rPr>
          <w:lang w:val="en-GB"/>
        </w:rPr>
        <w:t xml:space="preserve">as </w:t>
      </w:r>
      <w:r w:rsidR="00BD40D6">
        <w:rPr>
          <w:lang w:val="en-GB"/>
        </w:rPr>
        <w:t xml:space="preserve">they have </w:t>
      </w:r>
      <w:r w:rsidR="00C91702" w:rsidRPr="00236128">
        <w:rPr>
          <w:lang w:val="en-GB"/>
        </w:rPr>
        <w:t>not</w:t>
      </w:r>
      <w:r w:rsidR="007C7CE3" w:rsidRPr="00236128">
        <w:rPr>
          <w:lang w:val="en-GB"/>
        </w:rPr>
        <w:t xml:space="preserve"> </w:t>
      </w:r>
      <w:r w:rsidR="00BD40D6">
        <w:rPr>
          <w:lang w:val="en-GB"/>
        </w:rPr>
        <w:t xml:space="preserve">been </w:t>
      </w:r>
      <w:r w:rsidR="007C7CE3" w:rsidRPr="00236128">
        <w:rPr>
          <w:lang w:val="en-GB"/>
        </w:rPr>
        <w:t>sufficiently substantiated and</w:t>
      </w:r>
      <w:r w:rsidR="00BD40D6">
        <w:rPr>
          <w:lang w:val="en-GB"/>
        </w:rPr>
        <w:t>/</w:t>
      </w:r>
      <w:r w:rsidR="007C7CE3" w:rsidRPr="00236128">
        <w:rPr>
          <w:lang w:val="en-GB"/>
        </w:rPr>
        <w:t xml:space="preserve">or </w:t>
      </w:r>
      <w:r w:rsidR="00BD40D6">
        <w:rPr>
          <w:lang w:val="en-GB"/>
        </w:rPr>
        <w:t xml:space="preserve">are </w:t>
      </w:r>
      <w:r w:rsidR="007C7CE3" w:rsidRPr="00236128">
        <w:rPr>
          <w:lang w:val="en-GB"/>
        </w:rPr>
        <w:t>incompatible with the Covenant</w:t>
      </w:r>
      <w:r w:rsidR="000F1891" w:rsidRPr="00236128">
        <w:rPr>
          <w:lang w:val="en-GB"/>
        </w:rPr>
        <w:t xml:space="preserve"> since his views in relation to </w:t>
      </w:r>
      <w:r w:rsidR="005E3408" w:rsidRPr="00236128">
        <w:rPr>
          <w:lang w:val="en-GB"/>
        </w:rPr>
        <w:t xml:space="preserve">the </w:t>
      </w:r>
      <w:r w:rsidR="000F1891" w:rsidRPr="00236128">
        <w:rPr>
          <w:lang w:val="en-GB"/>
        </w:rPr>
        <w:t>compulsory voting system do not constitute a belief for the purpo</w:t>
      </w:r>
      <w:r w:rsidR="00671EC8" w:rsidRPr="00236128">
        <w:rPr>
          <w:lang w:val="en-GB"/>
        </w:rPr>
        <w:t>se of article 18</w:t>
      </w:r>
      <w:r w:rsidR="000F1891" w:rsidRPr="00236128">
        <w:rPr>
          <w:lang w:val="en-GB"/>
        </w:rPr>
        <w:t xml:space="preserve">. </w:t>
      </w:r>
      <w:r w:rsidRPr="00236128">
        <w:rPr>
          <w:lang w:val="en-GB"/>
        </w:rPr>
        <w:t>T</w:t>
      </w:r>
      <w:r w:rsidR="0075138D" w:rsidRPr="00236128">
        <w:rPr>
          <w:lang w:val="en-GB"/>
        </w:rPr>
        <w:t xml:space="preserve">he preparatory work of the Covenant </w:t>
      </w:r>
      <w:r w:rsidR="0075138D" w:rsidRPr="00236128">
        <w:rPr>
          <w:lang w:val="en-GB"/>
        </w:rPr>
        <w:lastRenderedPageBreak/>
        <w:t xml:space="preserve">suggests that the term </w:t>
      </w:r>
      <w:r w:rsidR="00BD40D6">
        <w:rPr>
          <w:lang w:val="en-GB"/>
        </w:rPr>
        <w:t>“</w:t>
      </w:r>
      <w:r w:rsidR="0075138D" w:rsidRPr="00236128">
        <w:rPr>
          <w:lang w:val="en-GB"/>
        </w:rPr>
        <w:t>belief</w:t>
      </w:r>
      <w:r w:rsidR="00BD40D6">
        <w:rPr>
          <w:lang w:val="en-GB"/>
        </w:rPr>
        <w:t>”</w:t>
      </w:r>
      <w:r w:rsidR="00155DF7" w:rsidRPr="00236128">
        <w:rPr>
          <w:lang w:val="en-GB"/>
        </w:rPr>
        <w:t xml:space="preserve"> </w:t>
      </w:r>
      <w:r w:rsidR="0075138D" w:rsidRPr="00236128">
        <w:rPr>
          <w:lang w:val="en-GB"/>
        </w:rPr>
        <w:t xml:space="preserve">refers to belief systems, ideologies and philosophies of </w:t>
      </w:r>
      <w:r w:rsidR="00155DF7" w:rsidRPr="00236128">
        <w:rPr>
          <w:lang w:val="en-GB"/>
        </w:rPr>
        <w:t xml:space="preserve">life, such as pacifism and atheism, rather than the limitless individual viewpoints on ideas and issues </w:t>
      </w:r>
      <w:r w:rsidR="00091D43">
        <w:rPr>
          <w:lang w:val="en-GB"/>
        </w:rPr>
        <w:t>that</w:t>
      </w:r>
      <w:r w:rsidR="00091D43" w:rsidRPr="00236128">
        <w:rPr>
          <w:lang w:val="en-GB"/>
        </w:rPr>
        <w:t xml:space="preserve"> </w:t>
      </w:r>
      <w:r w:rsidR="00155DF7" w:rsidRPr="00236128">
        <w:rPr>
          <w:lang w:val="en-GB"/>
        </w:rPr>
        <w:t>could be reached for a variety of reasons.</w:t>
      </w:r>
      <w:r w:rsidR="00155DF7" w:rsidRPr="00236128">
        <w:rPr>
          <w:rStyle w:val="FootnoteReference"/>
          <w:lang w:val="en-GB"/>
        </w:rPr>
        <w:footnoteReference w:id="10"/>
      </w:r>
      <w:r w:rsidR="00155DF7" w:rsidRPr="00236128">
        <w:rPr>
          <w:lang w:val="en-GB"/>
        </w:rPr>
        <w:t xml:space="preserve"> The terms </w:t>
      </w:r>
      <w:r w:rsidR="00091D43">
        <w:rPr>
          <w:lang w:val="en-GB"/>
        </w:rPr>
        <w:t>“</w:t>
      </w:r>
      <w:r w:rsidR="00155DF7" w:rsidRPr="00236128">
        <w:rPr>
          <w:lang w:val="en-GB"/>
        </w:rPr>
        <w:t>religion</w:t>
      </w:r>
      <w:r w:rsidR="000A0671">
        <w:rPr>
          <w:lang w:val="en-GB"/>
        </w:rPr>
        <w:t>”</w:t>
      </w:r>
      <w:r w:rsidR="00155DF7" w:rsidRPr="00236128">
        <w:rPr>
          <w:lang w:val="en-GB"/>
        </w:rPr>
        <w:t xml:space="preserve"> and </w:t>
      </w:r>
      <w:r w:rsidR="000A0671">
        <w:rPr>
          <w:lang w:val="en-GB"/>
        </w:rPr>
        <w:t>“</w:t>
      </w:r>
      <w:r w:rsidR="00155DF7" w:rsidRPr="00236128">
        <w:rPr>
          <w:lang w:val="en-GB"/>
        </w:rPr>
        <w:t>belief</w:t>
      </w:r>
      <w:r w:rsidR="00091D43">
        <w:rPr>
          <w:lang w:val="en-GB"/>
        </w:rPr>
        <w:t>”</w:t>
      </w:r>
      <w:r w:rsidR="00155DF7" w:rsidRPr="00236128">
        <w:rPr>
          <w:lang w:val="en-GB"/>
        </w:rPr>
        <w:t xml:space="preserve"> are described in the preparatory work as including</w:t>
      </w:r>
      <w:r w:rsidR="00091D43">
        <w:rPr>
          <w:lang w:val="en-GB"/>
        </w:rPr>
        <w:t>,</w:t>
      </w:r>
      <w:r w:rsidR="00155DF7" w:rsidRPr="00236128">
        <w:rPr>
          <w:lang w:val="en-GB"/>
        </w:rPr>
        <w:t xml:space="preserve"> in addition to various theistic creeds, such other beliefs as agnosticism, free thought, atheism </w:t>
      </w:r>
      <w:r w:rsidR="00E3078E" w:rsidRPr="00236128">
        <w:rPr>
          <w:lang w:val="en-GB"/>
        </w:rPr>
        <w:t xml:space="preserve">and </w:t>
      </w:r>
      <w:r w:rsidR="00155DF7" w:rsidRPr="00236128">
        <w:rPr>
          <w:lang w:val="en-GB"/>
        </w:rPr>
        <w:t>rationalism.</w:t>
      </w:r>
      <w:r w:rsidR="00155DF7" w:rsidRPr="00236128">
        <w:rPr>
          <w:rStyle w:val="FootnoteReference"/>
          <w:lang w:val="en-GB"/>
        </w:rPr>
        <w:footnoteReference w:id="11"/>
      </w:r>
      <w:r w:rsidR="00E3078E" w:rsidRPr="00236128">
        <w:rPr>
          <w:lang w:val="en-GB"/>
        </w:rPr>
        <w:t xml:space="preserve"> </w:t>
      </w:r>
      <w:r w:rsidR="00A76873" w:rsidRPr="00236128">
        <w:rPr>
          <w:lang w:val="en-GB"/>
        </w:rPr>
        <w:t xml:space="preserve">In the present case, </w:t>
      </w:r>
      <w:r w:rsidR="00934A44" w:rsidRPr="00236128">
        <w:rPr>
          <w:lang w:val="en-GB"/>
        </w:rPr>
        <w:t>the author’s views in relation to compulsory voting are not a belief for the purpose of article 18 of the Covenant. His alleged belief is merely a viewpoint that he should not have to attend a polling place on election day and submit a ballot, and is not analogous to a belief system</w:t>
      </w:r>
      <w:r w:rsidR="00091D43">
        <w:rPr>
          <w:lang w:val="en-GB"/>
        </w:rPr>
        <w:t>,</w:t>
      </w:r>
      <w:r w:rsidR="00934A44" w:rsidRPr="00236128">
        <w:rPr>
          <w:lang w:val="en-GB"/>
        </w:rPr>
        <w:t xml:space="preserve"> such as pacifism or atheism. Therefore, his claim is inadmissible </w:t>
      </w:r>
      <w:r w:rsidR="00934A44" w:rsidRPr="00236128">
        <w:rPr>
          <w:i/>
          <w:lang w:val="en-GB"/>
        </w:rPr>
        <w:t>ratione materiae</w:t>
      </w:r>
      <w:r w:rsidR="00934A44" w:rsidRPr="00236128">
        <w:rPr>
          <w:lang w:val="en-GB"/>
        </w:rPr>
        <w:t xml:space="preserve">. In addition, the author has failed to </w:t>
      </w:r>
      <w:r w:rsidR="0033030C">
        <w:rPr>
          <w:lang w:val="en-GB"/>
        </w:rPr>
        <w:t>prove</w:t>
      </w:r>
      <w:r w:rsidR="0033030C" w:rsidRPr="00236128">
        <w:rPr>
          <w:lang w:val="en-GB"/>
        </w:rPr>
        <w:t xml:space="preserve"> </w:t>
      </w:r>
      <w:r w:rsidR="00934A44" w:rsidRPr="00236128">
        <w:rPr>
          <w:lang w:val="en-GB"/>
        </w:rPr>
        <w:t xml:space="preserve">that any limitation </w:t>
      </w:r>
      <w:r w:rsidR="00C91702" w:rsidRPr="00236128">
        <w:rPr>
          <w:lang w:val="en-GB"/>
        </w:rPr>
        <w:t xml:space="preserve">has </w:t>
      </w:r>
      <w:r w:rsidR="00934A44" w:rsidRPr="00236128">
        <w:rPr>
          <w:lang w:val="en-GB"/>
        </w:rPr>
        <w:t xml:space="preserve">been placed on his ability to form a viewpoint in relation to voting and/or that he has been coerced </w:t>
      </w:r>
      <w:r w:rsidR="00091D43">
        <w:rPr>
          <w:lang w:val="en-GB"/>
        </w:rPr>
        <w:t>in</w:t>
      </w:r>
      <w:r w:rsidR="00934A44" w:rsidRPr="00236128">
        <w:rPr>
          <w:lang w:val="en-GB"/>
        </w:rPr>
        <w:t>to chang</w:t>
      </w:r>
      <w:r w:rsidR="00091D43">
        <w:rPr>
          <w:lang w:val="en-GB"/>
        </w:rPr>
        <w:t>ing</w:t>
      </w:r>
      <w:r w:rsidR="00934A44" w:rsidRPr="00236128">
        <w:rPr>
          <w:lang w:val="en-GB"/>
        </w:rPr>
        <w:t xml:space="preserve"> his views. </w:t>
      </w:r>
    </w:p>
    <w:p w14:paraId="216E541F" w14:textId="0AE2A471" w:rsidR="00934A44" w:rsidRPr="00236128" w:rsidRDefault="00246337" w:rsidP="007A6388">
      <w:pPr>
        <w:pStyle w:val="SingleTxtG"/>
        <w:rPr>
          <w:lang w:val="en-GB"/>
        </w:rPr>
      </w:pPr>
      <w:r w:rsidRPr="00236128">
        <w:rPr>
          <w:lang w:val="en-GB"/>
        </w:rPr>
        <w:t>4.9</w:t>
      </w:r>
      <w:r w:rsidR="00934A44" w:rsidRPr="00236128">
        <w:rPr>
          <w:lang w:val="en-GB"/>
        </w:rPr>
        <w:t xml:space="preserve"> </w:t>
      </w:r>
      <w:r w:rsidR="00071B2D" w:rsidRPr="00236128">
        <w:rPr>
          <w:lang w:val="en-GB"/>
        </w:rPr>
        <w:tab/>
      </w:r>
      <w:r w:rsidR="00934A44" w:rsidRPr="00236128">
        <w:rPr>
          <w:lang w:val="en-GB"/>
        </w:rPr>
        <w:t xml:space="preserve">Should the Committee find the author’s claim under article 18 admissible, </w:t>
      </w:r>
      <w:r w:rsidR="00E65489">
        <w:rPr>
          <w:lang w:val="en-GB"/>
        </w:rPr>
        <w:t xml:space="preserve">it </w:t>
      </w:r>
      <w:r w:rsidR="00FE5904">
        <w:rPr>
          <w:lang w:val="en-GB"/>
        </w:rPr>
        <w:t>should find that the claim does not disclose</w:t>
      </w:r>
      <w:r w:rsidR="00E65489">
        <w:rPr>
          <w:lang w:val="en-GB"/>
        </w:rPr>
        <w:t xml:space="preserve"> a</w:t>
      </w:r>
      <w:r w:rsidR="00934A44" w:rsidRPr="00236128">
        <w:rPr>
          <w:lang w:val="en-GB"/>
        </w:rPr>
        <w:t xml:space="preserve"> violation of the Covenant, since the author has failed to show that the State party has placed any limitation on his ability to </w:t>
      </w:r>
      <w:r w:rsidR="002878C0" w:rsidRPr="00236128">
        <w:rPr>
          <w:lang w:val="en-GB"/>
        </w:rPr>
        <w:t>manifest</w:t>
      </w:r>
      <w:r w:rsidR="00934A44" w:rsidRPr="00236128">
        <w:rPr>
          <w:lang w:val="en-GB"/>
        </w:rPr>
        <w:t xml:space="preserve"> his alleged belief or that he has been subject to any kind of coercion. The author was not required to submit a vote on election day, but merely required to attend a polling place and to receive and lodge a ballot paper to fulfil his obligations under the </w:t>
      </w:r>
      <w:r w:rsidR="007D5900">
        <w:rPr>
          <w:lang w:val="en-GB"/>
        </w:rPr>
        <w:t>Commonwealth Electoral Act</w:t>
      </w:r>
      <w:r w:rsidR="005E3408" w:rsidRPr="00236128">
        <w:rPr>
          <w:lang w:val="en-GB"/>
        </w:rPr>
        <w:t xml:space="preserve">. </w:t>
      </w:r>
      <w:r w:rsidR="00BC4E15">
        <w:rPr>
          <w:lang w:val="en-GB"/>
        </w:rPr>
        <w:t>He </w:t>
      </w:r>
      <w:r w:rsidR="00637A5A">
        <w:rPr>
          <w:lang w:val="en-GB"/>
        </w:rPr>
        <w:t>was at liberty</w:t>
      </w:r>
      <w:r w:rsidR="00934A44" w:rsidRPr="00236128">
        <w:rPr>
          <w:lang w:val="en-GB"/>
        </w:rPr>
        <w:t xml:space="preserve"> to exercise his right to vote by submitting a blank or non-complaint ballot paper. The State party points out that the </w:t>
      </w:r>
      <w:r w:rsidR="00637A5A">
        <w:rPr>
          <w:lang w:val="en-GB"/>
        </w:rPr>
        <w:t xml:space="preserve">former </w:t>
      </w:r>
      <w:r w:rsidR="00934A44" w:rsidRPr="00236128">
        <w:rPr>
          <w:lang w:val="en-GB"/>
        </w:rPr>
        <w:t>European Commission o</w:t>
      </w:r>
      <w:r w:rsidR="00637A5A">
        <w:rPr>
          <w:lang w:val="en-GB"/>
        </w:rPr>
        <w:t>n</w:t>
      </w:r>
      <w:r w:rsidR="00934A44" w:rsidRPr="00236128">
        <w:rPr>
          <w:lang w:val="en-GB"/>
        </w:rPr>
        <w:t xml:space="preserve"> Human Rights found compulsory voting to be consistent with the right to freedom of thought, conscience and religion in the Conventio</w:t>
      </w:r>
      <w:r w:rsidR="00AB46C1" w:rsidRPr="00236128">
        <w:rPr>
          <w:lang w:val="en-GB"/>
        </w:rPr>
        <w:t xml:space="preserve">n </w:t>
      </w:r>
      <w:r w:rsidR="00637A5A">
        <w:rPr>
          <w:lang w:val="en-GB"/>
        </w:rPr>
        <w:t>for the Protection of</w:t>
      </w:r>
      <w:r w:rsidR="00AB46C1" w:rsidRPr="00236128">
        <w:rPr>
          <w:lang w:val="en-GB"/>
        </w:rPr>
        <w:t xml:space="preserve"> Human Rights</w:t>
      </w:r>
      <w:r w:rsidR="00637A5A">
        <w:rPr>
          <w:lang w:val="en-GB"/>
        </w:rPr>
        <w:t xml:space="preserve"> and Fundamental Freedoms</w:t>
      </w:r>
      <w:r w:rsidR="00AB46C1" w:rsidRPr="00236128">
        <w:rPr>
          <w:lang w:val="en-GB"/>
        </w:rPr>
        <w:t>.</w:t>
      </w:r>
      <w:r w:rsidR="00AB46C1" w:rsidRPr="00236128">
        <w:rPr>
          <w:rStyle w:val="FootnoteReference"/>
          <w:lang w:val="en-GB"/>
        </w:rPr>
        <w:footnoteReference w:id="12"/>
      </w:r>
      <w:r w:rsidR="00AB46C1" w:rsidRPr="00236128">
        <w:rPr>
          <w:lang w:val="en-GB"/>
        </w:rPr>
        <w:t xml:space="preserve"> In addition, the requirement</w:t>
      </w:r>
      <w:r w:rsidRPr="00236128">
        <w:rPr>
          <w:lang w:val="en-GB"/>
        </w:rPr>
        <w:t xml:space="preserve"> that</w:t>
      </w:r>
      <w:r w:rsidR="00AB46C1" w:rsidRPr="00236128">
        <w:rPr>
          <w:lang w:val="en-GB"/>
        </w:rPr>
        <w:t xml:space="preserve"> the author compl</w:t>
      </w:r>
      <w:r w:rsidR="006D3ED9">
        <w:rPr>
          <w:lang w:val="en-GB"/>
        </w:rPr>
        <w:t>y</w:t>
      </w:r>
      <w:r w:rsidR="00AB46C1" w:rsidRPr="00236128">
        <w:rPr>
          <w:lang w:val="en-GB"/>
        </w:rPr>
        <w:t xml:space="preserve"> with the </w:t>
      </w:r>
      <w:r w:rsidR="007D5900">
        <w:rPr>
          <w:lang w:val="en-GB"/>
        </w:rPr>
        <w:t>Commonwealth Electoral Act</w:t>
      </w:r>
      <w:r w:rsidR="00AB46C1" w:rsidRPr="00236128">
        <w:rPr>
          <w:lang w:val="en-GB"/>
        </w:rPr>
        <w:t xml:space="preserve"> </w:t>
      </w:r>
      <w:r w:rsidR="006A04C6">
        <w:rPr>
          <w:lang w:val="en-GB"/>
        </w:rPr>
        <w:t>by</w:t>
      </w:r>
      <w:r w:rsidR="006A04C6" w:rsidRPr="00236128">
        <w:rPr>
          <w:lang w:val="en-GB"/>
        </w:rPr>
        <w:t xml:space="preserve"> </w:t>
      </w:r>
      <w:r w:rsidR="00AB46C1" w:rsidRPr="00236128">
        <w:rPr>
          <w:lang w:val="en-GB"/>
        </w:rPr>
        <w:t>participat</w:t>
      </w:r>
      <w:r w:rsidR="006A04C6">
        <w:rPr>
          <w:lang w:val="en-GB"/>
        </w:rPr>
        <w:t>ing</w:t>
      </w:r>
      <w:r w:rsidR="00AB46C1" w:rsidRPr="00236128">
        <w:rPr>
          <w:lang w:val="en-GB"/>
        </w:rPr>
        <w:t xml:space="preserve"> in the State party’s system of compulsory voting does not in any way amount to coercion for the purpose of article 18</w:t>
      </w:r>
      <w:r w:rsidR="00637A5A">
        <w:rPr>
          <w:lang w:val="en-GB"/>
        </w:rPr>
        <w:t> </w:t>
      </w:r>
      <w:r w:rsidR="00AB46C1" w:rsidRPr="00236128">
        <w:rPr>
          <w:lang w:val="en-GB"/>
        </w:rPr>
        <w:t xml:space="preserve">(2) of the Covenant. This obligation does not compel the author to alter his views about candidates or compulsory voting, or impair his ability to form such views. </w:t>
      </w:r>
    </w:p>
    <w:p w14:paraId="209DE189" w14:textId="4A3D6E6D" w:rsidR="00CB2A2A" w:rsidRPr="00236128" w:rsidRDefault="00CB2A2A" w:rsidP="007A6388">
      <w:pPr>
        <w:pStyle w:val="SingleTxtG"/>
        <w:rPr>
          <w:lang w:val="en-GB"/>
        </w:rPr>
      </w:pPr>
      <w:r w:rsidRPr="00236128">
        <w:rPr>
          <w:lang w:val="en-GB"/>
        </w:rPr>
        <w:t>4.1</w:t>
      </w:r>
      <w:r w:rsidR="00246337" w:rsidRPr="00236128">
        <w:rPr>
          <w:lang w:val="en-GB"/>
        </w:rPr>
        <w:t>0</w:t>
      </w:r>
      <w:r w:rsidR="00071B2D" w:rsidRPr="00236128">
        <w:rPr>
          <w:lang w:val="en-GB"/>
        </w:rPr>
        <w:tab/>
      </w:r>
      <w:r w:rsidR="00815E98" w:rsidRPr="00236128">
        <w:rPr>
          <w:lang w:val="en-GB"/>
        </w:rPr>
        <w:t>The author’s claims under articles 2</w:t>
      </w:r>
      <w:r w:rsidR="00515B5D">
        <w:rPr>
          <w:lang w:val="en-GB"/>
        </w:rPr>
        <w:t> </w:t>
      </w:r>
      <w:r w:rsidR="00815E98" w:rsidRPr="00236128">
        <w:rPr>
          <w:lang w:val="en-GB"/>
        </w:rPr>
        <w:t>(1</w:t>
      </w:r>
      <w:r w:rsidR="00246337" w:rsidRPr="00236128">
        <w:rPr>
          <w:lang w:val="en-GB"/>
        </w:rPr>
        <w:t xml:space="preserve">) </w:t>
      </w:r>
      <w:r w:rsidR="00FE5904" w:rsidRPr="00CB3F3C">
        <w:rPr>
          <w:lang w:val="en-GB"/>
        </w:rPr>
        <w:t>and</w:t>
      </w:r>
      <w:r w:rsidR="00FE5904" w:rsidRPr="00515B5D">
        <w:rPr>
          <w:lang w:val="en-GB"/>
        </w:rPr>
        <w:t xml:space="preserve"> </w:t>
      </w:r>
      <w:r w:rsidR="00FE5904" w:rsidRPr="00CF5D3E">
        <w:rPr>
          <w:lang w:val="en-GB"/>
        </w:rPr>
        <w:t>26</w:t>
      </w:r>
      <w:r w:rsidR="00FE5904">
        <w:rPr>
          <w:lang w:val="en-GB"/>
        </w:rPr>
        <w:t xml:space="preserve"> </w:t>
      </w:r>
      <w:r w:rsidR="00246337" w:rsidRPr="00236128">
        <w:rPr>
          <w:lang w:val="en-GB"/>
        </w:rPr>
        <w:t>of</w:t>
      </w:r>
      <w:r w:rsidR="00815E98" w:rsidRPr="00236128">
        <w:rPr>
          <w:lang w:val="en-GB"/>
        </w:rPr>
        <w:t xml:space="preserve"> the Covenant are inadmissible since they </w:t>
      </w:r>
      <w:r w:rsidR="00DB371B">
        <w:rPr>
          <w:lang w:val="en-GB"/>
        </w:rPr>
        <w:t>have</w:t>
      </w:r>
      <w:r w:rsidR="00DB371B" w:rsidRPr="00236128">
        <w:rPr>
          <w:lang w:val="en-GB"/>
        </w:rPr>
        <w:t xml:space="preserve"> </w:t>
      </w:r>
      <w:r w:rsidR="00815E98" w:rsidRPr="00236128">
        <w:rPr>
          <w:lang w:val="en-GB"/>
        </w:rPr>
        <w:t xml:space="preserve">not </w:t>
      </w:r>
      <w:r w:rsidR="00DB371B">
        <w:rPr>
          <w:lang w:val="en-GB"/>
        </w:rPr>
        <w:t xml:space="preserve">been </w:t>
      </w:r>
      <w:r w:rsidR="00815E98" w:rsidRPr="00236128">
        <w:rPr>
          <w:lang w:val="en-GB"/>
        </w:rPr>
        <w:t xml:space="preserve">sufficiently substantiated or are incompatible with the Covenant. </w:t>
      </w:r>
      <w:r w:rsidR="00A23E11" w:rsidRPr="00236128">
        <w:rPr>
          <w:lang w:val="en-GB"/>
        </w:rPr>
        <w:t xml:space="preserve">In </w:t>
      </w:r>
      <w:r w:rsidR="00C91702" w:rsidRPr="00236128">
        <w:rPr>
          <w:lang w:val="en-GB"/>
        </w:rPr>
        <w:t xml:space="preserve">the </w:t>
      </w:r>
      <w:r w:rsidR="00A23E11" w:rsidRPr="00236128">
        <w:rPr>
          <w:lang w:val="en-GB"/>
        </w:rPr>
        <w:t>absence of substantive violations of article</w:t>
      </w:r>
      <w:r w:rsidR="00515B5D">
        <w:rPr>
          <w:lang w:val="en-GB"/>
        </w:rPr>
        <w:t>s</w:t>
      </w:r>
      <w:r w:rsidR="00A23E11" w:rsidRPr="00236128">
        <w:rPr>
          <w:lang w:val="en-GB"/>
        </w:rPr>
        <w:t xml:space="preserve"> 17 and 18, the author’s allegations </w:t>
      </w:r>
      <w:r w:rsidR="00515B5D">
        <w:rPr>
          <w:lang w:val="en-GB"/>
        </w:rPr>
        <w:t xml:space="preserve">of </w:t>
      </w:r>
      <w:r w:rsidR="00515B5D" w:rsidRPr="00F106D3">
        <w:rPr>
          <w:lang w:val="en-GB"/>
        </w:rPr>
        <w:t xml:space="preserve">discrimination </w:t>
      </w:r>
      <w:r w:rsidR="00A23E11" w:rsidRPr="00236128">
        <w:rPr>
          <w:lang w:val="en-GB"/>
        </w:rPr>
        <w:t>under article 2</w:t>
      </w:r>
      <w:r w:rsidR="00515B5D">
        <w:rPr>
          <w:lang w:val="en-GB"/>
        </w:rPr>
        <w:t> </w:t>
      </w:r>
      <w:r w:rsidR="00A23E11" w:rsidRPr="00236128">
        <w:rPr>
          <w:lang w:val="en-GB"/>
        </w:rPr>
        <w:t xml:space="preserve">(1) are inadmissible </w:t>
      </w:r>
      <w:r w:rsidR="00A23E11" w:rsidRPr="00236128">
        <w:rPr>
          <w:i/>
          <w:lang w:val="en-GB"/>
        </w:rPr>
        <w:t>ratione materiae</w:t>
      </w:r>
      <w:r w:rsidR="00815E98" w:rsidRPr="00236128">
        <w:rPr>
          <w:lang w:val="en-GB"/>
        </w:rPr>
        <w:t xml:space="preserve"> </w:t>
      </w:r>
      <w:r w:rsidR="00A23E11" w:rsidRPr="00236128">
        <w:rPr>
          <w:lang w:val="en-GB"/>
        </w:rPr>
        <w:t xml:space="preserve">due to the accessory character of article 2. </w:t>
      </w:r>
      <w:r w:rsidR="005E3408" w:rsidRPr="00236128">
        <w:rPr>
          <w:lang w:val="en-GB"/>
        </w:rPr>
        <w:t>Furthermore, t</w:t>
      </w:r>
      <w:r w:rsidR="003E6418" w:rsidRPr="00236128">
        <w:rPr>
          <w:lang w:val="en-GB"/>
        </w:rPr>
        <w:t>he author has failed to substantiate his allegations of discrimination under article 26 of the Covenant. Should the Committee find th</w:t>
      </w:r>
      <w:r w:rsidR="00401101">
        <w:rPr>
          <w:lang w:val="en-GB"/>
        </w:rPr>
        <w:t>o</w:t>
      </w:r>
      <w:r w:rsidR="003E6418" w:rsidRPr="00236128">
        <w:rPr>
          <w:lang w:val="en-GB"/>
        </w:rPr>
        <w:t xml:space="preserve">se allegations admissible, they do not reveal a violation of the Covenant. </w:t>
      </w:r>
      <w:r w:rsidR="00086541" w:rsidRPr="00236128">
        <w:rPr>
          <w:lang w:val="en-GB"/>
        </w:rPr>
        <w:t>There has been no differential treatment in the author’s case</w:t>
      </w:r>
      <w:r w:rsidR="005E3408" w:rsidRPr="00236128">
        <w:rPr>
          <w:lang w:val="en-GB"/>
        </w:rPr>
        <w:t>,</w:t>
      </w:r>
      <w:r w:rsidR="00086541" w:rsidRPr="00236128">
        <w:rPr>
          <w:lang w:val="en-GB"/>
        </w:rPr>
        <w:t xml:space="preserve"> as the </w:t>
      </w:r>
      <w:r w:rsidR="007D5900">
        <w:rPr>
          <w:lang w:val="en-GB"/>
        </w:rPr>
        <w:t>Commonwealth Electoral Act</w:t>
      </w:r>
      <w:r w:rsidR="00086541" w:rsidRPr="00236128">
        <w:rPr>
          <w:lang w:val="en-GB"/>
        </w:rPr>
        <w:t xml:space="preserve"> requires all Australian electors to vote. The </w:t>
      </w:r>
      <w:r w:rsidR="007D5900">
        <w:rPr>
          <w:lang w:val="en-GB"/>
        </w:rPr>
        <w:t>Commonwealth Electoral Act</w:t>
      </w:r>
      <w:r w:rsidR="00086541" w:rsidRPr="00236128">
        <w:rPr>
          <w:lang w:val="en-GB"/>
        </w:rPr>
        <w:t xml:space="preserve"> also provides </w:t>
      </w:r>
      <w:r w:rsidR="00D137B4" w:rsidRPr="00236128">
        <w:rPr>
          <w:lang w:val="en-GB"/>
        </w:rPr>
        <w:t xml:space="preserve">an </w:t>
      </w:r>
      <w:r w:rsidR="00086541" w:rsidRPr="00236128">
        <w:rPr>
          <w:lang w:val="en-GB"/>
        </w:rPr>
        <w:t>exception for persons who can provide a valid and sufficient reason for not voting, which applies to all v</w:t>
      </w:r>
      <w:r w:rsidR="00A9673F" w:rsidRPr="00236128">
        <w:rPr>
          <w:lang w:val="en-GB"/>
        </w:rPr>
        <w:t>oters, including the author</w:t>
      </w:r>
      <w:r w:rsidR="00086541" w:rsidRPr="00236128">
        <w:rPr>
          <w:lang w:val="en-GB"/>
        </w:rPr>
        <w:t xml:space="preserve">. The fact that the </w:t>
      </w:r>
      <w:r w:rsidR="007D5900">
        <w:rPr>
          <w:lang w:val="en-GB"/>
        </w:rPr>
        <w:t>Election Commission</w:t>
      </w:r>
      <w:r w:rsidR="00246337" w:rsidRPr="00236128">
        <w:rPr>
          <w:lang w:val="en-GB"/>
        </w:rPr>
        <w:t xml:space="preserve">’s </w:t>
      </w:r>
      <w:r w:rsidR="00086541" w:rsidRPr="00236128">
        <w:rPr>
          <w:lang w:val="en-GB"/>
        </w:rPr>
        <w:t xml:space="preserve">decision was </w:t>
      </w:r>
      <w:r w:rsidR="00401101" w:rsidRPr="00E27706">
        <w:rPr>
          <w:lang w:val="en-GB"/>
        </w:rPr>
        <w:t>unfavourable</w:t>
      </w:r>
      <w:r w:rsidR="00086541" w:rsidRPr="00236128">
        <w:rPr>
          <w:lang w:val="en-GB"/>
        </w:rPr>
        <w:t xml:space="preserve"> to the author does not mean that he received differential treatment. On the other hand, the </w:t>
      </w:r>
      <w:r w:rsidR="007D5900">
        <w:rPr>
          <w:lang w:val="en-GB"/>
        </w:rPr>
        <w:t>Election Commission</w:t>
      </w:r>
      <w:r w:rsidR="00086541" w:rsidRPr="00236128">
        <w:rPr>
          <w:lang w:val="en-GB"/>
        </w:rPr>
        <w:t>’s express recognition that people who have religious duty may have valid reasons not to vote constitutes legitimate differential treatment and does not constitute a breach of article</w:t>
      </w:r>
      <w:r w:rsidR="00092D64" w:rsidRPr="00236128">
        <w:rPr>
          <w:lang w:val="en-GB"/>
        </w:rPr>
        <w:t>s</w:t>
      </w:r>
      <w:r w:rsidR="0078519F" w:rsidRPr="00236128">
        <w:rPr>
          <w:lang w:val="en-GB"/>
        </w:rPr>
        <w:t xml:space="preserve"> </w:t>
      </w:r>
      <w:r w:rsidR="00FE5904" w:rsidRPr="009A0DD6">
        <w:rPr>
          <w:lang w:val="en-GB"/>
        </w:rPr>
        <w:t>2</w:t>
      </w:r>
      <w:r w:rsidR="00FE5904">
        <w:rPr>
          <w:lang w:val="en-GB"/>
        </w:rPr>
        <w:t> </w:t>
      </w:r>
      <w:r w:rsidR="00FE5904" w:rsidRPr="009A0DD6">
        <w:rPr>
          <w:lang w:val="en-GB"/>
        </w:rPr>
        <w:t xml:space="preserve">(1) </w:t>
      </w:r>
      <w:r w:rsidR="00246337" w:rsidRPr="00236128">
        <w:rPr>
          <w:lang w:val="en-GB"/>
        </w:rPr>
        <w:t xml:space="preserve">or </w:t>
      </w:r>
      <w:r w:rsidR="00FE5904" w:rsidRPr="007D1995">
        <w:rPr>
          <w:lang w:val="en-GB"/>
        </w:rPr>
        <w:t>26</w:t>
      </w:r>
      <w:r w:rsidR="00FE5904">
        <w:rPr>
          <w:lang w:val="en-GB"/>
        </w:rPr>
        <w:t xml:space="preserve"> </w:t>
      </w:r>
      <w:r w:rsidR="00086541" w:rsidRPr="00236128">
        <w:rPr>
          <w:lang w:val="en-GB"/>
        </w:rPr>
        <w:t xml:space="preserve">of the Covenant. In this sense, the meaning of </w:t>
      </w:r>
      <w:r w:rsidR="00401101">
        <w:rPr>
          <w:lang w:val="en-GB"/>
        </w:rPr>
        <w:t>“</w:t>
      </w:r>
      <w:r w:rsidR="00086541" w:rsidRPr="00236128">
        <w:rPr>
          <w:lang w:val="en-GB"/>
        </w:rPr>
        <w:t>valid and sufficient reason</w:t>
      </w:r>
      <w:r w:rsidR="00401101">
        <w:rPr>
          <w:lang w:val="en-GB"/>
        </w:rPr>
        <w:t>”</w:t>
      </w:r>
      <w:r w:rsidR="00086541" w:rsidRPr="00236128">
        <w:rPr>
          <w:lang w:val="en-GB"/>
        </w:rPr>
        <w:t xml:space="preserve"> in subsection 245</w:t>
      </w:r>
      <w:r w:rsidR="00401101">
        <w:rPr>
          <w:lang w:val="en-GB"/>
        </w:rPr>
        <w:t> </w:t>
      </w:r>
      <w:r w:rsidR="00086541" w:rsidRPr="00236128">
        <w:rPr>
          <w:lang w:val="en-GB"/>
        </w:rPr>
        <w:t xml:space="preserve">(14) of the </w:t>
      </w:r>
      <w:r w:rsidR="007D5900">
        <w:rPr>
          <w:lang w:val="en-GB"/>
        </w:rPr>
        <w:t>Commonwealth Electoral Act</w:t>
      </w:r>
      <w:r w:rsidR="00086541" w:rsidRPr="00236128">
        <w:rPr>
          <w:lang w:val="en-GB"/>
        </w:rPr>
        <w:t xml:space="preserve"> specifically recognizes the possible conflict between compulsory voting and religious duty. </w:t>
      </w:r>
      <w:r w:rsidR="00092D64" w:rsidRPr="00236128">
        <w:rPr>
          <w:lang w:val="en-GB"/>
        </w:rPr>
        <w:t xml:space="preserve">Moreover, </w:t>
      </w:r>
      <w:r w:rsidR="00086541" w:rsidRPr="00236128">
        <w:rPr>
          <w:lang w:val="en-GB"/>
        </w:rPr>
        <w:t xml:space="preserve">providing an exception on the basis of religious duty is a proportionate response, based </w:t>
      </w:r>
      <w:r w:rsidR="00092D64" w:rsidRPr="00236128">
        <w:rPr>
          <w:lang w:val="en-GB"/>
        </w:rPr>
        <w:t>on reasonable and objective criteria</w:t>
      </w:r>
      <w:r w:rsidR="00086541" w:rsidRPr="00236128">
        <w:rPr>
          <w:lang w:val="en-GB"/>
        </w:rPr>
        <w:t xml:space="preserve">, to the legitimate objective of allowing persons to manifest and practice </w:t>
      </w:r>
      <w:r w:rsidR="00092D64" w:rsidRPr="00236128">
        <w:rPr>
          <w:lang w:val="en-GB"/>
        </w:rPr>
        <w:t>their religion</w:t>
      </w:r>
      <w:r w:rsidR="00D137B4" w:rsidRPr="00236128">
        <w:rPr>
          <w:lang w:val="en-GB"/>
        </w:rPr>
        <w:t>,</w:t>
      </w:r>
      <w:r w:rsidR="00092D64" w:rsidRPr="00236128">
        <w:rPr>
          <w:lang w:val="en-GB"/>
        </w:rPr>
        <w:t xml:space="preserve"> and thus consistent with the State party’s obligations under article 18</w:t>
      </w:r>
      <w:r w:rsidR="00401101">
        <w:rPr>
          <w:lang w:val="en-GB"/>
        </w:rPr>
        <w:t> </w:t>
      </w:r>
      <w:r w:rsidR="00092D64" w:rsidRPr="00236128">
        <w:rPr>
          <w:lang w:val="en-GB"/>
        </w:rPr>
        <w:t>(1) of the Covenant.</w:t>
      </w:r>
    </w:p>
    <w:p w14:paraId="63E2080E" w14:textId="66AEFBA7" w:rsidR="00092D64" w:rsidRPr="00236128" w:rsidRDefault="00246337" w:rsidP="007A6388">
      <w:pPr>
        <w:pStyle w:val="SingleTxtG"/>
        <w:rPr>
          <w:lang w:val="en-GB"/>
        </w:rPr>
      </w:pPr>
      <w:r w:rsidRPr="00236128">
        <w:rPr>
          <w:lang w:val="en-GB"/>
        </w:rPr>
        <w:t>4.11</w:t>
      </w:r>
      <w:r w:rsidR="00071B2D" w:rsidRPr="00236128">
        <w:rPr>
          <w:lang w:val="en-GB"/>
        </w:rPr>
        <w:tab/>
      </w:r>
      <w:r w:rsidR="00092D64" w:rsidRPr="00236128">
        <w:rPr>
          <w:lang w:val="en-GB"/>
        </w:rPr>
        <w:t xml:space="preserve">The author’s allegations of </w:t>
      </w:r>
      <w:r w:rsidR="00401101">
        <w:rPr>
          <w:lang w:val="en-GB"/>
        </w:rPr>
        <w:t xml:space="preserve">a </w:t>
      </w:r>
      <w:r w:rsidR="00092D64" w:rsidRPr="00236128">
        <w:rPr>
          <w:lang w:val="en-GB"/>
        </w:rPr>
        <w:t>violation of article 2</w:t>
      </w:r>
      <w:r w:rsidR="00401101">
        <w:rPr>
          <w:lang w:val="en-GB"/>
        </w:rPr>
        <w:t> </w:t>
      </w:r>
      <w:r w:rsidR="00092D64" w:rsidRPr="00236128">
        <w:rPr>
          <w:lang w:val="en-GB"/>
        </w:rPr>
        <w:t xml:space="preserve">(2) and (3) are inadmissible as </w:t>
      </w:r>
      <w:r w:rsidR="00A73917">
        <w:rPr>
          <w:lang w:val="en-GB"/>
        </w:rPr>
        <w:t xml:space="preserve">they are </w:t>
      </w:r>
      <w:r w:rsidR="00092D64" w:rsidRPr="00236128">
        <w:rPr>
          <w:lang w:val="en-GB"/>
        </w:rPr>
        <w:t>incompatible with the provisions of the Covenant. Th</w:t>
      </w:r>
      <w:r w:rsidR="00A73917">
        <w:rPr>
          <w:lang w:val="en-GB"/>
        </w:rPr>
        <w:t>o</w:t>
      </w:r>
      <w:r w:rsidR="00092D64" w:rsidRPr="00236128">
        <w:rPr>
          <w:lang w:val="en-GB"/>
        </w:rPr>
        <w:t xml:space="preserve">se provisions do not </w:t>
      </w:r>
      <w:r w:rsidR="00092D64" w:rsidRPr="00236128">
        <w:rPr>
          <w:lang w:val="en-GB"/>
        </w:rPr>
        <w:lastRenderedPageBreak/>
        <w:t>themselves confer any substantive rights</w:t>
      </w:r>
      <w:r w:rsidR="00A73917">
        <w:rPr>
          <w:lang w:val="en-GB"/>
        </w:rPr>
        <w:t>,</w:t>
      </w:r>
      <w:r w:rsidR="00092D64" w:rsidRPr="00236128">
        <w:rPr>
          <w:lang w:val="en-GB"/>
        </w:rPr>
        <w:t xml:space="preserve"> except </w:t>
      </w:r>
      <w:r w:rsidR="00A73917">
        <w:rPr>
          <w:lang w:val="en-GB"/>
        </w:rPr>
        <w:t>in cases in which</w:t>
      </w:r>
      <w:r w:rsidR="00A73917" w:rsidRPr="00236128">
        <w:rPr>
          <w:lang w:val="en-GB"/>
        </w:rPr>
        <w:t xml:space="preserve"> </w:t>
      </w:r>
      <w:r w:rsidR="00092D64" w:rsidRPr="00236128">
        <w:rPr>
          <w:lang w:val="en-GB"/>
        </w:rPr>
        <w:t xml:space="preserve">the Committee finds that there is a violation of another right of the Covenant. </w:t>
      </w:r>
      <w:r w:rsidR="00DB371B">
        <w:rPr>
          <w:lang w:val="en-GB"/>
        </w:rPr>
        <w:t>I</w:t>
      </w:r>
      <w:r w:rsidR="0078519F" w:rsidRPr="00236128">
        <w:rPr>
          <w:lang w:val="en-GB"/>
        </w:rPr>
        <w:t>f the author is to argue that there has been a violation of his rights under article 2</w:t>
      </w:r>
      <w:r w:rsidR="00A73917">
        <w:rPr>
          <w:lang w:val="en-GB"/>
        </w:rPr>
        <w:t> </w:t>
      </w:r>
      <w:r w:rsidR="0078519F" w:rsidRPr="00236128">
        <w:rPr>
          <w:lang w:val="en-GB"/>
        </w:rPr>
        <w:t>(3), h</w:t>
      </w:r>
      <w:r w:rsidR="00A9673F" w:rsidRPr="00236128">
        <w:rPr>
          <w:lang w:val="en-GB"/>
        </w:rPr>
        <w:t>e must first provide sufficient</w:t>
      </w:r>
      <w:r w:rsidR="0078519F" w:rsidRPr="00236128">
        <w:rPr>
          <w:lang w:val="en-GB"/>
        </w:rPr>
        <w:t xml:space="preserve"> evidence to substantiate </w:t>
      </w:r>
      <w:r w:rsidR="00A9673F" w:rsidRPr="00236128">
        <w:rPr>
          <w:lang w:val="en-GB"/>
        </w:rPr>
        <w:t>his allegations that there has b</w:t>
      </w:r>
      <w:r w:rsidR="0078519F" w:rsidRPr="00236128">
        <w:rPr>
          <w:lang w:val="en-GB"/>
        </w:rPr>
        <w:t>een a breach of his substantive rights under article</w:t>
      </w:r>
      <w:r w:rsidR="00DB371B">
        <w:rPr>
          <w:lang w:val="en-GB"/>
        </w:rPr>
        <w:t>s</w:t>
      </w:r>
      <w:r w:rsidR="0078519F" w:rsidRPr="00236128">
        <w:rPr>
          <w:lang w:val="en-GB"/>
        </w:rPr>
        <w:t xml:space="preserve"> 17, 18 or 26, and then demonstrate that he did not have access to an effective remedy. </w:t>
      </w:r>
    </w:p>
    <w:p w14:paraId="715BDF45" w14:textId="61F92E60" w:rsidR="00811C9D" w:rsidRPr="00236128" w:rsidRDefault="00A34704" w:rsidP="007A6388">
      <w:pPr>
        <w:pStyle w:val="SingleTxtG"/>
        <w:rPr>
          <w:lang w:val="en-GB"/>
        </w:rPr>
      </w:pPr>
      <w:r w:rsidRPr="00236128">
        <w:rPr>
          <w:lang w:val="en-GB"/>
        </w:rPr>
        <w:t>4.1</w:t>
      </w:r>
      <w:r w:rsidR="0078519F" w:rsidRPr="00236128">
        <w:rPr>
          <w:lang w:val="en-GB"/>
        </w:rPr>
        <w:t>2</w:t>
      </w:r>
      <w:r w:rsidR="00071B2D" w:rsidRPr="00236128">
        <w:rPr>
          <w:lang w:val="en-GB"/>
        </w:rPr>
        <w:tab/>
      </w:r>
      <w:r w:rsidRPr="00236128">
        <w:rPr>
          <w:lang w:val="en-GB"/>
        </w:rPr>
        <w:t xml:space="preserve">The State party maintains that the author’s allegations of </w:t>
      </w:r>
      <w:r w:rsidR="006C710C">
        <w:rPr>
          <w:lang w:val="en-GB"/>
        </w:rPr>
        <w:t xml:space="preserve">a </w:t>
      </w:r>
      <w:r w:rsidRPr="00236128">
        <w:rPr>
          <w:lang w:val="en-GB"/>
        </w:rPr>
        <w:t xml:space="preserve">violation of article 50 of the Covenant are inadmissible </w:t>
      </w:r>
      <w:r w:rsidRPr="00236128">
        <w:rPr>
          <w:i/>
          <w:lang w:val="en-GB"/>
        </w:rPr>
        <w:t>ratione materiae</w:t>
      </w:r>
      <w:r w:rsidR="006C710C">
        <w:rPr>
          <w:lang w:val="en-GB"/>
        </w:rPr>
        <w:t xml:space="preserve"> since</w:t>
      </w:r>
      <w:r w:rsidRPr="00236128">
        <w:rPr>
          <w:lang w:val="en-GB"/>
        </w:rPr>
        <w:t xml:space="preserve"> they have not been sufficiently substantiated for the purpose of admissibility.</w:t>
      </w:r>
      <w:r w:rsidRPr="00236128">
        <w:rPr>
          <w:rStyle w:val="FootnoteReference"/>
          <w:lang w:val="en-GB"/>
        </w:rPr>
        <w:footnoteReference w:id="13"/>
      </w:r>
      <w:r w:rsidRPr="00236128">
        <w:rPr>
          <w:lang w:val="en-GB"/>
        </w:rPr>
        <w:t xml:space="preserve"> </w:t>
      </w:r>
    </w:p>
    <w:p w14:paraId="6C914044" w14:textId="5B69D263" w:rsidR="00323FF5" w:rsidRPr="00236128" w:rsidRDefault="00857CD0" w:rsidP="00857CD0">
      <w:pPr>
        <w:pStyle w:val="H23G"/>
      </w:pPr>
      <w:r w:rsidRPr="00236128">
        <w:tab/>
      </w:r>
      <w:r w:rsidRPr="00236128">
        <w:tab/>
      </w:r>
      <w:r w:rsidR="00E574B8" w:rsidRPr="00236128">
        <w:t>Author’</w:t>
      </w:r>
      <w:r w:rsidR="00BB119A" w:rsidRPr="00236128">
        <w:t>s</w:t>
      </w:r>
      <w:r w:rsidR="00323FF5" w:rsidRPr="00236128">
        <w:t xml:space="preserve"> comments on the State party</w:t>
      </w:r>
      <w:r w:rsidR="001C19FE">
        <w:t>’s</w:t>
      </w:r>
      <w:r w:rsidR="00323FF5" w:rsidRPr="00236128">
        <w:t xml:space="preserve"> observations on admissibility</w:t>
      </w:r>
      <w:r w:rsidR="00BB119A" w:rsidRPr="00236128">
        <w:t xml:space="preserve"> and </w:t>
      </w:r>
      <w:r w:rsidR="001C19FE">
        <w:t xml:space="preserve">the </w:t>
      </w:r>
      <w:r w:rsidR="00BB119A" w:rsidRPr="00236128">
        <w:t>merits</w:t>
      </w:r>
    </w:p>
    <w:p w14:paraId="1B5B679E" w14:textId="031F2CAF" w:rsidR="001413EA" w:rsidRPr="00236128" w:rsidRDefault="00323FF5" w:rsidP="007A6388">
      <w:pPr>
        <w:pStyle w:val="SingleTxtG"/>
        <w:rPr>
          <w:lang w:val="en-GB"/>
        </w:rPr>
      </w:pPr>
      <w:r w:rsidRPr="00236128">
        <w:rPr>
          <w:lang w:val="en-GB"/>
        </w:rPr>
        <w:t>5.1</w:t>
      </w:r>
      <w:r w:rsidR="00857CD0" w:rsidRPr="00236128">
        <w:rPr>
          <w:lang w:val="en-GB"/>
        </w:rPr>
        <w:tab/>
      </w:r>
      <w:r w:rsidR="005E3408" w:rsidRPr="00236128">
        <w:rPr>
          <w:lang w:val="en-GB"/>
        </w:rPr>
        <w:t>T</w:t>
      </w:r>
      <w:r w:rsidR="00BB119A" w:rsidRPr="00236128">
        <w:rPr>
          <w:lang w:val="en-GB"/>
        </w:rPr>
        <w:t>he author</w:t>
      </w:r>
      <w:r w:rsidRPr="00236128">
        <w:rPr>
          <w:lang w:val="en-GB"/>
        </w:rPr>
        <w:t xml:space="preserve"> submitted comments on the State party’s observations</w:t>
      </w:r>
      <w:r w:rsidR="00A536CF" w:rsidRPr="00236128">
        <w:rPr>
          <w:lang w:val="en-GB"/>
        </w:rPr>
        <w:t xml:space="preserve"> </w:t>
      </w:r>
      <w:r w:rsidR="005E3408" w:rsidRPr="00236128">
        <w:rPr>
          <w:lang w:val="en-GB"/>
        </w:rPr>
        <w:t>in letters dated 31</w:t>
      </w:r>
      <w:r w:rsidR="001D16A0">
        <w:rPr>
          <w:lang w:val="en-GB"/>
        </w:rPr>
        <w:t> </w:t>
      </w:r>
      <w:r w:rsidR="005E3408" w:rsidRPr="00236128">
        <w:rPr>
          <w:lang w:val="en-GB"/>
        </w:rPr>
        <w:t>March 2014, 10 and 17 November 2014 and 28 May 2015.</w:t>
      </w:r>
      <w:r w:rsidRPr="00236128">
        <w:rPr>
          <w:lang w:val="en-GB"/>
        </w:rPr>
        <w:t xml:space="preserve"> </w:t>
      </w:r>
      <w:r w:rsidR="00C46528" w:rsidRPr="00236128">
        <w:rPr>
          <w:lang w:val="en-GB"/>
        </w:rPr>
        <w:t xml:space="preserve">He </w:t>
      </w:r>
      <w:r w:rsidR="0021293F" w:rsidRPr="00236128">
        <w:rPr>
          <w:lang w:val="en-GB"/>
        </w:rPr>
        <w:t>asserts</w:t>
      </w:r>
      <w:r w:rsidR="00C46528" w:rsidRPr="00236128">
        <w:rPr>
          <w:lang w:val="en-GB"/>
        </w:rPr>
        <w:t xml:space="preserve"> that the</w:t>
      </w:r>
      <w:r w:rsidR="0021293F" w:rsidRPr="00236128">
        <w:rPr>
          <w:lang w:val="en-GB"/>
        </w:rPr>
        <w:t xml:space="preserve"> State party did not provide any reasonable and objective </w:t>
      </w:r>
      <w:r w:rsidR="00C46528" w:rsidRPr="00236128">
        <w:rPr>
          <w:lang w:val="en-GB"/>
        </w:rPr>
        <w:t xml:space="preserve">justification for a distinction between his thoughts, belief and opinions and those of </w:t>
      </w:r>
      <w:r w:rsidR="006C710C">
        <w:rPr>
          <w:lang w:val="en-GB"/>
        </w:rPr>
        <w:t xml:space="preserve">a </w:t>
      </w:r>
      <w:r w:rsidR="00C46528" w:rsidRPr="00236128">
        <w:rPr>
          <w:lang w:val="en-GB"/>
        </w:rPr>
        <w:t xml:space="preserve">similar nature </w:t>
      </w:r>
      <w:r w:rsidR="006C710C">
        <w:rPr>
          <w:lang w:val="en-GB"/>
        </w:rPr>
        <w:t>held by</w:t>
      </w:r>
      <w:r w:rsidR="006C710C" w:rsidRPr="00236128">
        <w:rPr>
          <w:lang w:val="en-GB"/>
        </w:rPr>
        <w:t xml:space="preserve"> </w:t>
      </w:r>
      <w:r w:rsidR="00C46528" w:rsidRPr="00236128">
        <w:rPr>
          <w:lang w:val="en-GB"/>
        </w:rPr>
        <w:t xml:space="preserve">other Australian citizens </w:t>
      </w:r>
      <w:r w:rsidR="006C710C">
        <w:rPr>
          <w:lang w:val="en-GB"/>
        </w:rPr>
        <w:t xml:space="preserve">who had been </w:t>
      </w:r>
      <w:r w:rsidR="00C46528" w:rsidRPr="00236128">
        <w:rPr>
          <w:lang w:val="en-GB"/>
        </w:rPr>
        <w:t>exempt</w:t>
      </w:r>
      <w:r w:rsidR="002878C0" w:rsidRPr="00236128">
        <w:rPr>
          <w:lang w:val="en-GB"/>
        </w:rPr>
        <w:t>ed</w:t>
      </w:r>
      <w:r w:rsidR="00C46528" w:rsidRPr="00236128">
        <w:rPr>
          <w:lang w:val="en-GB"/>
        </w:rPr>
        <w:t xml:space="preserve"> from </w:t>
      </w:r>
      <w:r w:rsidR="006C710C">
        <w:rPr>
          <w:lang w:val="en-GB"/>
        </w:rPr>
        <w:t xml:space="preserve">the </w:t>
      </w:r>
      <w:r w:rsidR="00C46528" w:rsidRPr="00236128">
        <w:rPr>
          <w:lang w:val="en-GB"/>
        </w:rPr>
        <w:t>penalty for not voting</w:t>
      </w:r>
      <w:r w:rsidR="005E3408" w:rsidRPr="00236128">
        <w:rPr>
          <w:lang w:val="en-GB"/>
        </w:rPr>
        <w:t>.</w:t>
      </w:r>
      <w:r w:rsidR="0021293F" w:rsidRPr="00236128">
        <w:rPr>
          <w:lang w:val="en-GB"/>
        </w:rPr>
        <w:t xml:space="preserve"> </w:t>
      </w:r>
      <w:r w:rsidR="005E3408" w:rsidRPr="00236128">
        <w:rPr>
          <w:lang w:val="en-GB"/>
        </w:rPr>
        <w:t>Accordingly, he has been subjected to</w:t>
      </w:r>
      <w:r w:rsidR="0021293F" w:rsidRPr="00236128">
        <w:rPr>
          <w:lang w:val="en-GB"/>
        </w:rPr>
        <w:t xml:space="preserve"> discriminatory treatment</w:t>
      </w:r>
      <w:r w:rsidR="009329CF" w:rsidRPr="00236128">
        <w:rPr>
          <w:lang w:val="en-GB"/>
        </w:rPr>
        <w:t xml:space="preserve"> </w:t>
      </w:r>
      <w:r w:rsidR="005E3408" w:rsidRPr="00236128">
        <w:rPr>
          <w:lang w:val="en-GB"/>
        </w:rPr>
        <w:t>regarding his rights</w:t>
      </w:r>
      <w:r w:rsidR="009329CF" w:rsidRPr="00236128">
        <w:rPr>
          <w:lang w:val="en-GB"/>
        </w:rPr>
        <w:t xml:space="preserve"> under article 18, read in conjunction with</w:t>
      </w:r>
      <w:r w:rsidR="0021293F" w:rsidRPr="00236128">
        <w:rPr>
          <w:lang w:val="en-GB"/>
        </w:rPr>
        <w:t xml:space="preserve"> article 2</w:t>
      </w:r>
      <w:r w:rsidR="00856096">
        <w:rPr>
          <w:lang w:val="en-GB"/>
        </w:rPr>
        <w:t> </w:t>
      </w:r>
      <w:r w:rsidR="0021293F" w:rsidRPr="00236128">
        <w:rPr>
          <w:lang w:val="en-GB"/>
        </w:rPr>
        <w:t xml:space="preserve">(1) of the Covenant. </w:t>
      </w:r>
    </w:p>
    <w:p w14:paraId="1CA2D611" w14:textId="6D5C23A2" w:rsidR="000E5001" w:rsidRPr="00236128" w:rsidRDefault="00071B2D" w:rsidP="007A6388">
      <w:pPr>
        <w:pStyle w:val="SingleTxtG"/>
        <w:rPr>
          <w:lang w:val="en-GB"/>
        </w:rPr>
      </w:pPr>
      <w:r w:rsidRPr="00236128">
        <w:rPr>
          <w:lang w:val="en-GB"/>
        </w:rPr>
        <w:t>5.2</w:t>
      </w:r>
      <w:r w:rsidR="0021293F" w:rsidRPr="00236128">
        <w:rPr>
          <w:lang w:val="en-GB"/>
        </w:rPr>
        <w:tab/>
      </w:r>
      <w:r w:rsidR="000E5001" w:rsidRPr="00236128">
        <w:rPr>
          <w:lang w:val="en-GB"/>
        </w:rPr>
        <w:t>Concerning the State party’s observation regarding article 25 of the Covenant, t</w:t>
      </w:r>
      <w:r w:rsidR="0021293F" w:rsidRPr="00236128">
        <w:rPr>
          <w:lang w:val="en-GB"/>
        </w:rPr>
        <w:t xml:space="preserve">he author claims </w:t>
      </w:r>
      <w:r w:rsidR="00CE59E7" w:rsidRPr="00236128">
        <w:rPr>
          <w:lang w:val="en-GB"/>
        </w:rPr>
        <w:t xml:space="preserve">that the </w:t>
      </w:r>
      <w:r w:rsidR="000E5001" w:rsidRPr="00236128">
        <w:rPr>
          <w:lang w:val="en-GB"/>
        </w:rPr>
        <w:t>free expression of his will as an elector was to abstain from voting</w:t>
      </w:r>
      <w:r w:rsidR="005E3408" w:rsidRPr="00236128">
        <w:rPr>
          <w:lang w:val="en-GB"/>
        </w:rPr>
        <w:t>. The fact that he</w:t>
      </w:r>
      <w:r w:rsidR="000E5001" w:rsidRPr="00236128">
        <w:rPr>
          <w:lang w:val="en-GB"/>
        </w:rPr>
        <w:t xml:space="preserve"> was issued </w:t>
      </w:r>
      <w:r w:rsidR="00856096">
        <w:rPr>
          <w:lang w:val="en-GB"/>
        </w:rPr>
        <w:t xml:space="preserve">with </w:t>
      </w:r>
      <w:r w:rsidR="000E5001" w:rsidRPr="00236128">
        <w:rPr>
          <w:lang w:val="en-GB"/>
        </w:rPr>
        <w:t xml:space="preserve">a </w:t>
      </w:r>
      <w:r w:rsidR="002878C0" w:rsidRPr="00236128">
        <w:rPr>
          <w:lang w:val="en-GB"/>
        </w:rPr>
        <w:t>p</w:t>
      </w:r>
      <w:r w:rsidR="000E5001" w:rsidRPr="00236128">
        <w:rPr>
          <w:lang w:val="en-GB"/>
        </w:rPr>
        <w:t xml:space="preserve">enalty </w:t>
      </w:r>
      <w:r w:rsidR="002878C0" w:rsidRPr="00236128">
        <w:rPr>
          <w:lang w:val="en-GB"/>
        </w:rPr>
        <w:t>n</w:t>
      </w:r>
      <w:r w:rsidR="000E5001" w:rsidRPr="00236128">
        <w:rPr>
          <w:lang w:val="en-GB"/>
        </w:rPr>
        <w:t xml:space="preserve">otice </w:t>
      </w:r>
      <w:r w:rsidR="00CE59E7" w:rsidRPr="00236128">
        <w:rPr>
          <w:lang w:val="en-GB"/>
        </w:rPr>
        <w:t xml:space="preserve">constituted an </w:t>
      </w:r>
      <w:r w:rsidR="000E5001" w:rsidRPr="00236128">
        <w:rPr>
          <w:lang w:val="en-GB"/>
        </w:rPr>
        <w:t xml:space="preserve">attack </w:t>
      </w:r>
      <w:r w:rsidR="002878C0" w:rsidRPr="00236128">
        <w:rPr>
          <w:lang w:val="en-GB"/>
        </w:rPr>
        <w:t>against the</w:t>
      </w:r>
      <w:r w:rsidR="005F7EAE" w:rsidRPr="00236128">
        <w:rPr>
          <w:lang w:val="en-GB"/>
        </w:rPr>
        <w:t xml:space="preserve"> </w:t>
      </w:r>
      <w:r w:rsidR="000E5001" w:rsidRPr="00236128">
        <w:rPr>
          <w:lang w:val="en-GB"/>
        </w:rPr>
        <w:t xml:space="preserve">free expression of </w:t>
      </w:r>
      <w:r w:rsidR="005F7EAE" w:rsidRPr="00236128">
        <w:rPr>
          <w:lang w:val="en-GB"/>
        </w:rPr>
        <w:t xml:space="preserve">his </w:t>
      </w:r>
      <w:r w:rsidR="000E5001" w:rsidRPr="00236128">
        <w:rPr>
          <w:lang w:val="en-GB"/>
        </w:rPr>
        <w:t>political will and opinion</w:t>
      </w:r>
      <w:r w:rsidR="005E3408" w:rsidRPr="00236128">
        <w:rPr>
          <w:lang w:val="en-GB"/>
        </w:rPr>
        <w:t xml:space="preserve">. It also </w:t>
      </w:r>
      <w:r w:rsidR="00856096">
        <w:rPr>
          <w:lang w:val="en-GB"/>
        </w:rPr>
        <w:t>constituted</w:t>
      </w:r>
      <w:r w:rsidR="00856096" w:rsidRPr="00236128">
        <w:rPr>
          <w:lang w:val="en-GB"/>
        </w:rPr>
        <w:t xml:space="preserve"> </w:t>
      </w:r>
      <w:r w:rsidR="00BC4E15">
        <w:rPr>
          <w:lang w:val="en-GB"/>
        </w:rPr>
        <w:t>discrimination, under article </w:t>
      </w:r>
      <w:r w:rsidR="005E3408" w:rsidRPr="00236128">
        <w:rPr>
          <w:lang w:val="en-GB"/>
        </w:rPr>
        <w:t>25</w:t>
      </w:r>
      <w:r w:rsidR="00856096">
        <w:rPr>
          <w:lang w:val="en-GB"/>
        </w:rPr>
        <w:t>,</w:t>
      </w:r>
      <w:r w:rsidR="005E3408" w:rsidRPr="00236128">
        <w:rPr>
          <w:lang w:val="en-GB"/>
        </w:rPr>
        <w:t xml:space="preserve"> in general</w:t>
      </w:r>
      <w:r w:rsidR="00856096">
        <w:rPr>
          <w:lang w:val="en-GB"/>
        </w:rPr>
        <w:t>,</w:t>
      </w:r>
      <w:r w:rsidR="005E3408" w:rsidRPr="00236128">
        <w:rPr>
          <w:lang w:val="en-GB"/>
        </w:rPr>
        <w:t xml:space="preserve"> and 25 (b)</w:t>
      </w:r>
      <w:r w:rsidR="00856096">
        <w:rPr>
          <w:lang w:val="en-GB"/>
        </w:rPr>
        <w:t>,</w:t>
      </w:r>
      <w:r w:rsidR="005E3408" w:rsidRPr="00236128">
        <w:rPr>
          <w:lang w:val="en-GB"/>
        </w:rPr>
        <w:t xml:space="preserve"> in particular, because electors who are not penalized enjoy a </w:t>
      </w:r>
      <w:r w:rsidR="00856096">
        <w:rPr>
          <w:lang w:val="en-GB"/>
        </w:rPr>
        <w:t>greater</w:t>
      </w:r>
      <w:r w:rsidR="00856096" w:rsidRPr="00236128">
        <w:rPr>
          <w:lang w:val="en-GB"/>
        </w:rPr>
        <w:t xml:space="preserve"> </w:t>
      </w:r>
      <w:r w:rsidR="005E3408" w:rsidRPr="00236128">
        <w:rPr>
          <w:lang w:val="en-GB"/>
        </w:rPr>
        <w:t xml:space="preserve">protection of their rights than </w:t>
      </w:r>
      <w:r w:rsidR="00235327">
        <w:rPr>
          <w:lang w:val="en-GB"/>
        </w:rPr>
        <w:t>does</w:t>
      </w:r>
      <w:r w:rsidR="00856096">
        <w:rPr>
          <w:lang w:val="en-GB"/>
        </w:rPr>
        <w:t xml:space="preserve"> </w:t>
      </w:r>
      <w:r w:rsidR="005E3408" w:rsidRPr="00236128">
        <w:rPr>
          <w:lang w:val="en-GB"/>
        </w:rPr>
        <w:t>the author</w:t>
      </w:r>
      <w:r w:rsidR="004A6992" w:rsidRPr="00236128">
        <w:rPr>
          <w:lang w:val="en-GB"/>
        </w:rPr>
        <w:t xml:space="preserve">. </w:t>
      </w:r>
    </w:p>
    <w:p w14:paraId="2DFB1076" w14:textId="476C3AC3" w:rsidR="00835B6A" w:rsidRPr="00236128" w:rsidRDefault="00857CD0" w:rsidP="007A6388">
      <w:pPr>
        <w:pStyle w:val="SingleTxtG"/>
        <w:rPr>
          <w:lang w:val="en-GB"/>
        </w:rPr>
      </w:pPr>
      <w:r w:rsidRPr="00236128">
        <w:rPr>
          <w:lang w:val="en-GB"/>
        </w:rPr>
        <w:t>5.3</w:t>
      </w:r>
      <w:r w:rsidRPr="00236128">
        <w:rPr>
          <w:lang w:val="en-GB"/>
        </w:rPr>
        <w:tab/>
      </w:r>
      <w:r w:rsidR="00835B6A" w:rsidRPr="00236128">
        <w:rPr>
          <w:lang w:val="en-GB"/>
        </w:rPr>
        <w:t xml:space="preserve">Compulsory voting does not give effect to the rights of individuals to take part in the conduct of public affairs. As implemented in Australia, it cannot be argued to be necessary or even helpful </w:t>
      </w:r>
      <w:r w:rsidR="0021547E">
        <w:rPr>
          <w:lang w:val="en-GB"/>
        </w:rPr>
        <w:t>in</w:t>
      </w:r>
      <w:r w:rsidR="0021547E" w:rsidRPr="00236128">
        <w:rPr>
          <w:lang w:val="en-GB"/>
        </w:rPr>
        <w:t xml:space="preserve"> </w:t>
      </w:r>
      <w:r w:rsidR="00835B6A" w:rsidRPr="00236128">
        <w:rPr>
          <w:lang w:val="en-GB"/>
        </w:rPr>
        <w:t xml:space="preserve">facilitating </w:t>
      </w:r>
      <w:r w:rsidR="0021547E">
        <w:rPr>
          <w:lang w:val="en-GB"/>
        </w:rPr>
        <w:t>the</w:t>
      </w:r>
      <w:r w:rsidR="0021547E" w:rsidRPr="00236128">
        <w:rPr>
          <w:lang w:val="en-GB"/>
        </w:rPr>
        <w:t xml:space="preserve"> </w:t>
      </w:r>
      <w:r w:rsidR="00835B6A" w:rsidRPr="00236128">
        <w:rPr>
          <w:lang w:val="en-GB"/>
        </w:rPr>
        <w:t>right to vote</w:t>
      </w:r>
      <w:r w:rsidR="00BD08C4">
        <w:rPr>
          <w:lang w:val="en-GB"/>
        </w:rPr>
        <w:t>.</w:t>
      </w:r>
      <w:r w:rsidR="0021547E">
        <w:rPr>
          <w:lang w:val="en-GB"/>
        </w:rPr>
        <w:t xml:space="preserve"> </w:t>
      </w:r>
      <w:r w:rsidR="00835B6A" w:rsidRPr="00236128">
        <w:rPr>
          <w:lang w:val="en-GB"/>
        </w:rPr>
        <w:t xml:space="preserve">. </w:t>
      </w:r>
      <w:r w:rsidR="00BD08C4">
        <w:rPr>
          <w:lang w:val="en-GB"/>
        </w:rPr>
        <w:t>O</w:t>
      </w:r>
      <w:r w:rsidR="00835B6A" w:rsidRPr="00236128">
        <w:rPr>
          <w:lang w:val="en-GB"/>
        </w:rPr>
        <w:t xml:space="preserve">ther democracies similar to Australia, such as Canada, </w:t>
      </w:r>
      <w:r w:rsidR="0091644C" w:rsidRPr="00100E67">
        <w:rPr>
          <w:lang w:val="en-GB"/>
        </w:rPr>
        <w:t>Japan</w:t>
      </w:r>
      <w:r w:rsidR="0091644C">
        <w:rPr>
          <w:lang w:val="en-GB"/>
        </w:rPr>
        <w:t>,</w:t>
      </w:r>
      <w:r w:rsidR="0091644C" w:rsidRPr="00E27706">
        <w:rPr>
          <w:lang w:val="en-GB"/>
        </w:rPr>
        <w:t xml:space="preserve"> </w:t>
      </w:r>
      <w:r w:rsidR="00835B6A" w:rsidRPr="00236128">
        <w:rPr>
          <w:lang w:val="en-GB"/>
        </w:rPr>
        <w:t xml:space="preserve">New Zealand, </w:t>
      </w:r>
      <w:r w:rsidR="00D137B4" w:rsidRPr="00236128">
        <w:rPr>
          <w:lang w:val="en-GB"/>
        </w:rPr>
        <w:t xml:space="preserve">the </w:t>
      </w:r>
      <w:r w:rsidR="00835B6A" w:rsidRPr="00236128">
        <w:rPr>
          <w:lang w:val="en-GB"/>
        </w:rPr>
        <w:t>United Kingdom</w:t>
      </w:r>
      <w:r w:rsidR="0091644C">
        <w:rPr>
          <w:lang w:val="en-GB"/>
        </w:rPr>
        <w:t xml:space="preserve"> of Great Britain and Northern Ireland and</w:t>
      </w:r>
      <w:r w:rsidR="00835B6A" w:rsidRPr="00236128">
        <w:rPr>
          <w:lang w:val="en-GB"/>
        </w:rPr>
        <w:t xml:space="preserve"> the U</w:t>
      </w:r>
      <w:r w:rsidR="0091644C">
        <w:rPr>
          <w:lang w:val="en-GB"/>
        </w:rPr>
        <w:t>nited States</w:t>
      </w:r>
      <w:r w:rsidR="00235327">
        <w:rPr>
          <w:lang w:val="en-GB"/>
        </w:rPr>
        <w:t xml:space="preserve"> of America</w:t>
      </w:r>
      <w:r w:rsidR="0091644C">
        <w:rPr>
          <w:lang w:val="en-GB"/>
        </w:rPr>
        <w:t>,</w:t>
      </w:r>
      <w:r w:rsidR="00835B6A" w:rsidRPr="00236128">
        <w:rPr>
          <w:lang w:val="en-GB"/>
        </w:rPr>
        <w:t xml:space="preserve"> do not have compulsory voting. </w:t>
      </w:r>
      <w:r w:rsidR="007A357C" w:rsidRPr="00236128">
        <w:rPr>
          <w:lang w:val="en-GB"/>
        </w:rPr>
        <w:t xml:space="preserve">In this regard, the State party failed to objectively explain how its compulsory voting system is </w:t>
      </w:r>
      <w:r w:rsidR="00CE59E7" w:rsidRPr="00236128">
        <w:rPr>
          <w:lang w:val="en-GB"/>
        </w:rPr>
        <w:t>better</w:t>
      </w:r>
      <w:r w:rsidR="007A357C" w:rsidRPr="00236128">
        <w:rPr>
          <w:lang w:val="en-GB"/>
        </w:rPr>
        <w:t xml:space="preserve"> in any way.</w:t>
      </w:r>
    </w:p>
    <w:p w14:paraId="13B340E2" w14:textId="39E81128" w:rsidR="00835B6A" w:rsidRPr="00236128" w:rsidRDefault="00857CD0" w:rsidP="00BC4E15">
      <w:pPr>
        <w:pStyle w:val="SingleTxtG"/>
        <w:rPr>
          <w:lang w:val="en-GB"/>
        </w:rPr>
      </w:pPr>
      <w:r w:rsidRPr="00236128">
        <w:rPr>
          <w:lang w:val="en-GB"/>
        </w:rPr>
        <w:t>5.4</w:t>
      </w:r>
      <w:r w:rsidR="007A357C" w:rsidRPr="00236128">
        <w:rPr>
          <w:lang w:val="en-GB"/>
        </w:rPr>
        <w:tab/>
      </w:r>
      <w:r w:rsidR="005A2B5E" w:rsidRPr="00236128">
        <w:rPr>
          <w:lang w:val="en-GB"/>
        </w:rPr>
        <w:t>The author submits that the State party’s observations concerning its voting system and the duty of the voter imply that</w:t>
      </w:r>
      <w:r w:rsidR="00235327">
        <w:rPr>
          <w:lang w:val="en-GB"/>
        </w:rPr>
        <w:t>,</w:t>
      </w:r>
      <w:r w:rsidR="005A2B5E" w:rsidRPr="00236128">
        <w:rPr>
          <w:lang w:val="en-GB"/>
        </w:rPr>
        <w:t xml:space="preserve"> </w:t>
      </w:r>
      <w:r w:rsidR="005E3408" w:rsidRPr="00236128">
        <w:rPr>
          <w:lang w:val="en-GB"/>
        </w:rPr>
        <w:t xml:space="preserve">in order </w:t>
      </w:r>
      <w:r w:rsidR="005A2B5E" w:rsidRPr="00236128">
        <w:rPr>
          <w:lang w:val="en-GB"/>
        </w:rPr>
        <w:t>to vote for no one at all, the voter must mark the ballot paper in an informal and unaccountable way</w:t>
      </w:r>
      <w:r w:rsidR="0053192B" w:rsidRPr="00236128">
        <w:rPr>
          <w:lang w:val="en-GB"/>
        </w:rPr>
        <w:t>.</w:t>
      </w:r>
      <w:r w:rsidR="005A2B5E" w:rsidRPr="00236128">
        <w:rPr>
          <w:lang w:val="en-GB"/>
        </w:rPr>
        <w:t xml:space="preserve"> </w:t>
      </w:r>
      <w:r w:rsidR="003E2CF7" w:rsidRPr="00236128">
        <w:rPr>
          <w:lang w:val="en-GB"/>
        </w:rPr>
        <w:t>However, s</w:t>
      </w:r>
      <w:r w:rsidR="005A2B5E" w:rsidRPr="00236128">
        <w:rPr>
          <w:lang w:val="en-GB"/>
        </w:rPr>
        <w:t xml:space="preserve">uch informal voting has an </w:t>
      </w:r>
      <w:r w:rsidR="0096049B" w:rsidRPr="00236128">
        <w:rPr>
          <w:lang w:val="en-GB"/>
        </w:rPr>
        <w:t>ambiguous status in legal terms</w:t>
      </w:r>
      <w:r w:rsidR="00DA4F87" w:rsidRPr="00236128">
        <w:rPr>
          <w:lang w:val="en-GB"/>
        </w:rPr>
        <w:t xml:space="preserve"> and the State party cannot expect a voter who wishes to choose not to vote to submit a marked but informal ballot paper to fulfil his</w:t>
      </w:r>
      <w:r w:rsidR="00FA47A8">
        <w:rPr>
          <w:lang w:val="en-GB"/>
        </w:rPr>
        <w:t xml:space="preserve"> or </w:t>
      </w:r>
      <w:r w:rsidR="00DA4F87" w:rsidRPr="00236128">
        <w:rPr>
          <w:lang w:val="en-GB"/>
        </w:rPr>
        <w:t xml:space="preserve">her duty to vote. </w:t>
      </w:r>
      <w:r w:rsidR="003E2CF7" w:rsidRPr="00236128">
        <w:rPr>
          <w:lang w:val="en-GB"/>
        </w:rPr>
        <w:t>Moreover</w:t>
      </w:r>
      <w:r w:rsidR="0096049B" w:rsidRPr="00236128">
        <w:rPr>
          <w:lang w:val="en-GB"/>
        </w:rPr>
        <w:t xml:space="preserve"> </w:t>
      </w:r>
      <w:r w:rsidR="003E2CF7" w:rsidRPr="00236128">
        <w:rPr>
          <w:lang w:val="en-GB"/>
        </w:rPr>
        <w:t>electors who are ex</w:t>
      </w:r>
      <w:r w:rsidR="00DA4F87" w:rsidRPr="00236128">
        <w:rPr>
          <w:lang w:val="en-GB"/>
        </w:rPr>
        <w:t xml:space="preserve">empted </w:t>
      </w:r>
      <w:r w:rsidR="003E2CF7" w:rsidRPr="00236128">
        <w:rPr>
          <w:lang w:val="en-GB"/>
        </w:rPr>
        <w:t xml:space="preserve">from voting </w:t>
      </w:r>
      <w:r w:rsidR="0096049B" w:rsidRPr="00236128">
        <w:rPr>
          <w:lang w:val="en-GB"/>
        </w:rPr>
        <w:t>under subse</w:t>
      </w:r>
      <w:r w:rsidR="004E4E80" w:rsidRPr="00236128">
        <w:rPr>
          <w:lang w:val="en-GB"/>
        </w:rPr>
        <w:t>ction 245</w:t>
      </w:r>
      <w:r w:rsidR="00FA47A8">
        <w:rPr>
          <w:lang w:val="en-GB"/>
        </w:rPr>
        <w:t> </w:t>
      </w:r>
      <w:r w:rsidR="004E4E80" w:rsidRPr="00236128">
        <w:rPr>
          <w:lang w:val="en-GB"/>
        </w:rPr>
        <w:t xml:space="preserve">(14) </w:t>
      </w:r>
      <w:r w:rsidR="003E2CF7" w:rsidRPr="00236128">
        <w:rPr>
          <w:lang w:val="en-GB"/>
        </w:rPr>
        <w:t xml:space="preserve">of the </w:t>
      </w:r>
      <w:r w:rsidR="007D5900">
        <w:rPr>
          <w:lang w:val="en-GB"/>
        </w:rPr>
        <w:t>Commonwealth Electoral Act</w:t>
      </w:r>
      <w:r w:rsidR="003E2CF7" w:rsidRPr="00236128">
        <w:rPr>
          <w:lang w:val="en-GB"/>
        </w:rPr>
        <w:t xml:space="preserve"> </w:t>
      </w:r>
      <w:r w:rsidR="004E4E80" w:rsidRPr="00236128">
        <w:rPr>
          <w:lang w:val="en-GB"/>
        </w:rPr>
        <w:t>do not need to consider or face such ambiguity and they do not need to turn up at a polling place if they do</w:t>
      </w:r>
      <w:r w:rsidR="00A80CA7" w:rsidRPr="00236128">
        <w:rPr>
          <w:lang w:val="en-GB"/>
        </w:rPr>
        <w:t xml:space="preserve"> not</w:t>
      </w:r>
      <w:r w:rsidR="004E4E80" w:rsidRPr="00236128">
        <w:rPr>
          <w:lang w:val="en-GB"/>
        </w:rPr>
        <w:t xml:space="preserve"> wish to vote</w:t>
      </w:r>
      <w:r w:rsidR="0053192B" w:rsidRPr="00236128">
        <w:rPr>
          <w:lang w:val="en-GB"/>
        </w:rPr>
        <w:t>.</w:t>
      </w:r>
      <w:r w:rsidR="00047B5E" w:rsidRPr="00236128">
        <w:rPr>
          <w:lang w:val="en-GB"/>
        </w:rPr>
        <w:t xml:space="preserve"> </w:t>
      </w:r>
    </w:p>
    <w:p w14:paraId="5ECCD28D" w14:textId="38051C57" w:rsidR="002F4CCE" w:rsidRPr="00236128" w:rsidRDefault="003E2CF7" w:rsidP="007A6388">
      <w:pPr>
        <w:pStyle w:val="SingleTxtG"/>
        <w:rPr>
          <w:lang w:val="en-GB"/>
        </w:rPr>
      </w:pPr>
      <w:r w:rsidRPr="00236128">
        <w:rPr>
          <w:lang w:val="en-GB"/>
        </w:rPr>
        <w:t>5.5</w:t>
      </w:r>
      <w:r w:rsidR="00857CD0" w:rsidRPr="00236128">
        <w:rPr>
          <w:lang w:val="en-GB"/>
        </w:rPr>
        <w:tab/>
      </w:r>
      <w:r w:rsidR="00047B5E" w:rsidRPr="00236128">
        <w:rPr>
          <w:lang w:val="en-GB"/>
        </w:rPr>
        <w:t>T</w:t>
      </w:r>
      <w:r w:rsidR="00E60D7E" w:rsidRPr="00236128">
        <w:rPr>
          <w:lang w:val="en-GB"/>
        </w:rPr>
        <w:t>he</w:t>
      </w:r>
      <w:r w:rsidR="00DF539E" w:rsidRPr="00236128">
        <w:rPr>
          <w:lang w:val="en-GB"/>
        </w:rPr>
        <w:t xml:space="preserve"> </w:t>
      </w:r>
      <w:r w:rsidR="00047B5E" w:rsidRPr="00236128">
        <w:rPr>
          <w:lang w:val="en-GB"/>
        </w:rPr>
        <w:t xml:space="preserve">author claims that the </w:t>
      </w:r>
      <w:r w:rsidR="00DF539E" w:rsidRPr="00236128">
        <w:rPr>
          <w:lang w:val="en-GB"/>
        </w:rPr>
        <w:t>rea</w:t>
      </w:r>
      <w:r w:rsidR="00E60D7E" w:rsidRPr="00236128">
        <w:rPr>
          <w:lang w:val="en-GB"/>
        </w:rPr>
        <w:t>son that</w:t>
      </w:r>
      <w:r w:rsidR="00DF539E" w:rsidRPr="00236128">
        <w:rPr>
          <w:lang w:val="en-GB"/>
        </w:rPr>
        <w:t xml:space="preserve"> </w:t>
      </w:r>
      <w:r w:rsidR="00047B5E" w:rsidRPr="00236128">
        <w:rPr>
          <w:lang w:val="en-GB"/>
        </w:rPr>
        <w:t>he</w:t>
      </w:r>
      <w:r w:rsidR="00DF539E" w:rsidRPr="00236128">
        <w:rPr>
          <w:lang w:val="en-GB"/>
        </w:rPr>
        <w:t xml:space="preserve"> provided to the </w:t>
      </w:r>
      <w:r w:rsidR="007D5900">
        <w:rPr>
          <w:lang w:val="en-GB"/>
        </w:rPr>
        <w:t>Election Commission</w:t>
      </w:r>
      <w:r w:rsidR="00DF539E" w:rsidRPr="00236128">
        <w:rPr>
          <w:lang w:val="en-GB"/>
        </w:rPr>
        <w:t xml:space="preserve"> to justify his abstention from voting </w:t>
      </w:r>
      <w:r w:rsidR="00D137B4" w:rsidRPr="00236128">
        <w:rPr>
          <w:lang w:val="en-GB"/>
        </w:rPr>
        <w:t>reflects</w:t>
      </w:r>
      <w:r w:rsidR="00DF539E" w:rsidRPr="00236128">
        <w:rPr>
          <w:lang w:val="en-GB"/>
        </w:rPr>
        <w:t xml:space="preserve"> his </w:t>
      </w:r>
      <w:r w:rsidR="00A7335B" w:rsidRPr="00236128">
        <w:rPr>
          <w:lang w:val="en-GB"/>
        </w:rPr>
        <w:t xml:space="preserve">free </w:t>
      </w:r>
      <w:r w:rsidR="00DF539E" w:rsidRPr="00236128">
        <w:rPr>
          <w:lang w:val="en-GB"/>
        </w:rPr>
        <w:t xml:space="preserve">political opinion </w:t>
      </w:r>
      <w:r w:rsidR="002D2AD1" w:rsidRPr="00236128">
        <w:rPr>
          <w:lang w:val="en-GB"/>
        </w:rPr>
        <w:t>and will</w:t>
      </w:r>
      <w:r w:rsidR="005C2E68">
        <w:rPr>
          <w:lang w:val="en-GB"/>
        </w:rPr>
        <w:t>,</w:t>
      </w:r>
      <w:r w:rsidR="002D2AD1" w:rsidRPr="00236128">
        <w:rPr>
          <w:lang w:val="en-GB"/>
        </w:rPr>
        <w:t xml:space="preserve"> </w:t>
      </w:r>
      <w:r w:rsidR="00DF539E" w:rsidRPr="00236128">
        <w:rPr>
          <w:lang w:val="en-GB"/>
        </w:rPr>
        <w:t xml:space="preserve">which </w:t>
      </w:r>
      <w:r w:rsidR="0053192B" w:rsidRPr="00236128">
        <w:rPr>
          <w:lang w:val="en-GB"/>
        </w:rPr>
        <w:t xml:space="preserve">in </w:t>
      </w:r>
      <w:r w:rsidR="00DF539E" w:rsidRPr="00236128">
        <w:rPr>
          <w:lang w:val="en-GB"/>
        </w:rPr>
        <w:t>his case is a belief.</w:t>
      </w:r>
      <w:r w:rsidR="00ED70D6" w:rsidRPr="00236128">
        <w:rPr>
          <w:rStyle w:val="FootnoteReference"/>
          <w:lang w:val="en-GB"/>
        </w:rPr>
        <w:footnoteReference w:id="14"/>
      </w:r>
      <w:r w:rsidR="002C3D47" w:rsidRPr="00236128">
        <w:rPr>
          <w:lang w:val="en-GB"/>
        </w:rPr>
        <w:t xml:space="preserve"> </w:t>
      </w:r>
      <w:r w:rsidR="0053192B" w:rsidRPr="00236128">
        <w:rPr>
          <w:lang w:val="en-GB"/>
        </w:rPr>
        <w:t>I</w:t>
      </w:r>
      <w:r w:rsidR="002C3D47" w:rsidRPr="00236128">
        <w:rPr>
          <w:lang w:val="en-GB"/>
        </w:rPr>
        <w:t xml:space="preserve">n practice, the fine imposed </w:t>
      </w:r>
      <w:r w:rsidR="00D137B4" w:rsidRPr="00236128">
        <w:rPr>
          <w:lang w:val="en-GB"/>
        </w:rPr>
        <w:t>on</w:t>
      </w:r>
      <w:r w:rsidR="002C3D47" w:rsidRPr="00236128">
        <w:rPr>
          <w:lang w:val="en-GB"/>
        </w:rPr>
        <w:t xml:space="preserve"> him is a compulsion, inducement or manipulative interference against him</w:t>
      </w:r>
      <w:r w:rsidR="0053192B" w:rsidRPr="00236128">
        <w:rPr>
          <w:lang w:val="en-GB"/>
        </w:rPr>
        <w:t>,</w:t>
      </w:r>
      <w:r w:rsidR="002C3D47" w:rsidRPr="00236128">
        <w:rPr>
          <w:lang w:val="en-GB"/>
        </w:rPr>
        <w:t xml:space="preserve"> in particular concerning future elections</w:t>
      </w:r>
      <w:r w:rsidR="00B26C29" w:rsidRPr="00236128">
        <w:rPr>
          <w:lang w:val="en-GB"/>
        </w:rPr>
        <w:t xml:space="preserve"> </w:t>
      </w:r>
      <w:r w:rsidR="005C2E68">
        <w:rPr>
          <w:lang w:val="en-GB"/>
        </w:rPr>
        <w:t xml:space="preserve">in </w:t>
      </w:r>
      <w:r w:rsidR="00B26C29" w:rsidRPr="00236128">
        <w:rPr>
          <w:lang w:val="en-GB"/>
        </w:rPr>
        <w:t>wh</w:t>
      </w:r>
      <w:r w:rsidR="005C2E68">
        <w:rPr>
          <w:lang w:val="en-GB"/>
        </w:rPr>
        <w:t>ich</w:t>
      </w:r>
      <w:r w:rsidR="00B26C29" w:rsidRPr="00236128">
        <w:rPr>
          <w:lang w:val="en-GB"/>
        </w:rPr>
        <w:t xml:space="preserve"> he will also be </w:t>
      </w:r>
      <w:r w:rsidR="002356D6" w:rsidRPr="00236128">
        <w:rPr>
          <w:lang w:val="en-GB"/>
        </w:rPr>
        <w:t>penalized</w:t>
      </w:r>
      <w:r w:rsidR="00B26C29" w:rsidRPr="00236128">
        <w:rPr>
          <w:lang w:val="en-GB"/>
        </w:rPr>
        <w:t xml:space="preserve"> for expressing his political will.</w:t>
      </w:r>
      <w:r w:rsidR="00B26C29" w:rsidRPr="00236128">
        <w:rPr>
          <w:rStyle w:val="FootnoteReference"/>
          <w:lang w:val="en-GB"/>
        </w:rPr>
        <w:footnoteReference w:id="15"/>
      </w:r>
      <w:r w:rsidR="002F4CCE" w:rsidRPr="00236128">
        <w:rPr>
          <w:lang w:val="en-GB"/>
        </w:rPr>
        <w:t xml:space="preserve"> </w:t>
      </w:r>
    </w:p>
    <w:p w14:paraId="72B64AC1" w14:textId="4DAB3566" w:rsidR="00315B2E" w:rsidRPr="00236128" w:rsidRDefault="00857CD0" w:rsidP="007A6388">
      <w:pPr>
        <w:pStyle w:val="SingleTxtG"/>
        <w:rPr>
          <w:lang w:val="en-GB"/>
        </w:rPr>
      </w:pPr>
      <w:r w:rsidRPr="00236128">
        <w:rPr>
          <w:lang w:val="en-GB"/>
        </w:rPr>
        <w:t>5.6</w:t>
      </w:r>
      <w:r w:rsidRPr="00236128">
        <w:rPr>
          <w:lang w:val="en-GB"/>
        </w:rPr>
        <w:tab/>
      </w:r>
      <w:r w:rsidR="004B0C59" w:rsidRPr="00236128">
        <w:rPr>
          <w:lang w:val="en-GB"/>
        </w:rPr>
        <w:t xml:space="preserve">The author reiterates that the </w:t>
      </w:r>
      <w:r w:rsidR="000F5278" w:rsidRPr="00E9393C">
        <w:rPr>
          <w:lang w:val="en-GB"/>
        </w:rPr>
        <w:t xml:space="preserve">notice </w:t>
      </w:r>
      <w:r w:rsidR="000F5278">
        <w:rPr>
          <w:lang w:val="en-GB"/>
        </w:rPr>
        <w:t xml:space="preserve">advising him of his </w:t>
      </w:r>
      <w:r w:rsidR="004B0C59" w:rsidRPr="00236128">
        <w:rPr>
          <w:lang w:val="en-GB"/>
        </w:rPr>
        <w:t>apparent failure to vote and</w:t>
      </w:r>
      <w:r w:rsidR="000F5278">
        <w:rPr>
          <w:lang w:val="en-GB"/>
        </w:rPr>
        <w:t>,</w:t>
      </w:r>
      <w:r w:rsidR="004B0C59" w:rsidRPr="00236128">
        <w:rPr>
          <w:lang w:val="en-GB"/>
        </w:rPr>
        <w:t xml:space="preserve"> subsequently</w:t>
      </w:r>
      <w:r w:rsidR="000F5278">
        <w:rPr>
          <w:lang w:val="en-GB"/>
        </w:rPr>
        <w:t>,</w:t>
      </w:r>
      <w:r w:rsidR="004B0C59" w:rsidRPr="00236128">
        <w:rPr>
          <w:lang w:val="en-GB"/>
        </w:rPr>
        <w:t xml:space="preserve"> the penalty </w:t>
      </w:r>
      <w:r w:rsidR="00D96AA9" w:rsidRPr="00236128">
        <w:rPr>
          <w:lang w:val="en-GB"/>
        </w:rPr>
        <w:t>notice</w:t>
      </w:r>
      <w:r w:rsidR="00235327">
        <w:rPr>
          <w:lang w:val="en-GB"/>
        </w:rPr>
        <w:t>,</w:t>
      </w:r>
      <w:r w:rsidR="00D96AA9" w:rsidRPr="00236128">
        <w:rPr>
          <w:lang w:val="en-GB"/>
        </w:rPr>
        <w:t xml:space="preserve"> in practice</w:t>
      </w:r>
      <w:r w:rsidR="00235327">
        <w:rPr>
          <w:lang w:val="en-GB"/>
        </w:rPr>
        <w:t>,</w:t>
      </w:r>
      <w:r w:rsidR="00D96AA9" w:rsidRPr="00236128">
        <w:rPr>
          <w:lang w:val="en-GB"/>
        </w:rPr>
        <w:t xml:space="preserve"> constituted </w:t>
      </w:r>
      <w:r w:rsidR="00693F96" w:rsidRPr="00236128">
        <w:rPr>
          <w:lang w:val="en-GB"/>
        </w:rPr>
        <w:t xml:space="preserve">an arbitrary interference with his privacy </w:t>
      </w:r>
      <w:r w:rsidR="00047B5E" w:rsidRPr="00236128">
        <w:rPr>
          <w:lang w:val="en-GB"/>
        </w:rPr>
        <w:t xml:space="preserve">and </w:t>
      </w:r>
      <w:r w:rsidR="000F5278">
        <w:rPr>
          <w:lang w:val="en-GB"/>
        </w:rPr>
        <w:t xml:space="preserve">are </w:t>
      </w:r>
      <w:r w:rsidR="00693F96" w:rsidRPr="00236128">
        <w:rPr>
          <w:lang w:val="en-GB"/>
        </w:rPr>
        <w:t>contrary to article 17 of the Covenant since he was compelled</w:t>
      </w:r>
      <w:r w:rsidR="00876E3E" w:rsidRPr="00236128">
        <w:rPr>
          <w:lang w:val="en-GB"/>
        </w:rPr>
        <w:t>, under legal duress,</w:t>
      </w:r>
      <w:r w:rsidR="00693F96" w:rsidRPr="00236128">
        <w:rPr>
          <w:lang w:val="en-GB"/>
        </w:rPr>
        <w:t xml:space="preserve"> to reveal his political opinion to the </w:t>
      </w:r>
      <w:r w:rsidR="007D5900">
        <w:rPr>
          <w:lang w:val="en-GB"/>
        </w:rPr>
        <w:t>Election Commission</w:t>
      </w:r>
      <w:r w:rsidR="00693F96" w:rsidRPr="00236128">
        <w:rPr>
          <w:lang w:val="en-GB"/>
        </w:rPr>
        <w:t xml:space="preserve"> in order not to be fined. </w:t>
      </w:r>
      <w:r w:rsidR="0053192B" w:rsidRPr="00236128">
        <w:rPr>
          <w:lang w:val="en-GB"/>
        </w:rPr>
        <w:t>H</w:t>
      </w:r>
      <w:r w:rsidR="00046E31" w:rsidRPr="00236128">
        <w:rPr>
          <w:lang w:val="en-GB"/>
        </w:rPr>
        <w:t xml:space="preserve">is situation is materially identical to those </w:t>
      </w:r>
      <w:r w:rsidR="0076701D" w:rsidRPr="00236128">
        <w:rPr>
          <w:lang w:val="en-GB"/>
        </w:rPr>
        <w:t xml:space="preserve">who </w:t>
      </w:r>
      <w:r w:rsidR="00046E31" w:rsidRPr="00236128">
        <w:rPr>
          <w:lang w:val="en-GB"/>
        </w:rPr>
        <w:t>failed to vote due to religious reasons</w:t>
      </w:r>
      <w:r w:rsidR="0053192B" w:rsidRPr="00236128">
        <w:rPr>
          <w:lang w:val="en-GB"/>
        </w:rPr>
        <w:t>,</w:t>
      </w:r>
      <w:r w:rsidR="00046E31" w:rsidRPr="00236128">
        <w:rPr>
          <w:lang w:val="en-GB"/>
        </w:rPr>
        <w:t xml:space="preserve"> and such failures are equally harmless to the public order, moral</w:t>
      </w:r>
      <w:r w:rsidR="00235327">
        <w:rPr>
          <w:lang w:val="en-GB"/>
        </w:rPr>
        <w:t>s,</w:t>
      </w:r>
      <w:r w:rsidR="00046E31" w:rsidRPr="00236128">
        <w:rPr>
          <w:lang w:val="en-GB"/>
        </w:rPr>
        <w:t xml:space="preserve"> safety </w:t>
      </w:r>
      <w:r w:rsidR="004F395D">
        <w:rPr>
          <w:lang w:val="en-GB"/>
        </w:rPr>
        <w:t>and</w:t>
      </w:r>
      <w:r w:rsidR="00046E31" w:rsidRPr="00236128">
        <w:rPr>
          <w:lang w:val="en-GB"/>
        </w:rPr>
        <w:t xml:space="preserve"> fundamental rights </w:t>
      </w:r>
      <w:r w:rsidR="00046E31" w:rsidRPr="00236128">
        <w:rPr>
          <w:lang w:val="en-GB"/>
        </w:rPr>
        <w:lastRenderedPageBreak/>
        <w:t xml:space="preserve">of others. Finally, it is for the </w:t>
      </w:r>
      <w:r w:rsidR="006B7B1E" w:rsidRPr="00236128">
        <w:rPr>
          <w:lang w:val="en-GB"/>
        </w:rPr>
        <w:t>electors</w:t>
      </w:r>
      <w:r w:rsidR="00046E31" w:rsidRPr="00236128">
        <w:rPr>
          <w:lang w:val="en-GB"/>
        </w:rPr>
        <w:t xml:space="preserve"> themselves</w:t>
      </w:r>
      <w:r w:rsidR="006B7B1E" w:rsidRPr="00236128">
        <w:rPr>
          <w:lang w:val="en-GB"/>
        </w:rPr>
        <w:t xml:space="preserve"> to determine individually </w:t>
      </w:r>
      <w:r w:rsidR="00046E31" w:rsidRPr="00236128">
        <w:rPr>
          <w:lang w:val="en-GB"/>
        </w:rPr>
        <w:t xml:space="preserve">the validity of </w:t>
      </w:r>
      <w:r w:rsidR="006B7B1E" w:rsidRPr="00236128">
        <w:rPr>
          <w:lang w:val="en-GB"/>
        </w:rPr>
        <w:t xml:space="preserve">their own </w:t>
      </w:r>
      <w:r w:rsidR="00046E31" w:rsidRPr="00236128">
        <w:rPr>
          <w:lang w:val="en-GB"/>
        </w:rPr>
        <w:t>electoral belief</w:t>
      </w:r>
      <w:r w:rsidR="006B7B1E" w:rsidRPr="00236128">
        <w:rPr>
          <w:lang w:val="en-GB"/>
        </w:rPr>
        <w:t>s</w:t>
      </w:r>
      <w:r w:rsidR="00046E31" w:rsidRPr="00236128">
        <w:rPr>
          <w:lang w:val="en-GB"/>
        </w:rPr>
        <w:t xml:space="preserve"> and opinions</w:t>
      </w:r>
      <w:r w:rsidR="006B7B1E" w:rsidRPr="00236128">
        <w:rPr>
          <w:lang w:val="en-GB"/>
        </w:rPr>
        <w:t>.</w:t>
      </w:r>
    </w:p>
    <w:p w14:paraId="565EBEA8" w14:textId="3C2C5CED" w:rsidR="002F4CCE" w:rsidRPr="00236128" w:rsidRDefault="006B7B1E" w:rsidP="007A6388">
      <w:pPr>
        <w:pStyle w:val="SingleTxtG"/>
        <w:rPr>
          <w:lang w:val="en-GB"/>
        </w:rPr>
      </w:pPr>
      <w:r w:rsidRPr="00236128">
        <w:rPr>
          <w:lang w:val="en-GB"/>
        </w:rPr>
        <w:t>5.7</w:t>
      </w:r>
      <w:r w:rsidR="00857CD0" w:rsidRPr="00236128">
        <w:rPr>
          <w:lang w:val="en-GB"/>
        </w:rPr>
        <w:tab/>
      </w:r>
      <w:r w:rsidR="00B01BFB" w:rsidRPr="00236128">
        <w:rPr>
          <w:lang w:val="en-GB"/>
        </w:rPr>
        <w:t>With regard to article 18 of the Covenant, t</w:t>
      </w:r>
      <w:r w:rsidR="006E44D9" w:rsidRPr="00236128">
        <w:rPr>
          <w:lang w:val="en-GB"/>
        </w:rPr>
        <w:t xml:space="preserve">he author </w:t>
      </w:r>
      <w:r w:rsidR="000562C5" w:rsidRPr="00236128">
        <w:rPr>
          <w:lang w:val="en-GB"/>
        </w:rPr>
        <w:t xml:space="preserve">reiterates his previous allegations and </w:t>
      </w:r>
      <w:r w:rsidR="006E44D9" w:rsidRPr="00236128">
        <w:rPr>
          <w:lang w:val="en-GB"/>
        </w:rPr>
        <w:t xml:space="preserve">points out that </w:t>
      </w:r>
      <w:r w:rsidR="00A0244E" w:rsidRPr="00236128">
        <w:rPr>
          <w:lang w:val="en-GB"/>
        </w:rPr>
        <w:t xml:space="preserve">the </w:t>
      </w:r>
      <w:r w:rsidR="004F395D" w:rsidRPr="004E2542">
        <w:rPr>
          <w:lang w:val="en-GB"/>
        </w:rPr>
        <w:t xml:space="preserve">notice </w:t>
      </w:r>
      <w:r w:rsidR="004F395D">
        <w:rPr>
          <w:lang w:val="en-GB"/>
        </w:rPr>
        <w:t xml:space="preserve">advising him of his </w:t>
      </w:r>
      <w:r w:rsidR="00A0244E" w:rsidRPr="00236128">
        <w:rPr>
          <w:lang w:val="en-GB"/>
        </w:rPr>
        <w:t>apparent failure to vote compelled him to reveal his thoughts and belief</w:t>
      </w:r>
      <w:r w:rsidR="00B01BFB" w:rsidRPr="00236128">
        <w:rPr>
          <w:lang w:val="en-GB"/>
        </w:rPr>
        <w:t xml:space="preserve"> in violation </w:t>
      </w:r>
      <w:r w:rsidR="00A2003F">
        <w:rPr>
          <w:lang w:val="en-GB"/>
        </w:rPr>
        <w:t xml:space="preserve">of </w:t>
      </w:r>
      <w:r w:rsidR="0053192B" w:rsidRPr="00236128">
        <w:rPr>
          <w:lang w:val="en-GB"/>
        </w:rPr>
        <w:t>the right enshrined in this provision</w:t>
      </w:r>
      <w:r w:rsidR="00B01BFB" w:rsidRPr="00236128">
        <w:rPr>
          <w:lang w:val="en-GB"/>
        </w:rPr>
        <w:t>.</w:t>
      </w:r>
      <w:r w:rsidR="00B01BFB" w:rsidRPr="00236128">
        <w:rPr>
          <w:rStyle w:val="FootnoteReference"/>
          <w:lang w:val="en-GB"/>
        </w:rPr>
        <w:footnoteReference w:id="16"/>
      </w:r>
      <w:r w:rsidR="00B01BFB" w:rsidRPr="00236128">
        <w:rPr>
          <w:lang w:val="en-GB"/>
        </w:rPr>
        <w:t xml:space="preserve"> </w:t>
      </w:r>
    </w:p>
    <w:p w14:paraId="0BC50648" w14:textId="17D8CB48" w:rsidR="00781C76" w:rsidRPr="00236128" w:rsidRDefault="00857CD0" w:rsidP="007A6388">
      <w:pPr>
        <w:pStyle w:val="SingleTxtG"/>
        <w:rPr>
          <w:lang w:val="en-GB"/>
        </w:rPr>
      </w:pPr>
      <w:r w:rsidRPr="00236128">
        <w:rPr>
          <w:lang w:val="en-GB"/>
        </w:rPr>
        <w:t>5.8</w:t>
      </w:r>
      <w:r w:rsidRPr="00236128">
        <w:rPr>
          <w:lang w:val="en-GB"/>
        </w:rPr>
        <w:tab/>
      </w:r>
      <w:r w:rsidR="00B01BFB" w:rsidRPr="00236128">
        <w:rPr>
          <w:lang w:val="en-GB"/>
        </w:rPr>
        <w:t xml:space="preserve">The author </w:t>
      </w:r>
      <w:r w:rsidR="002356D6" w:rsidRPr="00236128">
        <w:rPr>
          <w:lang w:val="en-GB"/>
        </w:rPr>
        <w:t>submits</w:t>
      </w:r>
      <w:r w:rsidR="00B01BFB" w:rsidRPr="00236128">
        <w:rPr>
          <w:lang w:val="en-GB"/>
        </w:rPr>
        <w:t xml:space="preserve"> that should </w:t>
      </w:r>
      <w:r w:rsidR="00A2003F">
        <w:rPr>
          <w:lang w:val="en-GB"/>
        </w:rPr>
        <w:t>the</w:t>
      </w:r>
      <w:r w:rsidR="00A2003F" w:rsidRPr="00236128">
        <w:rPr>
          <w:lang w:val="en-GB"/>
        </w:rPr>
        <w:t xml:space="preserve"> </w:t>
      </w:r>
      <w:r w:rsidR="00B01BFB" w:rsidRPr="00236128">
        <w:rPr>
          <w:lang w:val="en-GB"/>
        </w:rPr>
        <w:t xml:space="preserve">reason </w:t>
      </w:r>
      <w:r w:rsidR="00A2003F">
        <w:rPr>
          <w:lang w:val="en-GB"/>
        </w:rPr>
        <w:t xml:space="preserve">he </w:t>
      </w:r>
      <w:r w:rsidR="00A2003F" w:rsidRPr="00236128">
        <w:rPr>
          <w:lang w:val="en-GB"/>
        </w:rPr>
        <w:t>g</w:t>
      </w:r>
      <w:r w:rsidR="00A2003F">
        <w:rPr>
          <w:lang w:val="en-GB"/>
        </w:rPr>
        <w:t>ave</w:t>
      </w:r>
      <w:r w:rsidR="00A2003F" w:rsidRPr="00236128">
        <w:rPr>
          <w:lang w:val="en-GB"/>
        </w:rPr>
        <w:t xml:space="preserve"> </w:t>
      </w:r>
      <w:r w:rsidR="00B01BFB" w:rsidRPr="00236128">
        <w:rPr>
          <w:lang w:val="en-GB"/>
        </w:rPr>
        <w:t xml:space="preserve">to the </w:t>
      </w:r>
      <w:r w:rsidR="007D5900">
        <w:rPr>
          <w:lang w:val="en-GB"/>
        </w:rPr>
        <w:t>Election Commission</w:t>
      </w:r>
      <w:r w:rsidR="00B01BFB" w:rsidRPr="00236128">
        <w:rPr>
          <w:lang w:val="en-GB"/>
        </w:rPr>
        <w:t xml:space="preserve"> </w:t>
      </w:r>
      <w:r w:rsidR="00A2003F">
        <w:rPr>
          <w:lang w:val="en-GB"/>
        </w:rPr>
        <w:t xml:space="preserve">to </w:t>
      </w:r>
      <w:r w:rsidR="00B01BFB" w:rsidRPr="00236128">
        <w:rPr>
          <w:lang w:val="en-GB"/>
        </w:rPr>
        <w:t xml:space="preserve">justify his failure to vote </w:t>
      </w:r>
      <w:r w:rsidR="0053192B" w:rsidRPr="00236128">
        <w:rPr>
          <w:lang w:val="en-GB"/>
        </w:rPr>
        <w:t xml:space="preserve">be </w:t>
      </w:r>
      <w:r w:rsidR="00B01BFB" w:rsidRPr="00236128">
        <w:rPr>
          <w:lang w:val="en-GB"/>
        </w:rPr>
        <w:t xml:space="preserve">deemed an </w:t>
      </w:r>
      <w:r w:rsidR="00F37ABE">
        <w:rPr>
          <w:lang w:val="en-GB"/>
        </w:rPr>
        <w:t>“</w:t>
      </w:r>
      <w:r w:rsidR="00B01BFB" w:rsidRPr="00236128">
        <w:rPr>
          <w:lang w:val="en-GB"/>
        </w:rPr>
        <w:t>opinion</w:t>
      </w:r>
      <w:r w:rsidR="00F37ABE">
        <w:rPr>
          <w:lang w:val="en-GB"/>
        </w:rPr>
        <w:t>”</w:t>
      </w:r>
      <w:r w:rsidR="00B01BFB" w:rsidRPr="00236128">
        <w:rPr>
          <w:lang w:val="en-GB"/>
        </w:rPr>
        <w:t xml:space="preserve">, the penalty notice amounted to a violation of his right to hold an opinion without interference </w:t>
      </w:r>
      <w:r w:rsidR="005D0850" w:rsidRPr="00236128">
        <w:rPr>
          <w:lang w:val="en-GB"/>
        </w:rPr>
        <w:t>and intimidation.</w:t>
      </w:r>
      <w:r w:rsidR="005D0850" w:rsidRPr="00236128">
        <w:rPr>
          <w:rStyle w:val="FootnoteReference"/>
          <w:lang w:val="en-GB"/>
        </w:rPr>
        <w:footnoteReference w:id="17"/>
      </w:r>
      <w:r w:rsidR="00B01BFB" w:rsidRPr="00236128">
        <w:rPr>
          <w:lang w:val="en-GB"/>
        </w:rPr>
        <w:t xml:space="preserve"> </w:t>
      </w:r>
      <w:r w:rsidR="005D0850" w:rsidRPr="00236128">
        <w:rPr>
          <w:lang w:val="en-GB"/>
        </w:rPr>
        <w:t xml:space="preserve">The </w:t>
      </w:r>
      <w:r w:rsidR="007D5900">
        <w:rPr>
          <w:lang w:val="en-GB"/>
        </w:rPr>
        <w:t>Election Commission</w:t>
      </w:r>
      <w:r w:rsidR="005D0850" w:rsidRPr="00236128">
        <w:rPr>
          <w:lang w:val="en-GB"/>
        </w:rPr>
        <w:t>’s assessment of his reason to abstain from voting</w:t>
      </w:r>
      <w:r w:rsidR="00781C76" w:rsidRPr="00236128">
        <w:rPr>
          <w:lang w:val="en-GB"/>
        </w:rPr>
        <w:t xml:space="preserve">, </w:t>
      </w:r>
      <w:r w:rsidR="00A2003F">
        <w:rPr>
          <w:lang w:val="en-GB"/>
        </w:rPr>
        <w:t xml:space="preserve">in </w:t>
      </w:r>
      <w:r w:rsidR="00781C76" w:rsidRPr="00236128">
        <w:rPr>
          <w:lang w:val="en-GB"/>
        </w:rPr>
        <w:t xml:space="preserve">which </w:t>
      </w:r>
      <w:r w:rsidR="00A2003F">
        <w:rPr>
          <w:lang w:val="en-GB"/>
        </w:rPr>
        <w:t xml:space="preserve">it </w:t>
      </w:r>
      <w:r w:rsidR="00781C76" w:rsidRPr="00236128">
        <w:rPr>
          <w:lang w:val="en-GB"/>
        </w:rPr>
        <w:t>conclude</w:t>
      </w:r>
      <w:r w:rsidR="0076701D" w:rsidRPr="00236128">
        <w:rPr>
          <w:lang w:val="en-GB"/>
        </w:rPr>
        <w:t>d</w:t>
      </w:r>
      <w:r w:rsidR="00781C76" w:rsidRPr="00236128">
        <w:rPr>
          <w:lang w:val="en-GB"/>
        </w:rPr>
        <w:t xml:space="preserve"> that</w:t>
      </w:r>
      <w:r w:rsidR="005D0850" w:rsidRPr="00236128">
        <w:rPr>
          <w:lang w:val="en-GB"/>
        </w:rPr>
        <w:t xml:space="preserve"> </w:t>
      </w:r>
      <w:r w:rsidR="00781C76" w:rsidRPr="00236128">
        <w:rPr>
          <w:lang w:val="en-GB"/>
        </w:rPr>
        <w:t xml:space="preserve">it was </w:t>
      </w:r>
      <w:r w:rsidR="005D0850" w:rsidRPr="00236128">
        <w:rPr>
          <w:lang w:val="en-GB"/>
        </w:rPr>
        <w:t xml:space="preserve">not </w:t>
      </w:r>
      <w:r w:rsidR="00F37ABE">
        <w:rPr>
          <w:lang w:val="en-GB"/>
        </w:rPr>
        <w:t xml:space="preserve">a </w:t>
      </w:r>
      <w:r w:rsidR="005D0850" w:rsidRPr="00236128">
        <w:rPr>
          <w:lang w:val="en-GB"/>
        </w:rPr>
        <w:t xml:space="preserve">valid and sufficient reason to </w:t>
      </w:r>
      <w:r w:rsidR="00B702B1">
        <w:rPr>
          <w:lang w:val="en-GB"/>
        </w:rPr>
        <w:t>exempt</w:t>
      </w:r>
      <w:r w:rsidR="00A2003F">
        <w:rPr>
          <w:lang w:val="en-GB"/>
        </w:rPr>
        <w:t xml:space="preserve"> him from</w:t>
      </w:r>
      <w:r w:rsidR="00A2003F" w:rsidRPr="00236128">
        <w:rPr>
          <w:lang w:val="en-GB"/>
        </w:rPr>
        <w:t xml:space="preserve"> </w:t>
      </w:r>
      <w:r w:rsidR="005D0850" w:rsidRPr="00236128">
        <w:rPr>
          <w:lang w:val="en-GB"/>
        </w:rPr>
        <w:t>his duty to vote, constituted</w:t>
      </w:r>
      <w:r w:rsidR="008A035B">
        <w:rPr>
          <w:lang w:val="en-GB"/>
        </w:rPr>
        <w:t>,</w:t>
      </w:r>
      <w:r w:rsidR="005D0850" w:rsidRPr="00236128">
        <w:rPr>
          <w:lang w:val="en-GB"/>
        </w:rPr>
        <w:t xml:space="preserve"> </w:t>
      </w:r>
      <w:r w:rsidR="008A035B" w:rsidRPr="000841EB">
        <w:rPr>
          <w:lang w:val="en-GB"/>
        </w:rPr>
        <w:t>in practice</w:t>
      </w:r>
      <w:r w:rsidR="008A035B">
        <w:rPr>
          <w:lang w:val="en-GB"/>
        </w:rPr>
        <w:t>,</w:t>
      </w:r>
      <w:r w:rsidR="008A035B" w:rsidRPr="000841EB">
        <w:rPr>
          <w:lang w:val="en-GB"/>
        </w:rPr>
        <w:t xml:space="preserve"> </w:t>
      </w:r>
      <w:r w:rsidR="005D0850" w:rsidRPr="00236128">
        <w:rPr>
          <w:lang w:val="en-GB"/>
        </w:rPr>
        <w:t xml:space="preserve">a form of coercion against his holding a particular </w:t>
      </w:r>
      <w:r w:rsidR="00CB5E2C" w:rsidRPr="00236128">
        <w:rPr>
          <w:lang w:val="en-GB"/>
        </w:rPr>
        <w:t>political opinion</w:t>
      </w:r>
      <w:r w:rsidR="005D0850" w:rsidRPr="00236128">
        <w:rPr>
          <w:lang w:val="en-GB"/>
        </w:rPr>
        <w:t>.</w:t>
      </w:r>
    </w:p>
    <w:p w14:paraId="208EA411" w14:textId="2DCD27F2" w:rsidR="00781C76" w:rsidRPr="00236128" w:rsidRDefault="003E35D6" w:rsidP="007A6388">
      <w:pPr>
        <w:pStyle w:val="SingleTxtG"/>
        <w:rPr>
          <w:lang w:val="en-GB" w:eastAsia="en-GB"/>
        </w:rPr>
      </w:pPr>
      <w:r w:rsidRPr="00236128">
        <w:rPr>
          <w:lang w:val="en-GB" w:eastAsia="en-GB"/>
        </w:rPr>
        <w:t>5.9</w:t>
      </w:r>
      <w:r w:rsidRPr="00236128">
        <w:rPr>
          <w:lang w:val="en-GB" w:eastAsia="en-GB"/>
        </w:rPr>
        <w:tab/>
        <w:t>Although the State party’s observations maintain that electors are free to vote for any candidate for election or for no</w:t>
      </w:r>
      <w:r w:rsidR="0076701D" w:rsidRPr="00236128">
        <w:rPr>
          <w:lang w:val="en-GB" w:eastAsia="en-GB"/>
        </w:rPr>
        <w:t xml:space="preserve"> </w:t>
      </w:r>
      <w:r w:rsidRPr="00236128">
        <w:rPr>
          <w:lang w:val="en-GB" w:eastAsia="en-GB"/>
        </w:rPr>
        <w:t xml:space="preserve">one at all, the official instructions established in section 240 of the </w:t>
      </w:r>
      <w:r w:rsidR="007D5900">
        <w:rPr>
          <w:lang w:val="en-GB" w:eastAsia="en-GB"/>
        </w:rPr>
        <w:t>Commonwealth Electoral Act</w:t>
      </w:r>
      <w:r w:rsidRPr="00236128">
        <w:rPr>
          <w:lang w:val="en-GB" w:eastAsia="en-GB"/>
        </w:rPr>
        <w:t xml:space="preserve"> instruct electors to place a preference by the names of all candidates. There is no optional preferential voting and no way to exclude from a ballot paper a vote for a candidate or </w:t>
      </w:r>
      <w:r w:rsidRPr="00236128">
        <w:rPr>
          <w:lang w:val="en-GB"/>
        </w:rPr>
        <w:t>candidates</w:t>
      </w:r>
      <w:r w:rsidRPr="00236128">
        <w:rPr>
          <w:lang w:val="en-GB" w:eastAsia="en-GB"/>
        </w:rPr>
        <w:t xml:space="preserve"> for whom a voter has no preference or does not wish to vote. Otherwise, the ballot paper will be set aside and will not be considered in the scrutiny. The author claims that this distorts and coerces the free expression of his will as elector and is contrary to article 25 of the Covenant.</w:t>
      </w:r>
    </w:p>
    <w:p w14:paraId="1B38E496" w14:textId="2830AF9C" w:rsidR="007058FB" w:rsidRPr="00236128" w:rsidRDefault="00781C76" w:rsidP="007A6388">
      <w:pPr>
        <w:pStyle w:val="SingleTxtG"/>
        <w:rPr>
          <w:lang w:val="en-GB"/>
        </w:rPr>
      </w:pPr>
      <w:r w:rsidRPr="00236128">
        <w:rPr>
          <w:lang w:val="en-GB"/>
        </w:rPr>
        <w:t>5.</w:t>
      </w:r>
      <w:r w:rsidR="003E35D6" w:rsidRPr="00236128">
        <w:rPr>
          <w:lang w:val="en-GB"/>
        </w:rPr>
        <w:t>10</w:t>
      </w:r>
      <w:r w:rsidR="00857CD0" w:rsidRPr="00236128">
        <w:rPr>
          <w:lang w:val="en-GB"/>
        </w:rPr>
        <w:tab/>
      </w:r>
      <w:r w:rsidRPr="00236128">
        <w:rPr>
          <w:lang w:val="en-GB"/>
        </w:rPr>
        <w:t>The author reiterate</w:t>
      </w:r>
      <w:r w:rsidR="0076701D" w:rsidRPr="00236128">
        <w:rPr>
          <w:lang w:val="en-GB"/>
        </w:rPr>
        <w:t>s</w:t>
      </w:r>
      <w:r w:rsidRPr="00236128">
        <w:rPr>
          <w:lang w:val="en-GB"/>
        </w:rPr>
        <w:t xml:space="preserve"> his allegations concerning article 26 of the Covenant and asserts that the State party has not provided any objective and reasonable reason to explain the different treatment given to electors who provided a religious belief </w:t>
      </w:r>
      <w:r w:rsidR="0076701D" w:rsidRPr="00236128">
        <w:rPr>
          <w:lang w:val="en-GB"/>
        </w:rPr>
        <w:t xml:space="preserve">as grounds </w:t>
      </w:r>
      <w:r w:rsidRPr="00236128">
        <w:rPr>
          <w:lang w:val="en-GB"/>
        </w:rPr>
        <w:t xml:space="preserve">to excuse their failure to vote. </w:t>
      </w:r>
      <w:r w:rsidR="00FA1A95">
        <w:rPr>
          <w:lang w:val="en-GB"/>
        </w:rPr>
        <w:t xml:space="preserve">Furthermore, </w:t>
      </w:r>
      <w:r w:rsidRPr="00236128">
        <w:rPr>
          <w:lang w:val="en-GB"/>
        </w:rPr>
        <w:t xml:space="preserve">it </w:t>
      </w:r>
      <w:r w:rsidR="00FA1A95" w:rsidRPr="007975DA">
        <w:rPr>
          <w:lang w:val="en-GB"/>
        </w:rPr>
        <w:t xml:space="preserve">has </w:t>
      </w:r>
      <w:r w:rsidR="00FA1A95">
        <w:rPr>
          <w:lang w:val="en-GB"/>
        </w:rPr>
        <w:t>not</w:t>
      </w:r>
      <w:r w:rsidR="00FA1A95" w:rsidRPr="002D2EE2">
        <w:rPr>
          <w:lang w:val="en-GB"/>
        </w:rPr>
        <w:t xml:space="preserve"> </w:t>
      </w:r>
      <w:r w:rsidRPr="00236128">
        <w:rPr>
          <w:lang w:val="en-GB"/>
        </w:rPr>
        <w:t xml:space="preserve">explained why his reason for not voting </w:t>
      </w:r>
      <w:r w:rsidR="00FA1A95">
        <w:rPr>
          <w:lang w:val="en-GB"/>
        </w:rPr>
        <w:t>wa</w:t>
      </w:r>
      <w:r w:rsidRPr="00236128">
        <w:rPr>
          <w:lang w:val="en-GB"/>
        </w:rPr>
        <w:t>s not valid</w:t>
      </w:r>
      <w:r w:rsidR="0053192B" w:rsidRPr="00236128">
        <w:rPr>
          <w:lang w:val="en-GB"/>
        </w:rPr>
        <w:t>.</w:t>
      </w:r>
      <w:r w:rsidRPr="00236128">
        <w:rPr>
          <w:lang w:val="en-GB"/>
        </w:rPr>
        <w:t xml:space="preserve"> Against this background, the </w:t>
      </w:r>
      <w:r w:rsidR="007D5900">
        <w:rPr>
          <w:lang w:val="en-GB"/>
        </w:rPr>
        <w:t>Election Commission</w:t>
      </w:r>
      <w:r w:rsidRPr="00236128">
        <w:rPr>
          <w:lang w:val="en-GB"/>
        </w:rPr>
        <w:t xml:space="preserve">’s penalty and subsequent decisions constituted </w:t>
      </w:r>
      <w:r w:rsidR="004B3232" w:rsidRPr="00236128">
        <w:rPr>
          <w:lang w:val="en-GB"/>
        </w:rPr>
        <w:t>discrimination</w:t>
      </w:r>
      <w:r w:rsidRPr="00236128">
        <w:rPr>
          <w:lang w:val="en-GB"/>
        </w:rPr>
        <w:t xml:space="preserve"> on </w:t>
      </w:r>
      <w:r w:rsidR="008A035B">
        <w:rPr>
          <w:lang w:val="en-GB"/>
        </w:rPr>
        <w:t xml:space="preserve">the </w:t>
      </w:r>
      <w:r w:rsidR="008A035B" w:rsidRPr="00F4098A">
        <w:rPr>
          <w:lang w:val="en-GB"/>
        </w:rPr>
        <w:t>grounds</w:t>
      </w:r>
      <w:r w:rsidR="008A035B" w:rsidRPr="00E27706">
        <w:rPr>
          <w:lang w:val="en-GB"/>
        </w:rPr>
        <w:t xml:space="preserve"> </w:t>
      </w:r>
      <w:r w:rsidR="008A035B">
        <w:rPr>
          <w:lang w:val="en-GB"/>
        </w:rPr>
        <w:t xml:space="preserve">of </w:t>
      </w:r>
      <w:r w:rsidR="00936859">
        <w:rPr>
          <w:lang w:val="en-GB"/>
        </w:rPr>
        <w:t xml:space="preserve">his </w:t>
      </w:r>
      <w:r w:rsidRPr="00236128">
        <w:rPr>
          <w:lang w:val="en-GB"/>
        </w:rPr>
        <w:t>politic</w:t>
      </w:r>
      <w:r w:rsidR="00936859">
        <w:rPr>
          <w:lang w:val="en-GB"/>
        </w:rPr>
        <w:t>al opinions</w:t>
      </w:r>
      <w:r w:rsidRPr="00236128">
        <w:rPr>
          <w:lang w:val="en-GB"/>
        </w:rPr>
        <w:t xml:space="preserve"> and </w:t>
      </w:r>
      <w:r w:rsidR="00630D5D">
        <w:rPr>
          <w:lang w:val="en-GB"/>
        </w:rPr>
        <w:t xml:space="preserve">his </w:t>
      </w:r>
      <w:r w:rsidRPr="00236128">
        <w:rPr>
          <w:lang w:val="en-GB"/>
        </w:rPr>
        <w:t>belief</w:t>
      </w:r>
      <w:r w:rsidR="00936859">
        <w:rPr>
          <w:lang w:val="en-GB"/>
        </w:rPr>
        <w:t>s</w:t>
      </w:r>
      <w:r w:rsidRPr="00236128">
        <w:rPr>
          <w:lang w:val="en-GB"/>
        </w:rPr>
        <w:t xml:space="preserve">. </w:t>
      </w:r>
    </w:p>
    <w:p w14:paraId="70A6221C" w14:textId="77777777" w:rsidR="00323FF5" w:rsidRPr="00236128" w:rsidRDefault="00323FF5" w:rsidP="00236128">
      <w:pPr>
        <w:pStyle w:val="H23G"/>
      </w:pPr>
      <w:r w:rsidRPr="00236128">
        <w:rPr>
          <w:b w:val="0"/>
          <w:color w:val="FF0000"/>
        </w:rPr>
        <w:tab/>
      </w:r>
      <w:r w:rsidRPr="00236128">
        <w:rPr>
          <w:b w:val="0"/>
          <w:color w:val="FF0000"/>
        </w:rPr>
        <w:tab/>
      </w:r>
      <w:r w:rsidRPr="00236128">
        <w:t xml:space="preserve">Issues and proceedings before the </w:t>
      </w:r>
      <w:r w:rsidRPr="00E27706">
        <w:t>Committee</w:t>
      </w:r>
    </w:p>
    <w:p w14:paraId="30778149" w14:textId="77777777" w:rsidR="00323FF5" w:rsidRPr="00236128" w:rsidRDefault="00323FF5" w:rsidP="00236128">
      <w:pPr>
        <w:pStyle w:val="H4G"/>
      </w:pPr>
      <w:r w:rsidRPr="00236128">
        <w:tab/>
      </w:r>
      <w:r w:rsidRPr="00236128">
        <w:tab/>
        <w:t xml:space="preserve">Consideration of </w:t>
      </w:r>
      <w:r w:rsidRPr="00E27706">
        <w:t>admissibility</w:t>
      </w:r>
    </w:p>
    <w:p w14:paraId="73A7A3C2" w14:textId="3E1DAB70" w:rsidR="006323A4" w:rsidRPr="00236128" w:rsidRDefault="002356D6" w:rsidP="007A6388">
      <w:pPr>
        <w:pStyle w:val="SingleTxtG"/>
        <w:rPr>
          <w:lang w:val="en-GB"/>
        </w:rPr>
      </w:pPr>
      <w:r w:rsidRPr="00236128">
        <w:rPr>
          <w:lang w:val="en-GB"/>
        </w:rPr>
        <w:t>6</w:t>
      </w:r>
      <w:r w:rsidR="00323FF5" w:rsidRPr="00236128">
        <w:rPr>
          <w:lang w:val="en-GB"/>
        </w:rPr>
        <w:t>.1</w:t>
      </w:r>
      <w:r w:rsidR="00857CD0" w:rsidRPr="00236128">
        <w:rPr>
          <w:lang w:val="en-GB"/>
        </w:rPr>
        <w:tab/>
      </w:r>
      <w:r w:rsidR="00323FF5" w:rsidRPr="00236128">
        <w:rPr>
          <w:lang w:val="en-GB"/>
        </w:rPr>
        <w:t xml:space="preserve">Before considering any claim contained in a communication, the Committee must, in accordance with rule 93 of its rules of </w:t>
      </w:r>
      <w:r w:rsidR="00323FF5" w:rsidRPr="00236128">
        <w:rPr>
          <w:rFonts w:eastAsia="ヒラギノ角ゴ Pro W3"/>
          <w:lang w:val="en-GB" w:eastAsia="en-GB"/>
        </w:rPr>
        <w:t>procedure</w:t>
      </w:r>
      <w:r w:rsidR="00323FF5" w:rsidRPr="00236128">
        <w:rPr>
          <w:lang w:val="en-GB"/>
        </w:rPr>
        <w:t xml:space="preserve">, decide whether the </w:t>
      </w:r>
      <w:r w:rsidR="0007762F" w:rsidRPr="00236128">
        <w:rPr>
          <w:lang w:val="en-GB"/>
        </w:rPr>
        <w:t>c</w:t>
      </w:r>
      <w:r w:rsidR="0007762F">
        <w:rPr>
          <w:lang w:val="en-GB"/>
        </w:rPr>
        <w:t xml:space="preserve">laim </w:t>
      </w:r>
      <w:r w:rsidR="00323FF5" w:rsidRPr="00236128">
        <w:rPr>
          <w:lang w:val="en-GB"/>
        </w:rPr>
        <w:t>is admissible under the Optional Protocol.</w:t>
      </w:r>
    </w:p>
    <w:p w14:paraId="01424C4E" w14:textId="3623437F" w:rsidR="002450CE" w:rsidRPr="00236128" w:rsidRDefault="002356D6" w:rsidP="007A6388">
      <w:pPr>
        <w:pStyle w:val="SingleTxtG"/>
        <w:rPr>
          <w:lang w:val="en-GB"/>
        </w:rPr>
      </w:pPr>
      <w:r w:rsidRPr="00236128">
        <w:rPr>
          <w:lang w:val="en-GB"/>
        </w:rPr>
        <w:t>6</w:t>
      </w:r>
      <w:r w:rsidR="002450CE" w:rsidRPr="00236128">
        <w:rPr>
          <w:lang w:val="en-GB"/>
        </w:rPr>
        <w:t>.2</w:t>
      </w:r>
      <w:r w:rsidR="002450CE" w:rsidRPr="00236128">
        <w:rPr>
          <w:lang w:val="en-GB"/>
        </w:rPr>
        <w:tab/>
        <w:t>The Committee notes, as required under article 5</w:t>
      </w:r>
      <w:r w:rsidR="0007762F">
        <w:rPr>
          <w:lang w:val="en-GB"/>
        </w:rPr>
        <w:t> </w:t>
      </w:r>
      <w:r w:rsidR="0076701D" w:rsidRPr="00236128">
        <w:rPr>
          <w:lang w:val="en-GB"/>
        </w:rPr>
        <w:t>(</w:t>
      </w:r>
      <w:r w:rsidR="002450CE" w:rsidRPr="00236128">
        <w:rPr>
          <w:lang w:val="en-GB"/>
        </w:rPr>
        <w:t>2</w:t>
      </w:r>
      <w:r w:rsidR="0076701D" w:rsidRPr="00236128">
        <w:rPr>
          <w:lang w:val="en-GB"/>
        </w:rPr>
        <w:t>)</w:t>
      </w:r>
      <w:r w:rsidR="0007762F">
        <w:rPr>
          <w:lang w:val="en-GB"/>
        </w:rPr>
        <w:t> </w:t>
      </w:r>
      <w:r w:rsidR="002450CE" w:rsidRPr="00236128">
        <w:rPr>
          <w:lang w:val="en-GB"/>
        </w:rPr>
        <w:t>(a) of the Optional Protocol, that the same matter is not being examined under any other procedure of international investigation or settlement.</w:t>
      </w:r>
    </w:p>
    <w:p w14:paraId="67760581" w14:textId="4889F0BB" w:rsidR="002450CE" w:rsidRPr="00236128" w:rsidRDefault="002356D6" w:rsidP="007A6388">
      <w:pPr>
        <w:pStyle w:val="SingleTxtG"/>
        <w:rPr>
          <w:lang w:val="en-GB"/>
        </w:rPr>
      </w:pPr>
      <w:r w:rsidRPr="00236128">
        <w:rPr>
          <w:lang w:val="en-GB"/>
        </w:rPr>
        <w:t>6</w:t>
      </w:r>
      <w:r w:rsidR="00857CD0" w:rsidRPr="00236128">
        <w:rPr>
          <w:lang w:val="en-GB"/>
        </w:rPr>
        <w:t>.3</w:t>
      </w:r>
      <w:r w:rsidR="00857CD0" w:rsidRPr="00236128">
        <w:rPr>
          <w:lang w:val="en-GB"/>
        </w:rPr>
        <w:tab/>
      </w:r>
      <w:r w:rsidR="002450CE" w:rsidRPr="00236128">
        <w:rPr>
          <w:lang w:val="en-GB"/>
        </w:rPr>
        <w:t xml:space="preserve">The </w:t>
      </w:r>
      <w:r w:rsidR="00BA5609" w:rsidRPr="00236128">
        <w:rPr>
          <w:lang w:val="en-GB"/>
        </w:rPr>
        <w:t>Committee notes that the author</w:t>
      </w:r>
      <w:r w:rsidR="002450CE" w:rsidRPr="00236128">
        <w:rPr>
          <w:lang w:val="en-GB"/>
        </w:rPr>
        <w:t xml:space="preserve"> unsuccessfully filed applications before the </w:t>
      </w:r>
      <w:r w:rsidR="007D5900">
        <w:rPr>
          <w:lang w:val="en-GB"/>
        </w:rPr>
        <w:t>Election Commission</w:t>
      </w:r>
      <w:r w:rsidR="002450CE" w:rsidRPr="00236128">
        <w:rPr>
          <w:lang w:val="en-GB"/>
        </w:rPr>
        <w:t xml:space="preserve"> and the</w:t>
      </w:r>
      <w:r w:rsidR="006323A4" w:rsidRPr="00236128">
        <w:rPr>
          <w:lang w:val="en-GB"/>
        </w:rPr>
        <w:t xml:space="preserve"> </w:t>
      </w:r>
      <w:r w:rsidR="00E66B73" w:rsidRPr="00236128">
        <w:rPr>
          <w:lang w:val="en-GB"/>
        </w:rPr>
        <w:t xml:space="preserve">Human Rights </w:t>
      </w:r>
      <w:r w:rsidR="006323A4" w:rsidRPr="00236128">
        <w:rPr>
          <w:lang w:val="en-GB"/>
        </w:rPr>
        <w:t>Commission concerning the fine</w:t>
      </w:r>
      <w:r w:rsidR="002450CE" w:rsidRPr="00236128">
        <w:rPr>
          <w:lang w:val="en-GB"/>
        </w:rPr>
        <w:t xml:space="preserve"> imposed </w:t>
      </w:r>
      <w:r w:rsidR="00BF79B5">
        <w:rPr>
          <w:lang w:val="en-GB"/>
        </w:rPr>
        <w:t xml:space="preserve">on </w:t>
      </w:r>
      <w:r w:rsidR="002450CE" w:rsidRPr="00236128">
        <w:rPr>
          <w:lang w:val="en-GB"/>
        </w:rPr>
        <w:t xml:space="preserve">him </w:t>
      </w:r>
      <w:r w:rsidR="006323A4" w:rsidRPr="00236128">
        <w:rPr>
          <w:lang w:val="en-GB"/>
        </w:rPr>
        <w:t xml:space="preserve">by the </w:t>
      </w:r>
      <w:r w:rsidR="00FA1A95">
        <w:rPr>
          <w:lang w:val="en-GB"/>
        </w:rPr>
        <w:t>former</w:t>
      </w:r>
      <w:r w:rsidR="006323A4" w:rsidRPr="00236128">
        <w:rPr>
          <w:lang w:val="en-GB"/>
        </w:rPr>
        <w:t xml:space="preserve"> </w:t>
      </w:r>
      <w:r w:rsidR="009A1620">
        <w:rPr>
          <w:lang w:val="en-GB"/>
        </w:rPr>
        <w:t>owing</w:t>
      </w:r>
      <w:r w:rsidR="006323A4" w:rsidRPr="00236128">
        <w:rPr>
          <w:lang w:val="en-GB"/>
        </w:rPr>
        <w:t xml:space="preserve"> to </w:t>
      </w:r>
      <w:r w:rsidR="002450CE" w:rsidRPr="00236128">
        <w:rPr>
          <w:lang w:val="en-GB"/>
        </w:rPr>
        <w:t>his failure to vote at the 2010 federal elections; a</w:t>
      </w:r>
      <w:r w:rsidR="00FA1A95">
        <w:rPr>
          <w:lang w:val="en-GB"/>
        </w:rPr>
        <w:t xml:space="preserve">nd </w:t>
      </w:r>
      <w:r w:rsidR="002450CE" w:rsidRPr="00236128">
        <w:rPr>
          <w:lang w:val="en-GB"/>
        </w:rPr>
        <w:t xml:space="preserve">his </w:t>
      </w:r>
      <w:r w:rsidR="00BF79B5">
        <w:rPr>
          <w:lang w:val="en-GB"/>
        </w:rPr>
        <w:t>claim</w:t>
      </w:r>
      <w:r w:rsidR="00BF79B5" w:rsidRPr="00236128">
        <w:rPr>
          <w:lang w:val="en-GB"/>
        </w:rPr>
        <w:t xml:space="preserve"> </w:t>
      </w:r>
      <w:r w:rsidR="002450CE" w:rsidRPr="00236128">
        <w:rPr>
          <w:lang w:val="en-GB"/>
        </w:rPr>
        <w:t xml:space="preserve">that </w:t>
      </w:r>
      <w:r w:rsidR="00B620D3" w:rsidRPr="00236128">
        <w:rPr>
          <w:lang w:val="en-GB"/>
        </w:rPr>
        <w:t xml:space="preserve">he has exhausted all </w:t>
      </w:r>
      <w:r w:rsidR="00BF79B5" w:rsidRPr="00486A1D">
        <w:rPr>
          <w:lang w:val="en-GB"/>
        </w:rPr>
        <w:t xml:space="preserve">effective </w:t>
      </w:r>
      <w:r w:rsidR="00B620D3" w:rsidRPr="00236128">
        <w:rPr>
          <w:lang w:val="en-GB"/>
        </w:rPr>
        <w:t xml:space="preserve">domestic remedies </w:t>
      </w:r>
      <w:r w:rsidR="002450CE" w:rsidRPr="00236128">
        <w:rPr>
          <w:lang w:val="en-GB"/>
        </w:rPr>
        <w:t>available in t</w:t>
      </w:r>
      <w:r w:rsidR="00BA5609" w:rsidRPr="00236128">
        <w:rPr>
          <w:lang w:val="en-GB"/>
        </w:rPr>
        <w:t>he State party</w:t>
      </w:r>
      <w:r w:rsidR="00B620D3" w:rsidRPr="00236128">
        <w:rPr>
          <w:lang w:val="en-GB"/>
        </w:rPr>
        <w:t xml:space="preserve"> in relation to the allegations contained in his communication</w:t>
      </w:r>
      <w:r w:rsidR="00BA5609" w:rsidRPr="00236128">
        <w:rPr>
          <w:lang w:val="en-GB"/>
        </w:rPr>
        <w:t xml:space="preserve">. </w:t>
      </w:r>
      <w:r w:rsidR="00E66B73" w:rsidRPr="00236128">
        <w:rPr>
          <w:lang w:val="en-GB"/>
        </w:rPr>
        <w:t xml:space="preserve">In the absence of any objection by the State party in that connection, </w:t>
      </w:r>
      <w:r w:rsidR="00BF79B5" w:rsidRPr="00236128">
        <w:rPr>
          <w:lang w:val="en-GB"/>
        </w:rPr>
        <w:t>th</w:t>
      </w:r>
      <w:r w:rsidR="00BF79B5">
        <w:rPr>
          <w:lang w:val="en-GB"/>
        </w:rPr>
        <w:t>e</w:t>
      </w:r>
      <w:r w:rsidR="00BF79B5" w:rsidRPr="00236128">
        <w:rPr>
          <w:lang w:val="en-GB"/>
        </w:rPr>
        <w:t xml:space="preserve"> </w:t>
      </w:r>
      <w:r w:rsidR="00E66B73" w:rsidRPr="00236128">
        <w:rPr>
          <w:lang w:val="en-GB"/>
        </w:rPr>
        <w:t>Committee considers that the requirements of article 5</w:t>
      </w:r>
      <w:r w:rsidR="00BF79B5">
        <w:rPr>
          <w:lang w:val="en-GB"/>
        </w:rPr>
        <w:t> </w:t>
      </w:r>
      <w:r w:rsidR="00E66B73" w:rsidRPr="00236128">
        <w:rPr>
          <w:lang w:val="en-GB"/>
        </w:rPr>
        <w:t>(2)</w:t>
      </w:r>
      <w:r w:rsidR="00BF79B5">
        <w:rPr>
          <w:lang w:val="en-GB"/>
        </w:rPr>
        <w:t> </w:t>
      </w:r>
      <w:r w:rsidR="00E66B73" w:rsidRPr="00236128">
        <w:rPr>
          <w:lang w:val="en-GB"/>
        </w:rPr>
        <w:t>(b) of the Optional Protocol ha</w:t>
      </w:r>
      <w:r w:rsidR="00875B04" w:rsidRPr="00236128">
        <w:rPr>
          <w:lang w:val="en-GB"/>
        </w:rPr>
        <w:t>ve</w:t>
      </w:r>
      <w:r w:rsidR="00E66B73" w:rsidRPr="00236128">
        <w:rPr>
          <w:lang w:val="en-GB"/>
        </w:rPr>
        <w:t xml:space="preserve"> been met.</w:t>
      </w:r>
    </w:p>
    <w:p w14:paraId="35BE1668" w14:textId="4B6D1763" w:rsidR="00B709C1" w:rsidRPr="00236128" w:rsidRDefault="002356D6" w:rsidP="007A6388">
      <w:pPr>
        <w:pStyle w:val="SingleTxtG"/>
        <w:rPr>
          <w:lang w:val="en-GB"/>
        </w:rPr>
      </w:pPr>
      <w:r w:rsidRPr="00236128">
        <w:rPr>
          <w:lang w:val="en-GB"/>
        </w:rPr>
        <w:t>6</w:t>
      </w:r>
      <w:r w:rsidR="002450CE" w:rsidRPr="00236128">
        <w:rPr>
          <w:lang w:val="en-GB"/>
        </w:rPr>
        <w:t>.4</w:t>
      </w:r>
      <w:r w:rsidR="00857CD0" w:rsidRPr="00236128">
        <w:rPr>
          <w:lang w:val="en-GB"/>
        </w:rPr>
        <w:tab/>
      </w:r>
      <w:r w:rsidR="001062D2" w:rsidRPr="00236128">
        <w:rPr>
          <w:lang w:val="en-GB"/>
        </w:rPr>
        <w:t xml:space="preserve">The Committee takes note of the author’s allegations that the </w:t>
      </w:r>
      <w:r w:rsidR="006A6404" w:rsidRPr="00236128">
        <w:rPr>
          <w:lang w:val="en-GB"/>
        </w:rPr>
        <w:t xml:space="preserve">penalty imposed on him by the </w:t>
      </w:r>
      <w:r w:rsidR="007D5900">
        <w:rPr>
          <w:lang w:val="en-GB"/>
        </w:rPr>
        <w:t>Election Commission</w:t>
      </w:r>
      <w:r w:rsidR="001062D2" w:rsidRPr="00236128">
        <w:rPr>
          <w:lang w:val="en-GB"/>
        </w:rPr>
        <w:t xml:space="preserve"> violated his rights under article 18 of the Covenant</w:t>
      </w:r>
      <w:r w:rsidR="006A6404" w:rsidRPr="00236128">
        <w:rPr>
          <w:lang w:val="en-GB"/>
        </w:rPr>
        <w:t xml:space="preserve"> since his </w:t>
      </w:r>
      <w:r w:rsidR="00E66B73" w:rsidRPr="00236128">
        <w:rPr>
          <w:lang w:val="en-GB"/>
        </w:rPr>
        <w:t xml:space="preserve">decision not to vote </w:t>
      </w:r>
      <w:r w:rsidR="0076701D" w:rsidRPr="00236128">
        <w:rPr>
          <w:lang w:val="en-GB"/>
        </w:rPr>
        <w:t>in</w:t>
      </w:r>
      <w:r w:rsidR="006A6404" w:rsidRPr="00236128">
        <w:rPr>
          <w:lang w:val="en-GB" w:eastAsia="en-GB"/>
        </w:rPr>
        <w:t xml:space="preserve"> the 2010 federal election</w:t>
      </w:r>
      <w:r w:rsidR="00E66B73" w:rsidRPr="00236128">
        <w:rPr>
          <w:lang w:val="en-GB" w:eastAsia="en-GB"/>
        </w:rPr>
        <w:t>s</w:t>
      </w:r>
      <w:r w:rsidR="006A6404" w:rsidRPr="00236128">
        <w:rPr>
          <w:lang w:val="en-GB" w:eastAsia="en-GB"/>
        </w:rPr>
        <w:t xml:space="preserve"> was a manifestation of his belief </w:t>
      </w:r>
      <w:r w:rsidR="008C1CC5" w:rsidRPr="00236128">
        <w:rPr>
          <w:lang w:val="en-GB" w:eastAsia="en-GB"/>
        </w:rPr>
        <w:t>driven by long</w:t>
      </w:r>
      <w:r w:rsidR="00F9419F">
        <w:rPr>
          <w:lang w:val="en-GB" w:eastAsia="en-GB"/>
        </w:rPr>
        <w:t>-</w:t>
      </w:r>
      <w:r w:rsidR="008C1CC5" w:rsidRPr="00236128">
        <w:rPr>
          <w:lang w:val="en-GB" w:eastAsia="en-GB"/>
        </w:rPr>
        <w:t xml:space="preserve">term non-religious convictions, and that such </w:t>
      </w:r>
      <w:r w:rsidR="00F9419F">
        <w:rPr>
          <w:lang w:val="en-GB" w:eastAsia="en-GB"/>
        </w:rPr>
        <w:t xml:space="preserve">a </w:t>
      </w:r>
      <w:r w:rsidR="008C1CC5" w:rsidRPr="00236128">
        <w:rPr>
          <w:lang w:val="en-GB" w:eastAsia="en-GB"/>
        </w:rPr>
        <w:t>belief</w:t>
      </w:r>
      <w:r w:rsidR="006A6404" w:rsidRPr="00236128">
        <w:rPr>
          <w:lang w:val="en-GB" w:eastAsia="en-GB"/>
        </w:rPr>
        <w:t xml:space="preserve"> </w:t>
      </w:r>
      <w:r w:rsidR="0076701D" w:rsidRPr="00236128">
        <w:rPr>
          <w:lang w:val="en-GB" w:eastAsia="en-GB"/>
        </w:rPr>
        <w:t xml:space="preserve">can </w:t>
      </w:r>
      <w:r w:rsidR="006A6404" w:rsidRPr="00236128">
        <w:rPr>
          <w:lang w:val="en-GB" w:eastAsia="en-GB"/>
        </w:rPr>
        <w:t xml:space="preserve">only be limited in the circumstances </w:t>
      </w:r>
      <w:r w:rsidR="0076701D" w:rsidRPr="00236128">
        <w:rPr>
          <w:lang w:val="en-GB" w:eastAsia="en-GB"/>
        </w:rPr>
        <w:t xml:space="preserve">set forth </w:t>
      </w:r>
      <w:r w:rsidR="006A6404" w:rsidRPr="00236128">
        <w:rPr>
          <w:lang w:val="en-GB" w:eastAsia="en-GB"/>
        </w:rPr>
        <w:t>in article 18</w:t>
      </w:r>
      <w:r w:rsidR="00F9419F">
        <w:rPr>
          <w:lang w:val="en-GB" w:eastAsia="en-GB"/>
        </w:rPr>
        <w:t> </w:t>
      </w:r>
      <w:r w:rsidR="006A6404" w:rsidRPr="00236128">
        <w:rPr>
          <w:lang w:val="en-GB" w:eastAsia="en-GB"/>
        </w:rPr>
        <w:t xml:space="preserve">(3). </w:t>
      </w:r>
      <w:r w:rsidR="008C1CC5" w:rsidRPr="00236128">
        <w:rPr>
          <w:lang w:val="en-GB" w:eastAsia="en-GB"/>
        </w:rPr>
        <w:t>The author further submits that should his reasons not to vote be considered an opinion and not a belief</w:t>
      </w:r>
      <w:r w:rsidR="0076701D" w:rsidRPr="00236128">
        <w:rPr>
          <w:lang w:val="en-GB" w:eastAsia="en-GB"/>
        </w:rPr>
        <w:t>,</w:t>
      </w:r>
      <w:r w:rsidR="008C1CC5" w:rsidRPr="00236128">
        <w:rPr>
          <w:lang w:val="en-GB" w:eastAsia="en-GB"/>
        </w:rPr>
        <w:t xml:space="preserve"> the penalty </w:t>
      </w:r>
      <w:r w:rsidR="00875B04" w:rsidRPr="00236128">
        <w:rPr>
          <w:lang w:val="en-GB" w:eastAsia="en-GB"/>
        </w:rPr>
        <w:t>n</w:t>
      </w:r>
      <w:r w:rsidR="008C1CC5" w:rsidRPr="00236128">
        <w:rPr>
          <w:lang w:val="en-GB" w:eastAsia="en-GB"/>
        </w:rPr>
        <w:t xml:space="preserve">otice amounted to a violation of his right to hold an opinion without interference and intimidation, and that the </w:t>
      </w:r>
      <w:r w:rsidR="007D5900">
        <w:rPr>
          <w:lang w:val="en-GB" w:eastAsia="en-GB"/>
        </w:rPr>
        <w:t>Election Commission</w:t>
      </w:r>
      <w:r w:rsidR="008C1CC5" w:rsidRPr="00236128">
        <w:rPr>
          <w:lang w:val="en-GB" w:eastAsia="en-GB"/>
        </w:rPr>
        <w:t xml:space="preserve">’s assessment of his </w:t>
      </w:r>
      <w:r w:rsidR="008C1CC5" w:rsidRPr="00236128">
        <w:rPr>
          <w:lang w:val="en-GB"/>
        </w:rPr>
        <w:t>reason</w:t>
      </w:r>
      <w:r w:rsidR="008C1CC5" w:rsidRPr="00236128">
        <w:rPr>
          <w:lang w:val="en-GB" w:eastAsia="en-GB"/>
        </w:rPr>
        <w:t xml:space="preserve"> to abstain from voting constituted a form of coercion against his political opinion.</w:t>
      </w:r>
      <w:r w:rsidR="006A6404" w:rsidRPr="00236128">
        <w:rPr>
          <w:lang w:val="en-GB"/>
        </w:rPr>
        <w:t xml:space="preserve"> The Committee also notes the State party’s </w:t>
      </w:r>
      <w:r w:rsidR="006A6404" w:rsidRPr="00236128">
        <w:rPr>
          <w:lang w:val="en-GB"/>
        </w:rPr>
        <w:lastRenderedPageBreak/>
        <w:t xml:space="preserve">observations that </w:t>
      </w:r>
      <w:r w:rsidR="008C1CC5" w:rsidRPr="00236128">
        <w:rPr>
          <w:lang w:val="en-GB"/>
        </w:rPr>
        <w:t xml:space="preserve">the </w:t>
      </w:r>
      <w:r w:rsidR="004B3232" w:rsidRPr="00236128">
        <w:rPr>
          <w:lang w:val="en-GB"/>
        </w:rPr>
        <w:t>author’s claim</w:t>
      </w:r>
      <w:r w:rsidR="006A6404" w:rsidRPr="00236128">
        <w:rPr>
          <w:lang w:val="en-GB"/>
        </w:rPr>
        <w:t xml:space="preserve"> </w:t>
      </w:r>
      <w:r w:rsidR="008C1CC5" w:rsidRPr="00236128">
        <w:rPr>
          <w:lang w:val="en-GB"/>
        </w:rPr>
        <w:t xml:space="preserve">under article 18 </w:t>
      </w:r>
      <w:r w:rsidR="006A6404" w:rsidRPr="00236128">
        <w:rPr>
          <w:lang w:val="en-GB"/>
        </w:rPr>
        <w:t xml:space="preserve">is inadmissible </w:t>
      </w:r>
      <w:r w:rsidR="0076701D" w:rsidRPr="00236128">
        <w:rPr>
          <w:lang w:val="en-GB"/>
        </w:rPr>
        <w:t>as in</w:t>
      </w:r>
      <w:r w:rsidR="006A6404" w:rsidRPr="00236128">
        <w:rPr>
          <w:lang w:val="en-GB"/>
        </w:rPr>
        <w:t xml:space="preserve">sufficiently substantiated </w:t>
      </w:r>
      <w:r w:rsidR="00B709C1" w:rsidRPr="00236128">
        <w:rPr>
          <w:lang w:val="en-GB"/>
        </w:rPr>
        <w:t xml:space="preserve">or incompatible with the Covenant. </w:t>
      </w:r>
      <w:r w:rsidR="008C1CC5" w:rsidRPr="00236128">
        <w:rPr>
          <w:lang w:val="en-GB"/>
        </w:rPr>
        <w:t xml:space="preserve">In </w:t>
      </w:r>
      <w:r w:rsidR="00455197" w:rsidRPr="00236128">
        <w:rPr>
          <w:lang w:val="en-GB"/>
        </w:rPr>
        <w:t>particular</w:t>
      </w:r>
      <w:r w:rsidR="008C1CC5" w:rsidRPr="00236128">
        <w:rPr>
          <w:lang w:val="en-GB"/>
        </w:rPr>
        <w:t>, the State party maintains that</w:t>
      </w:r>
      <w:r w:rsidR="00875B04" w:rsidRPr="00236128">
        <w:rPr>
          <w:lang w:val="en-GB"/>
        </w:rPr>
        <w:t xml:space="preserve"> the</w:t>
      </w:r>
      <w:r w:rsidR="008C1CC5" w:rsidRPr="00236128">
        <w:rPr>
          <w:lang w:val="en-GB"/>
        </w:rPr>
        <w:t xml:space="preserve"> author has failed to sufficiently substantiate </w:t>
      </w:r>
      <w:r w:rsidR="00875B04" w:rsidRPr="00236128">
        <w:rPr>
          <w:lang w:val="en-GB"/>
        </w:rPr>
        <w:t xml:space="preserve">his claim that he has been subjected to </w:t>
      </w:r>
      <w:r w:rsidR="008C1CC5" w:rsidRPr="00236128">
        <w:rPr>
          <w:lang w:val="en-GB"/>
        </w:rPr>
        <w:t>limitation</w:t>
      </w:r>
      <w:r w:rsidR="00875B04" w:rsidRPr="00236128">
        <w:rPr>
          <w:lang w:val="en-GB"/>
        </w:rPr>
        <w:t>s</w:t>
      </w:r>
      <w:r w:rsidR="008C1CC5" w:rsidRPr="00236128">
        <w:rPr>
          <w:lang w:val="en-GB"/>
        </w:rPr>
        <w:t xml:space="preserve"> on his ability to form a viewpoint in relation to voting, and/or that he has been coerced to change his views.</w:t>
      </w:r>
    </w:p>
    <w:p w14:paraId="586E7257" w14:textId="0331E83A" w:rsidR="000846D1" w:rsidRPr="00236128" w:rsidRDefault="002356D6" w:rsidP="009B2332">
      <w:pPr>
        <w:pStyle w:val="SingleTxtG"/>
        <w:rPr>
          <w:lang w:val="en-GB"/>
        </w:rPr>
      </w:pPr>
      <w:r w:rsidRPr="00236128">
        <w:rPr>
          <w:lang w:val="en-GB"/>
        </w:rPr>
        <w:t>6</w:t>
      </w:r>
      <w:r w:rsidR="00857CD0" w:rsidRPr="00236128">
        <w:rPr>
          <w:lang w:val="en-GB"/>
        </w:rPr>
        <w:t>.5</w:t>
      </w:r>
      <w:r w:rsidR="004200FF" w:rsidRPr="00236128">
        <w:rPr>
          <w:lang w:val="en-GB"/>
        </w:rPr>
        <w:tab/>
      </w:r>
      <w:r w:rsidR="00C51060" w:rsidRPr="00236128">
        <w:rPr>
          <w:lang w:val="en-GB"/>
        </w:rPr>
        <w:t>The Committee recalls that a</w:t>
      </w:r>
      <w:r w:rsidR="00B709C1" w:rsidRPr="00236128">
        <w:rPr>
          <w:lang w:val="en-GB"/>
        </w:rPr>
        <w:t>rticle 18 protects theistic, non-theistic and atheistic beliefs, a</w:t>
      </w:r>
      <w:r w:rsidR="008E23F1">
        <w:rPr>
          <w:lang w:val="en-GB"/>
        </w:rPr>
        <w:t xml:space="preserve">nd </w:t>
      </w:r>
      <w:r w:rsidR="00B709C1" w:rsidRPr="00236128">
        <w:rPr>
          <w:lang w:val="en-GB"/>
        </w:rPr>
        <w:t xml:space="preserve">the right not to profess any religion or belief. The terms </w:t>
      </w:r>
      <w:r w:rsidR="0011441C">
        <w:rPr>
          <w:lang w:val="en-GB"/>
        </w:rPr>
        <w:t>“</w:t>
      </w:r>
      <w:r w:rsidR="00B709C1" w:rsidRPr="00236128">
        <w:rPr>
          <w:lang w:val="en-GB"/>
        </w:rPr>
        <w:t>belief</w:t>
      </w:r>
      <w:r w:rsidR="0011441C">
        <w:rPr>
          <w:lang w:val="en-GB"/>
        </w:rPr>
        <w:t>”</w:t>
      </w:r>
      <w:r w:rsidR="00B709C1" w:rsidRPr="00236128">
        <w:rPr>
          <w:lang w:val="en-GB"/>
        </w:rPr>
        <w:t xml:space="preserve"> and </w:t>
      </w:r>
      <w:r w:rsidR="0011441C">
        <w:rPr>
          <w:lang w:val="en-GB"/>
        </w:rPr>
        <w:t>“</w:t>
      </w:r>
      <w:r w:rsidR="00B709C1" w:rsidRPr="00236128">
        <w:rPr>
          <w:lang w:val="en-GB"/>
        </w:rPr>
        <w:t>religion</w:t>
      </w:r>
      <w:r w:rsidR="0011441C">
        <w:rPr>
          <w:lang w:val="en-GB"/>
        </w:rPr>
        <w:t>”</w:t>
      </w:r>
      <w:r w:rsidR="00B709C1" w:rsidRPr="00236128">
        <w:rPr>
          <w:lang w:val="en-GB"/>
        </w:rPr>
        <w:t xml:space="preserve"> are to be broadly construed. Article 18 is not limited in its application to traditional religions or to religions and beliefs with institutional characteristics or practices analogous to those of traditional religions</w:t>
      </w:r>
      <w:r w:rsidR="00232A6D" w:rsidRPr="00236128">
        <w:rPr>
          <w:lang w:val="en-GB"/>
        </w:rPr>
        <w:t>.</w:t>
      </w:r>
      <w:r w:rsidR="00B709C1" w:rsidRPr="00236128">
        <w:rPr>
          <w:rStyle w:val="FootnoteReference"/>
          <w:lang w:val="en-GB"/>
        </w:rPr>
        <w:footnoteReference w:id="18"/>
      </w:r>
      <w:r w:rsidR="00B709C1" w:rsidRPr="00236128">
        <w:rPr>
          <w:lang w:val="en-GB"/>
        </w:rPr>
        <w:t xml:space="preserve"> </w:t>
      </w:r>
      <w:r w:rsidR="00232A6D" w:rsidRPr="00236128">
        <w:rPr>
          <w:lang w:val="en-GB"/>
        </w:rPr>
        <w:t>Although t</w:t>
      </w:r>
      <w:r w:rsidR="004200FF" w:rsidRPr="00236128">
        <w:rPr>
          <w:lang w:val="en-GB"/>
        </w:rPr>
        <w:t>he contents of a religion or belief should be defined by the worshippers themselves</w:t>
      </w:r>
      <w:r w:rsidR="00232A6D" w:rsidRPr="00236128">
        <w:rPr>
          <w:lang w:val="en-GB"/>
        </w:rPr>
        <w:t>,</w:t>
      </w:r>
      <w:r w:rsidR="004200FF" w:rsidRPr="00236128">
        <w:rPr>
          <w:rStyle w:val="FootnoteReference"/>
          <w:lang w:val="en-GB"/>
        </w:rPr>
        <w:footnoteReference w:id="19"/>
      </w:r>
      <w:r w:rsidR="0065563B" w:rsidRPr="00236128">
        <w:rPr>
          <w:lang w:val="en-GB"/>
        </w:rPr>
        <w:t xml:space="preserve"> </w:t>
      </w:r>
      <w:r w:rsidR="00232A6D" w:rsidRPr="00236128">
        <w:rPr>
          <w:lang w:val="en-GB"/>
        </w:rPr>
        <w:t>in general</w:t>
      </w:r>
      <w:r w:rsidR="009A1620">
        <w:rPr>
          <w:lang w:val="en-GB"/>
        </w:rPr>
        <w:t>,</w:t>
      </w:r>
      <w:r w:rsidR="00232A6D" w:rsidRPr="00236128">
        <w:rPr>
          <w:lang w:val="en-GB"/>
        </w:rPr>
        <w:t xml:space="preserve"> beliefs are formed by </w:t>
      </w:r>
      <w:r w:rsidR="008C1CC5" w:rsidRPr="00236128">
        <w:rPr>
          <w:lang w:val="en-GB"/>
        </w:rPr>
        <w:t xml:space="preserve">a </w:t>
      </w:r>
      <w:r w:rsidR="00232A6D" w:rsidRPr="00236128">
        <w:rPr>
          <w:lang w:val="en-GB"/>
        </w:rPr>
        <w:t>system of principles or philosophical consideration</w:t>
      </w:r>
      <w:r w:rsidR="00BD11A2" w:rsidRPr="00236128">
        <w:rPr>
          <w:lang w:val="en-GB"/>
        </w:rPr>
        <w:t xml:space="preserve"> </w:t>
      </w:r>
      <w:r w:rsidR="005038F5" w:rsidRPr="00236128">
        <w:rPr>
          <w:lang w:val="en-GB"/>
        </w:rPr>
        <w:t>of life</w:t>
      </w:r>
      <w:r w:rsidR="00232A6D" w:rsidRPr="00236128">
        <w:rPr>
          <w:lang w:val="en-GB"/>
        </w:rPr>
        <w:t>.</w:t>
      </w:r>
      <w:r w:rsidR="0065563B" w:rsidRPr="00236128">
        <w:rPr>
          <w:lang w:val="en-GB"/>
        </w:rPr>
        <w:t xml:space="preserve"> The Committee acknowledge</w:t>
      </w:r>
      <w:r w:rsidR="00EF4E17" w:rsidRPr="00236128">
        <w:rPr>
          <w:lang w:val="en-GB"/>
        </w:rPr>
        <w:t>s</w:t>
      </w:r>
      <w:r w:rsidR="0065563B" w:rsidRPr="00236128">
        <w:rPr>
          <w:lang w:val="en-GB"/>
        </w:rPr>
        <w:t xml:space="preserve"> the author’s </w:t>
      </w:r>
      <w:r w:rsidR="00284CAC" w:rsidRPr="00236128">
        <w:rPr>
          <w:lang w:val="en-GB"/>
        </w:rPr>
        <w:t>point</w:t>
      </w:r>
      <w:r w:rsidR="0011441C">
        <w:rPr>
          <w:lang w:val="en-GB"/>
        </w:rPr>
        <w:t>s</w:t>
      </w:r>
      <w:r w:rsidR="00284CAC" w:rsidRPr="00236128">
        <w:rPr>
          <w:lang w:val="en-GB"/>
        </w:rPr>
        <w:t xml:space="preserve"> of </w:t>
      </w:r>
      <w:r w:rsidR="0065563B" w:rsidRPr="00236128">
        <w:rPr>
          <w:lang w:val="en-GB"/>
        </w:rPr>
        <w:t>view concerning the 2010 federal election</w:t>
      </w:r>
      <w:r w:rsidR="003601C1" w:rsidRPr="00236128">
        <w:rPr>
          <w:lang w:val="en-GB"/>
        </w:rPr>
        <w:t xml:space="preserve"> (see </w:t>
      </w:r>
      <w:r w:rsidR="0011441C">
        <w:rPr>
          <w:lang w:val="en-GB"/>
        </w:rPr>
        <w:t>para</w:t>
      </w:r>
      <w:r w:rsidR="008A2E7F">
        <w:rPr>
          <w:lang w:val="en-GB"/>
        </w:rPr>
        <w:t>.</w:t>
      </w:r>
      <w:r w:rsidR="0011441C">
        <w:rPr>
          <w:lang w:val="en-GB"/>
        </w:rPr>
        <w:t xml:space="preserve"> </w:t>
      </w:r>
      <w:r w:rsidR="003601C1" w:rsidRPr="00236128">
        <w:rPr>
          <w:lang w:val="en-GB"/>
        </w:rPr>
        <w:t>2.2 above)</w:t>
      </w:r>
      <w:r w:rsidR="00EF4E17" w:rsidRPr="00236128">
        <w:rPr>
          <w:lang w:val="en-GB"/>
        </w:rPr>
        <w:t xml:space="preserve"> and the compulsory voting system in general. H</w:t>
      </w:r>
      <w:r w:rsidR="00C24A2B" w:rsidRPr="00236128">
        <w:rPr>
          <w:lang w:val="en-GB"/>
        </w:rPr>
        <w:t>owever</w:t>
      </w:r>
      <w:r w:rsidR="00EF4E17" w:rsidRPr="00236128">
        <w:rPr>
          <w:lang w:val="en-GB"/>
        </w:rPr>
        <w:t>,</w:t>
      </w:r>
      <w:r w:rsidR="00C24A2B" w:rsidRPr="00236128">
        <w:rPr>
          <w:lang w:val="en-GB"/>
        </w:rPr>
        <w:t xml:space="preserve"> </w:t>
      </w:r>
      <w:r w:rsidR="008C1CC5" w:rsidRPr="00236128">
        <w:rPr>
          <w:lang w:val="en-GB"/>
        </w:rPr>
        <w:t xml:space="preserve">it considers that </w:t>
      </w:r>
      <w:r w:rsidR="00C24A2B" w:rsidRPr="00236128">
        <w:rPr>
          <w:lang w:val="en-GB"/>
        </w:rPr>
        <w:t>not all opinions or convictions constitute</w:t>
      </w:r>
      <w:r w:rsidR="005038F5" w:rsidRPr="00236128">
        <w:rPr>
          <w:lang w:val="en-GB"/>
        </w:rPr>
        <w:t xml:space="preserve"> belief</w:t>
      </w:r>
      <w:r w:rsidR="008C1CC5" w:rsidRPr="00236128">
        <w:rPr>
          <w:lang w:val="en-GB"/>
        </w:rPr>
        <w:t>s</w:t>
      </w:r>
      <w:r w:rsidR="00C24A2B" w:rsidRPr="00236128">
        <w:rPr>
          <w:lang w:val="en-GB"/>
        </w:rPr>
        <w:t>.</w:t>
      </w:r>
      <w:r w:rsidR="0065563B" w:rsidRPr="00236128">
        <w:rPr>
          <w:lang w:val="en-GB"/>
        </w:rPr>
        <w:t xml:space="preserve"> </w:t>
      </w:r>
      <w:r w:rsidR="00284CAC" w:rsidRPr="00236128">
        <w:rPr>
          <w:lang w:val="en-GB"/>
        </w:rPr>
        <w:t xml:space="preserve">In the present case, </w:t>
      </w:r>
      <w:r w:rsidR="000846D1" w:rsidRPr="00236128">
        <w:rPr>
          <w:lang w:val="en-GB"/>
        </w:rPr>
        <w:t>t</w:t>
      </w:r>
      <w:r w:rsidR="00EF4E17" w:rsidRPr="00236128">
        <w:rPr>
          <w:lang w:val="en-GB"/>
        </w:rPr>
        <w:t xml:space="preserve">he author has failed to </w:t>
      </w:r>
      <w:r w:rsidR="008C1CC5" w:rsidRPr="00236128">
        <w:rPr>
          <w:lang w:val="en-GB"/>
        </w:rPr>
        <w:t>submit convincing arguments to show that his wish not to vote at</w:t>
      </w:r>
      <w:r w:rsidR="00EF4E17" w:rsidRPr="00236128">
        <w:rPr>
          <w:lang w:val="en-GB"/>
        </w:rPr>
        <w:t xml:space="preserve"> th</w:t>
      </w:r>
      <w:r w:rsidR="00284CAC" w:rsidRPr="00236128">
        <w:rPr>
          <w:lang w:val="en-GB"/>
        </w:rPr>
        <w:t xml:space="preserve">e 2010 federal </w:t>
      </w:r>
      <w:r w:rsidR="00EF4E17" w:rsidRPr="00236128">
        <w:rPr>
          <w:lang w:val="en-GB"/>
        </w:rPr>
        <w:t xml:space="preserve">election </w:t>
      </w:r>
      <w:r w:rsidR="008C1CC5" w:rsidRPr="00236128">
        <w:rPr>
          <w:lang w:val="en-GB"/>
        </w:rPr>
        <w:t xml:space="preserve">was </w:t>
      </w:r>
      <w:r w:rsidR="00EF4E17" w:rsidRPr="00236128">
        <w:rPr>
          <w:lang w:val="en-GB"/>
        </w:rPr>
        <w:t>based on a belief</w:t>
      </w:r>
      <w:r w:rsidR="000846D1" w:rsidRPr="00236128">
        <w:rPr>
          <w:lang w:val="en-GB"/>
        </w:rPr>
        <w:t xml:space="preserve"> in the sense of article 18 of the Covenant.</w:t>
      </w:r>
      <w:r w:rsidR="009B2332" w:rsidRPr="00236128">
        <w:rPr>
          <w:lang w:val="en-GB"/>
        </w:rPr>
        <w:t xml:space="preserve"> </w:t>
      </w:r>
      <w:r w:rsidR="008C1CC5" w:rsidRPr="00236128">
        <w:rPr>
          <w:lang w:val="en-GB"/>
        </w:rPr>
        <w:t xml:space="preserve">As </w:t>
      </w:r>
      <w:r w:rsidR="008E23F1">
        <w:rPr>
          <w:lang w:val="en-GB"/>
        </w:rPr>
        <w:t>regards</w:t>
      </w:r>
      <w:r w:rsidR="008E23F1" w:rsidRPr="00236128">
        <w:rPr>
          <w:lang w:val="en-GB"/>
        </w:rPr>
        <w:t xml:space="preserve"> </w:t>
      </w:r>
      <w:r w:rsidR="008C1CC5" w:rsidRPr="00236128">
        <w:rPr>
          <w:lang w:val="en-GB"/>
        </w:rPr>
        <w:t xml:space="preserve">the author’s right to </w:t>
      </w:r>
      <w:r w:rsidRPr="00236128">
        <w:rPr>
          <w:lang w:val="en-GB"/>
        </w:rPr>
        <w:t>hold</w:t>
      </w:r>
      <w:r w:rsidR="008C1CC5" w:rsidRPr="00236128">
        <w:rPr>
          <w:lang w:val="en-GB"/>
        </w:rPr>
        <w:t xml:space="preserve"> an opinion</w:t>
      </w:r>
      <w:r w:rsidR="00D00B99" w:rsidRPr="00236128">
        <w:rPr>
          <w:lang w:val="en-GB"/>
        </w:rPr>
        <w:t xml:space="preserve"> under article 19 of the Covenant</w:t>
      </w:r>
      <w:r w:rsidR="008C1CC5" w:rsidRPr="00236128">
        <w:rPr>
          <w:lang w:val="en-GB"/>
        </w:rPr>
        <w:t xml:space="preserve">, the Committee considers that the purpose of the penalty imposed on the author was not to intimidate or punish him for holding a particular opinion regarding the </w:t>
      </w:r>
      <w:r w:rsidR="0011441C" w:rsidRPr="00E27706">
        <w:rPr>
          <w:lang w:val="en-GB"/>
        </w:rPr>
        <w:t>behaviour</w:t>
      </w:r>
      <w:r w:rsidR="008C1CC5" w:rsidRPr="00236128">
        <w:rPr>
          <w:lang w:val="en-GB"/>
        </w:rPr>
        <w:t xml:space="preserve"> of politicians, but to implement the </w:t>
      </w:r>
      <w:r w:rsidR="00D00B99" w:rsidRPr="00236128">
        <w:rPr>
          <w:lang w:val="en-GB"/>
        </w:rPr>
        <w:t xml:space="preserve">general </w:t>
      </w:r>
      <w:r w:rsidR="008C1CC5" w:rsidRPr="00236128">
        <w:rPr>
          <w:lang w:val="en-GB"/>
        </w:rPr>
        <w:t xml:space="preserve">legal obligation of all electors to vote. In view of the foregoing, </w:t>
      </w:r>
      <w:r w:rsidR="005038F5" w:rsidRPr="00236128">
        <w:rPr>
          <w:lang w:val="en-GB"/>
        </w:rPr>
        <w:t>t</w:t>
      </w:r>
      <w:r w:rsidR="000846D1" w:rsidRPr="00236128">
        <w:rPr>
          <w:lang w:val="en-GB"/>
        </w:rPr>
        <w:t xml:space="preserve">he Committee </w:t>
      </w:r>
      <w:r w:rsidR="00284CAC" w:rsidRPr="00236128">
        <w:rPr>
          <w:lang w:val="en-GB"/>
        </w:rPr>
        <w:t xml:space="preserve">considers </w:t>
      </w:r>
      <w:r w:rsidR="000846D1" w:rsidRPr="00236128">
        <w:rPr>
          <w:lang w:val="en-GB"/>
        </w:rPr>
        <w:t xml:space="preserve">that the </w:t>
      </w:r>
      <w:r w:rsidR="005A59B7" w:rsidRPr="00236128">
        <w:rPr>
          <w:lang w:val="en-GB"/>
        </w:rPr>
        <w:t xml:space="preserve">claims </w:t>
      </w:r>
      <w:r w:rsidR="000846D1" w:rsidRPr="00236128">
        <w:rPr>
          <w:lang w:val="en-GB"/>
        </w:rPr>
        <w:t xml:space="preserve">concerning the violation of </w:t>
      </w:r>
      <w:r w:rsidR="005A59B7" w:rsidRPr="00236128">
        <w:rPr>
          <w:lang w:val="en-GB"/>
        </w:rPr>
        <w:t>articles 18</w:t>
      </w:r>
      <w:r w:rsidR="0011441C">
        <w:rPr>
          <w:lang w:val="en-GB"/>
        </w:rPr>
        <w:t> </w:t>
      </w:r>
      <w:r w:rsidR="005A59B7" w:rsidRPr="00236128">
        <w:rPr>
          <w:lang w:val="en-GB"/>
        </w:rPr>
        <w:t>(1) and 19</w:t>
      </w:r>
      <w:r w:rsidR="0011441C">
        <w:rPr>
          <w:lang w:val="en-GB"/>
        </w:rPr>
        <w:t> </w:t>
      </w:r>
      <w:r w:rsidR="005A59B7" w:rsidRPr="00236128">
        <w:rPr>
          <w:lang w:val="en-GB"/>
        </w:rPr>
        <w:t xml:space="preserve">(1) </w:t>
      </w:r>
      <w:r w:rsidR="000846D1" w:rsidRPr="00236128">
        <w:rPr>
          <w:lang w:val="en-GB"/>
        </w:rPr>
        <w:t>have not been sufficiently substantiated for the purposes of admissibility and are inadmissible under article 2 of the Optional Protocol.</w:t>
      </w:r>
      <w:r w:rsidR="00875B04" w:rsidRPr="00236128">
        <w:rPr>
          <w:lang w:val="en-GB"/>
        </w:rPr>
        <w:t xml:space="preserve"> Having come to this conclusion, the Committee also considers that the author’s claim regarding article</w:t>
      </w:r>
      <w:r w:rsidR="00D00B99" w:rsidRPr="00236128">
        <w:rPr>
          <w:lang w:val="en-GB"/>
        </w:rPr>
        <w:t xml:space="preserve"> 2</w:t>
      </w:r>
      <w:r w:rsidR="0011441C">
        <w:rPr>
          <w:lang w:val="en-GB"/>
        </w:rPr>
        <w:t> </w:t>
      </w:r>
      <w:r w:rsidR="00D00B99" w:rsidRPr="00236128">
        <w:rPr>
          <w:lang w:val="en-GB"/>
        </w:rPr>
        <w:t xml:space="preserve">(3), </w:t>
      </w:r>
      <w:r w:rsidR="00875B04" w:rsidRPr="00236128">
        <w:rPr>
          <w:lang w:val="en-GB"/>
        </w:rPr>
        <w:t>read in conjunction with article</w:t>
      </w:r>
      <w:r w:rsidR="00D00B99" w:rsidRPr="00236128">
        <w:rPr>
          <w:lang w:val="en-GB"/>
        </w:rPr>
        <w:t xml:space="preserve"> 18</w:t>
      </w:r>
      <w:r w:rsidR="0011441C">
        <w:rPr>
          <w:lang w:val="en-GB"/>
        </w:rPr>
        <w:t> </w:t>
      </w:r>
      <w:r w:rsidR="00D00B99" w:rsidRPr="00236128">
        <w:rPr>
          <w:lang w:val="en-GB"/>
        </w:rPr>
        <w:t>(1)</w:t>
      </w:r>
      <w:r w:rsidR="00875B04" w:rsidRPr="00236128">
        <w:rPr>
          <w:lang w:val="en-GB"/>
        </w:rPr>
        <w:t xml:space="preserve">, is also inadmissible under article 2 of the Optional Protocol. </w:t>
      </w:r>
    </w:p>
    <w:p w14:paraId="2025564A" w14:textId="2E29C055" w:rsidR="00EE3FDC" w:rsidRPr="00236128" w:rsidRDefault="002356D6" w:rsidP="007A6388">
      <w:pPr>
        <w:pStyle w:val="SingleTxtG"/>
        <w:rPr>
          <w:lang w:val="en-GB"/>
        </w:rPr>
      </w:pPr>
      <w:r w:rsidRPr="00236128">
        <w:rPr>
          <w:lang w:val="en-GB"/>
        </w:rPr>
        <w:t>6</w:t>
      </w:r>
      <w:r w:rsidR="009F5D82" w:rsidRPr="00236128">
        <w:rPr>
          <w:lang w:val="en-GB"/>
        </w:rPr>
        <w:t>.</w:t>
      </w:r>
      <w:r w:rsidR="005A59B7" w:rsidRPr="00236128">
        <w:rPr>
          <w:lang w:val="en-GB"/>
        </w:rPr>
        <w:t>6</w:t>
      </w:r>
      <w:r w:rsidR="00857CD0" w:rsidRPr="00236128">
        <w:rPr>
          <w:lang w:val="en-GB"/>
        </w:rPr>
        <w:tab/>
      </w:r>
      <w:r w:rsidR="009329CF" w:rsidRPr="00236128">
        <w:rPr>
          <w:lang w:val="en-GB"/>
        </w:rPr>
        <w:t>The Committee note</w:t>
      </w:r>
      <w:r w:rsidR="00D00B99" w:rsidRPr="00236128">
        <w:rPr>
          <w:lang w:val="en-GB"/>
        </w:rPr>
        <w:t>s</w:t>
      </w:r>
      <w:r w:rsidR="009329CF" w:rsidRPr="00236128">
        <w:rPr>
          <w:lang w:val="en-GB"/>
        </w:rPr>
        <w:t xml:space="preserve"> the author’s allegations that</w:t>
      </w:r>
      <w:r w:rsidR="0062114F">
        <w:rPr>
          <w:lang w:val="en-GB"/>
        </w:rPr>
        <w:t>,</w:t>
      </w:r>
      <w:r w:rsidR="009329CF" w:rsidRPr="00236128">
        <w:rPr>
          <w:lang w:val="en-GB"/>
        </w:rPr>
        <w:t xml:space="preserve"> by concluding that his reason was not valid and sufficient to exempt him from </w:t>
      </w:r>
      <w:r w:rsidR="0011441C">
        <w:rPr>
          <w:lang w:val="en-GB"/>
        </w:rPr>
        <w:t xml:space="preserve">a </w:t>
      </w:r>
      <w:r w:rsidR="009329CF" w:rsidRPr="00236128">
        <w:rPr>
          <w:lang w:val="en-GB"/>
        </w:rPr>
        <w:t>penalty under subsection 245</w:t>
      </w:r>
      <w:r w:rsidR="0011441C">
        <w:rPr>
          <w:lang w:val="en-GB"/>
        </w:rPr>
        <w:t> </w:t>
      </w:r>
      <w:r w:rsidR="009329CF" w:rsidRPr="00236128">
        <w:rPr>
          <w:lang w:val="en-GB"/>
        </w:rPr>
        <w:t xml:space="preserve">(14) of the </w:t>
      </w:r>
      <w:r w:rsidR="007D5900">
        <w:rPr>
          <w:lang w:val="en-GB"/>
        </w:rPr>
        <w:t>Commonwealth Electoral Act</w:t>
      </w:r>
      <w:r w:rsidR="009329CF" w:rsidRPr="00236128">
        <w:rPr>
          <w:lang w:val="en-GB"/>
        </w:rPr>
        <w:t xml:space="preserve">, the </w:t>
      </w:r>
      <w:r w:rsidR="007D5900">
        <w:rPr>
          <w:lang w:val="en-GB"/>
        </w:rPr>
        <w:t>Election Commission</w:t>
      </w:r>
      <w:r w:rsidR="009329CF" w:rsidRPr="00236128">
        <w:rPr>
          <w:lang w:val="en-GB"/>
        </w:rPr>
        <w:t xml:space="preserve"> discriminated</w:t>
      </w:r>
      <w:r w:rsidR="00014FBC" w:rsidRPr="00236128">
        <w:rPr>
          <w:lang w:val="en-GB"/>
        </w:rPr>
        <w:t xml:space="preserve"> against</w:t>
      </w:r>
      <w:r w:rsidR="009329CF" w:rsidRPr="00236128">
        <w:rPr>
          <w:lang w:val="en-GB"/>
        </w:rPr>
        <w:t xml:space="preserve"> him on </w:t>
      </w:r>
      <w:r w:rsidR="00936859">
        <w:rPr>
          <w:lang w:val="en-GB"/>
        </w:rPr>
        <w:t xml:space="preserve">the </w:t>
      </w:r>
      <w:r w:rsidR="00936859" w:rsidRPr="00716297">
        <w:rPr>
          <w:lang w:val="en-GB"/>
        </w:rPr>
        <w:t>grounds</w:t>
      </w:r>
      <w:r w:rsidR="00936859" w:rsidRPr="00E27706">
        <w:rPr>
          <w:lang w:val="en-GB"/>
        </w:rPr>
        <w:t xml:space="preserve"> </w:t>
      </w:r>
      <w:r w:rsidR="00936859">
        <w:rPr>
          <w:lang w:val="en-GB"/>
        </w:rPr>
        <w:t xml:space="preserve">of his </w:t>
      </w:r>
      <w:r w:rsidR="009329CF" w:rsidRPr="00236128">
        <w:rPr>
          <w:lang w:val="en-GB"/>
        </w:rPr>
        <w:t xml:space="preserve">political </w:t>
      </w:r>
      <w:r w:rsidR="00936859">
        <w:rPr>
          <w:lang w:val="en-GB"/>
        </w:rPr>
        <w:t>opinion</w:t>
      </w:r>
      <w:r w:rsidR="00630D5D">
        <w:rPr>
          <w:lang w:val="en-GB"/>
        </w:rPr>
        <w:t>s</w:t>
      </w:r>
      <w:r w:rsidR="00936859">
        <w:rPr>
          <w:lang w:val="en-GB"/>
        </w:rPr>
        <w:t xml:space="preserve"> </w:t>
      </w:r>
      <w:r w:rsidR="009329CF" w:rsidRPr="00236128">
        <w:rPr>
          <w:lang w:val="en-GB"/>
        </w:rPr>
        <w:t xml:space="preserve">and </w:t>
      </w:r>
      <w:r w:rsidR="00936859">
        <w:rPr>
          <w:lang w:val="en-GB"/>
        </w:rPr>
        <w:t xml:space="preserve">his </w:t>
      </w:r>
      <w:r w:rsidR="009329CF" w:rsidRPr="00236128">
        <w:rPr>
          <w:lang w:val="en-GB"/>
        </w:rPr>
        <w:t>belief</w:t>
      </w:r>
      <w:r w:rsidR="00936859">
        <w:rPr>
          <w:lang w:val="en-GB"/>
        </w:rPr>
        <w:t>s</w:t>
      </w:r>
      <w:r w:rsidR="005A59B7" w:rsidRPr="00236128">
        <w:rPr>
          <w:lang w:val="en-GB"/>
        </w:rPr>
        <w:t>,</w:t>
      </w:r>
      <w:r w:rsidR="00AA3BE7" w:rsidRPr="00236128">
        <w:rPr>
          <w:lang w:val="en-GB"/>
        </w:rPr>
        <w:t xml:space="preserve"> in violation of his rights under articles 26 and 18, read in conjunction with </w:t>
      </w:r>
      <w:r w:rsidR="00D6008D">
        <w:rPr>
          <w:lang w:val="en-GB"/>
        </w:rPr>
        <w:t xml:space="preserve">article </w:t>
      </w:r>
      <w:r w:rsidR="00AA3BE7" w:rsidRPr="00236128">
        <w:rPr>
          <w:lang w:val="en-GB"/>
        </w:rPr>
        <w:t>2</w:t>
      </w:r>
      <w:r w:rsidR="0011441C">
        <w:rPr>
          <w:lang w:val="en-GB"/>
        </w:rPr>
        <w:t> </w:t>
      </w:r>
      <w:r w:rsidR="00AA3BE7" w:rsidRPr="00236128">
        <w:rPr>
          <w:lang w:val="en-GB"/>
        </w:rPr>
        <w:t>(1) of the Covenant</w:t>
      </w:r>
      <w:r w:rsidR="005A59B7" w:rsidRPr="00236128">
        <w:rPr>
          <w:lang w:val="en-GB"/>
        </w:rPr>
        <w:t>,</w:t>
      </w:r>
      <w:r w:rsidR="00AA3BE7" w:rsidRPr="00236128">
        <w:rPr>
          <w:lang w:val="en-GB"/>
        </w:rPr>
        <w:t xml:space="preserve"> </w:t>
      </w:r>
      <w:r w:rsidR="005A59B7" w:rsidRPr="00236128">
        <w:rPr>
          <w:lang w:val="en-GB"/>
        </w:rPr>
        <w:t xml:space="preserve">as compared </w:t>
      </w:r>
      <w:r w:rsidR="00630D5D">
        <w:rPr>
          <w:lang w:val="en-GB"/>
        </w:rPr>
        <w:t>with</w:t>
      </w:r>
      <w:r w:rsidR="00630D5D" w:rsidRPr="00236128">
        <w:rPr>
          <w:lang w:val="en-GB"/>
        </w:rPr>
        <w:t xml:space="preserve"> </w:t>
      </w:r>
      <w:r w:rsidR="00AA3BE7" w:rsidRPr="00236128">
        <w:rPr>
          <w:lang w:val="en-GB"/>
        </w:rPr>
        <w:t xml:space="preserve">electors who abstained from voting at the 2010 federal election due to religious duty </w:t>
      </w:r>
      <w:r w:rsidR="00875B04" w:rsidRPr="00236128">
        <w:rPr>
          <w:lang w:val="en-GB"/>
        </w:rPr>
        <w:t xml:space="preserve">and </w:t>
      </w:r>
      <w:r w:rsidR="00AA3BE7" w:rsidRPr="00236128">
        <w:rPr>
          <w:lang w:val="en-GB"/>
        </w:rPr>
        <w:t xml:space="preserve">were not penalized. </w:t>
      </w:r>
      <w:r w:rsidR="00757809" w:rsidRPr="00236128">
        <w:rPr>
          <w:lang w:val="en-GB"/>
        </w:rPr>
        <w:t>The Committee also notes the State party</w:t>
      </w:r>
      <w:r w:rsidR="005A59B7" w:rsidRPr="00236128">
        <w:rPr>
          <w:lang w:val="en-GB"/>
        </w:rPr>
        <w:t>’s</w:t>
      </w:r>
      <w:r w:rsidR="00757809" w:rsidRPr="00236128">
        <w:rPr>
          <w:lang w:val="en-GB"/>
        </w:rPr>
        <w:t xml:space="preserve"> observations that </w:t>
      </w:r>
      <w:r w:rsidR="00867BA0" w:rsidRPr="00236128">
        <w:rPr>
          <w:lang w:val="en-GB"/>
        </w:rPr>
        <w:t xml:space="preserve">these claims are inadmissible </w:t>
      </w:r>
      <w:r w:rsidR="00D00B99" w:rsidRPr="00236128">
        <w:rPr>
          <w:lang w:val="en-GB"/>
        </w:rPr>
        <w:t>as</w:t>
      </w:r>
      <w:r w:rsidR="00867BA0" w:rsidRPr="00236128">
        <w:rPr>
          <w:lang w:val="en-GB"/>
        </w:rPr>
        <w:t xml:space="preserve"> insufficiently substantiated or incompatible with the Covenant. </w:t>
      </w:r>
      <w:r w:rsidR="005A59B7" w:rsidRPr="00236128">
        <w:rPr>
          <w:lang w:val="en-GB"/>
        </w:rPr>
        <w:t>As the Committee has concluded that the author has not substantiated his claims regarding the violation of his rights under articles 18</w:t>
      </w:r>
      <w:r w:rsidR="003F4CCD">
        <w:rPr>
          <w:lang w:val="en-GB"/>
        </w:rPr>
        <w:t> </w:t>
      </w:r>
      <w:r w:rsidR="005A59B7" w:rsidRPr="00236128">
        <w:rPr>
          <w:lang w:val="en-GB"/>
        </w:rPr>
        <w:t>(1) and 19</w:t>
      </w:r>
      <w:r w:rsidR="003F4CCD">
        <w:rPr>
          <w:lang w:val="en-GB"/>
        </w:rPr>
        <w:t> </w:t>
      </w:r>
      <w:r w:rsidR="005A59B7" w:rsidRPr="00236128">
        <w:rPr>
          <w:lang w:val="en-GB"/>
        </w:rPr>
        <w:t xml:space="preserve">(1), as indicated above, the Committee considers that no issue of discrimination under article 26 </w:t>
      </w:r>
      <w:r w:rsidR="00014FBC" w:rsidRPr="00236128">
        <w:rPr>
          <w:lang w:val="en-GB"/>
        </w:rPr>
        <w:t>a</w:t>
      </w:r>
      <w:r w:rsidR="005A59B7" w:rsidRPr="00236128">
        <w:rPr>
          <w:lang w:val="en-GB"/>
        </w:rPr>
        <w:t>rise</w:t>
      </w:r>
      <w:r w:rsidR="00014FBC" w:rsidRPr="00236128">
        <w:rPr>
          <w:lang w:val="en-GB"/>
        </w:rPr>
        <w:t>s</w:t>
      </w:r>
      <w:r w:rsidR="005A59B7" w:rsidRPr="00236128">
        <w:rPr>
          <w:lang w:val="en-GB"/>
        </w:rPr>
        <w:t xml:space="preserve"> in connection with the above-mentioned provisions.</w:t>
      </w:r>
      <w:r w:rsidR="003015AB" w:rsidRPr="00236128">
        <w:rPr>
          <w:lang w:val="en-GB"/>
        </w:rPr>
        <w:t xml:space="preserve"> </w:t>
      </w:r>
      <w:r w:rsidR="003F4CCD">
        <w:rPr>
          <w:lang w:val="en-GB"/>
        </w:rPr>
        <w:t>Furthermore, t</w:t>
      </w:r>
      <w:r w:rsidR="00D00B99" w:rsidRPr="00236128">
        <w:rPr>
          <w:lang w:val="en-GB"/>
        </w:rPr>
        <w:t xml:space="preserve">he author </w:t>
      </w:r>
      <w:r w:rsidR="003F4CCD">
        <w:rPr>
          <w:lang w:val="en-GB"/>
        </w:rPr>
        <w:t xml:space="preserve">has not </w:t>
      </w:r>
      <w:r w:rsidR="00D00B99" w:rsidRPr="00236128">
        <w:rPr>
          <w:lang w:val="en-GB"/>
        </w:rPr>
        <w:t xml:space="preserve">articulated </w:t>
      </w:r>
      <w:r w:rsidR="00643613" w:rsidRPr="00236128">
        <w:rPr>
          <w:lang w:val="en-GB"/>
        </w:rPr>
        <w:t>a distinct ground</w:t>
      </w:r>
      <w:r w:rsidR="00D00B99" w:rsidRPr="00236128">
        <w:rPr>
          <w:lang w:val="en-GB"/>
        </w:rPr>
        <w:t xml:space="preserve"> on which he claims discrimination under article 26. </w:t>
      </w:r>
      <w:r w:rsidR="003015AB" w:rsidRPr="00236128">
        <w:rPr>
          <w:lang w:val="en-GB"/>
        </w:rPr>
        <w:t>The Committee therefore concludes that the author has failed to substantiate this allegation, and consequently declares this part of the communication inadmissible under article 2 of the Optional Protocol.</w:t>
      </w:r>
    </w:p>
    <w:p w14:paraId="536C10D3" w14:textId="6D22174E" w:rsidR="00B2302A" w:rsidRPr="00236128" w:rsidRDefault="002356D6" w:rsidP="007A6388">
      <w:pPr>
        <w:pStyle w:val="SingleTxtG"/>
        <w:rPr>
          <w:lang w:val="en-GB"/>
        </w:rPr>
      </w:pPr>
      <w:r w:rsidRPr="00236128">
        <w:rPr>
          <w:lang w:val="en-GB"/>
        </w:rPr>
        <w:t>6</w:t>
      </w:r>
      <w:r w:rsidR="00B2302A" w:rsidRPr="00236128">
        <w:rPr>
          <w:lang w:val="en-GB"/>
        </w:rPr>
        <w:t>.7</w:t>
      </w:r>
      <w:r w:rsidR="00B2302A" w:rsidRPr="00236128">
        <w:rPr>
          <w:lang w:val="en-GB"/>
        </w:rPr>
        <w:tab/>
        <w:t xml:space="preserve">The Committee notes the author’s allegations that the </w:t>
      </w:r>
      <w:r w:rsidR="001C5D3C" w:rsidRPr="00E40328">
        <w:rPr>
          <w:lang w:val="en-GB"/>
        </w:rPr>
        <w:t xml:space="preserve">notice </w:t>
      </w:r>
      <w:r w:rsidR="001C5D3C">
        <w:rPr>
          <w:lang w:val="en-GB"/>
        </w:rPr>
        <w:t xml:space="preserve">advising him of his </w:t>
      </w:r>
      <w:r w:rsidR="00B2302A" w:rsidRPr="00236128">
        <w:rPr>
          <w:lang w:val="en-GB"/>
        </w:rPr>
        <w:t xml:space="preserve">apparent failure to vote and the subsequent procedure before the electoral authorities constituted an arbitrary interference with his privacy </w:t>
      </w:r>
      <w:r w:rsidR="009A1620">
        <w:rPr>
          <w:lang w:val="en-GB"/>
        </w:rPr>
        <w:t xml:space="preserve">as </w:t>
      </w:r>
      <w:r w:rsidR="00B2302A" w:rsidRPr="00236128">
        <w:rPr>
          <w:lang w:val="en-GB"/>
        </w:rPr>
        <w:t>enshrined in article 17 of the Covenant</w:t>
      </w:r>
      <w:r w:rsidR="00D00B99" w:rsidRPr="00236128">
        <w:rPr>
          <w:lang w:val="en-GB"/>
        </w:rPr>
        <w:t>,</w:t>
      </w:r>
      <w:r w:rsidR="00B2302A" w:rsidRPr="00236128">
        <w:rPr>
          <w:lang w:val="en-GB"/>
        </w:rPr>
        <w:t xml:space="preserve"> since he felt forced to reveal his political opinions about the 2010 federal election in order to oppose the fine. However, the Committee also notes the author’s allegations that the notice requested him to provide the </w:t>
      </w:r>
      <w:r w:rsidR="001C5D3C">
        <w:rPr>
          <w:lang w:val="en-GB"/>
        </w:rPr>
        <w:t>Returning Officer</w:t>
      </w:r>
      <w:r w:rsidR="001C5D3C" w:rsidRPr="00236128">
        <w:rPr>
          <w:lang w:val="en-GB"/>
        </w:rPr>
        <w:t xml:space="preserve"> </w:t>
      </w:r>
      <w:r w:rsidR="00B2302A" w:rsidRPr="00236128">
        <w:rPr>
          <w:lang w:val="en-GB"/>
        </w:rPr>
        <w:t>with a valid and sufficient reason to justify his failure to vote in order not to be fined. In the Committee’s view</w:t>
      </w:r>
      <w:r w:rsidR="006147F4">
        <w:rPr>
          <w:lang w:val="en-GB"/>
        </w:rPr>
        <w:t>,</w:t>
      </w:r>
      <w:r w:rsidR="00B2302A" w:rsidRPr="00236128">
        <w:rPr>
          <w:lang w:val="en-GB"/>
        </w:rPr>
        <w:t xml:space="preserve"> the content of the notice cannot be interpreted as compelling the author to reveal his political opinions, but only </w:t>
      </w:r>
      <w:r w:rsidR="00C309C6" w:rsidRPr="00236128">
        <w:rPr>
          <w:lang w:val="en-GB"/>
        </w:rPr>
        <w:t xml:space="preserve">an invitation </w:t>
      </w:r>
      <w:r w:rsidR="00B2302A" w:rsidRPr="00236128">
        <w:rPr>
          <w:lang w:val="en-GB"/>
        </w:rPr>
        <w:t xml:space="preserve">to </w:t>
      </w:r>
      <w:r w:rsidR="00455197" w:rsidRPr="00236128">
        <w:rPr>
          <w:lang w:val="en-GB"/>
        </w:rPr>
        <w:t xml:space="preserve">demonstrate </w:t>
      </w:r>
      <w:r w:rsidR="00B2302A" w:rsidRPr="00236128">
        <w:rPr>
          <w:lang w:val="en-GB"/>
        </w:rPr>
        <w:t xml:space="preserve">whether he met the requirements of the law to obtain an exemption from voting. Accordingly, the Committee considers that the author has not </w:t>
      </w:r>
      <w:r w:rsidR="00C309C6" w:rsidRPr="00236128">
        <w:rPr>
          <w:lang w:val="en-GB"/>
        </w:rPr>
        <w:t>substantiated</w:t>
      </w:r>
      <w:r w:rsidR="00B2302A" w:rsidRPr="00236128">
        <w:rPr>
          <w:lang w:val="en-GB"/>
        </w:rPr>
        <w:t xml:space="preserve"> his claim under article 17, read alone and in conjunction with article 2</w:t>
      </w:r>
      <w:r w:rsidR="00B32D21">
        <w:rPr>
          <w:lang w:val="en-GB"/>
        </w:rPr>
        <w:t> </w:t>
      </w:r>
      <w:r w:rsidR="00B2302A" w:rsidRPr="00236128">
        <w:rPr>
          <w:lang w:val="en-GB"/>
        </w:rPr>
        <w:t xml:space="preserve">(3) of the Covenant, and declares it inadmissible pursuant to article 2 of the Optional Protocol. </w:t>
      </w:r>
    </w:p>
    <w:p w14:paraId="73CE547A" w14:textId="0826207C" w:rsidR="005B04F4" w:rsidRPr="00236128" w:rsidRDefault="00C309C6" w:rsidP="007A6388">
      <w:pPr>
        <w:pStyle w:val="SingleTxtG"/>
        <w:rPr>
          <w:color w:val="000000"/>
          <w:lang w:val="en-GB"/>
        </w:rPr>
      </w:pPr>
      <w:r w:rsidRPr="00236128">
        <w:rPr>
          <w:lang w:val="en-GB"/>
        </w:rPr>
        <w:lastRenderedPageBreak/>
        <w:t>6</w:t>
      </w:r>
      <w:r w:rsidR="003015AB" w:rsidRPr="00236128">
        <w:rPr>
          <w:lang w:val="en-GB"/>
        </w:rPr>
        <w:t>.</w:t>
      </w:r>
      <w:r w:rsidR="00BD11A2" w:rsidRPr="00236128">
        <w:rPr>
          <w:lang w:val="en-GB"/>
        </w:rPr>
        <w:t>8</w:t>
      </w:r>
      <w:r w:rsidR="003015AB" w:rsidRPr="00236128">
        <w:rPr>
          <w:lang w:val="en-GB"/>
        </w:rPr>
        <w:tab/>
      </w:r>
      <w:r w:rsidR="00B524B1" w:rsidRPr="00236128">
        <w:rPr>
          <w:lang w:val="en-GB"/>
        </w:rPr>
        <w:t>The Committee notes that the author also claims a violation of article 2</w:t>
      </w:r>
      <w:r w:rsidR="002A3462">
        <w:rPr>
          <w:lang w:val="en-GB"/>
        </w:rPr>
        <w:t> </w:t>
      </w:r>
      <w:r w:rsidR="00B524B1" w:rsidRPr="00236128">
        <w:rPr>
          <w:lang w:val="en-GB"/>
        </w:rPr>
        <w:t>(2) of the Covenant</w:t>
      </w:r>
      <w:r w:rsidR="00A350EB" w:rsidRPr="00236128">
        <w:rPr>
          <w:lang w:val="en-GB"/>
        </w:rPr>
        <w:t xml:space="preserve"> in conjunction with his claims under articles 17 and 18</w:t>
      </w:r>
      <w:r w:rsidR="00084352" w:rsidRPr="00236128">
        <w:rPr>
          <w:lang w:val="en-GB"/>
        </w:rPr>
        <w:t xml:space="preserve">. </w:t>
      </w:r>
      <w:r w:rsidR="005B04F4" w:rsidRPr="00236128">
        <w:rPr>
          <w:lang w:val="en-GB"/>
        </w:rPr>
        <w:t>The Committee recalls its jurisprudence</w:t>
      </w:r>
      <w:r w:rsidR="00084352" w:rsidRPr="00236128">
        <w:rPr>
          <w:lang w:val="en-GB"/>
        </w:rPr>
        <w:t xml:space="preserve"> that </w:t>
      </w:r>
      <w:r w:rsidR="005B04F4" w:rsidRPr="00236128">
        <w:rPr>
          <w:lang w:val="en-GB"/>
        </w:rPr>
        <w:t>article 2</w:t>
      </w:r>
      <w:r w:rsidR="002A3462">
        <w:rPr>
          <w:lang w:val="en-GB"/>
        </w:rPr>
        <w:t> </w:t>
      </w:r>
      <w:r w:rsidR="006565CE" w:rsidRPr="00236128">
        <w:rPr>
          <w:lang w:val="en-GB"/>
        </w:rPr>
        <w:t>(</w:t>
      </w:r>
      <w:r w:rsidR="005B04F4" w:rsidRPr="00236128">
        <w:rPr>
          <w:lang w:val="en-GB"/>
        </w:rPr>
        <w:t>2</w:t>
      </w:r>
      <w:r w:rsidR="006565CE" w:rsidRPr="00236128">
        <w:rPr>
          <w:lang w:val="en-GB"/>
        </w:rPr>
        <w:t>)</w:t>
      </w:r>
      <w:r w:rsidR="005B04F4" w:rsidRPr="00236128">
        <w:rPr>
          <w:lang w:val="en-GB"/>
        </w:rPr>
        <w:t xml:space="preserve"> cannot be invoked </w:t>
      </w:r>
      <w:r w:rsidR="00084352" w:rsidRPr="00236128">
        <w:rPr>
          <w:lang w:val="en-GB"/>
        </w:rPr>
        <w:t xml:space="preserve">in connection with </w:t>
      </w:r>
      <w:r w:rsidR="005B04F4" w:rsidRPr="00236128">
        <w:rPr>
          <w:lang w:val="en-GB"/>
        </w:rPr>
        <w:t>a claim in a communication under the Optional Protocol</w:t>
      </w:r>
      <w:r w:rsidR="00084352" w:rsidRPr="00236128">
        <w:rPr>
          <w:lang w:val="en-GB"/>
        </w:rPr>
        <w:t>,</w:t>
      </w:r>
      <w:r w:rsidR="005B04F4" w:rsidRPr="00236128">
        <w:rPr>
          <w:lang w:val="en-GB"/>
        </w:rPr>
        <w:t xml:space="preserve"> in conjunction with other provisions of the Covenant, except when the failure by the State party to observe its obligations under article</w:t>
      </w:r>
      <w:r w:rsidR="00BC4E15">
        <w:rPr>
          <w:lang w:val="en-GB"/>
        </w:rPr>
        <w:t> </w:t>
      </w:r>
      <w:r w:rsidR="005B04F4" w:rsidRPr="00236128">
        <w:rPr>
          <w:lang w:val="en-GB"/>
        </w:rPr>
        <w:t>2</w:t>
      </w:r>
      <w:r w:rsidR="002A3462">
        <w:rPr>
          <w:lang w:val="en-GB"/>
        </w:rPr>
        <w:t> </w:t>
      </w:r>
      <w:r w:rsidR="006565CE" w:rsidRPr="00236128">
        <w:rPr>
          <w:lang w:val="en-GB"/>
        </w:rPr>
        <w:t>(2)</w:t>
      </w:r>
      <w:r w:rsidR="005B04F4" w:rsidRPr="00236128">
        <w:rPr>
          <w:lang w:val="en-GB"/>
        </w:rPr>
        <w:t xml:space="preserve"> is the proximate cause of a distinct violation of the Covenant directly affecting the individual claiming to be a victim.</w:t>
      </w:r>
      <w:r w:rsidR="009B2332" w:rsidRPr="00236128">
        <w:rPr>
          <w:rStyle w:val="FootnoteReference"/>
          <w:lang w:val="en-GB"/>
        </w:rPr>
        <w:footnoteReference w:id="20"/>
      </w:r>
      <w:r w:rsidR="005B04F4" w:rsidRPr="00236128">
        <w:rPr>
          <w:lang w:val="en-GB"/>
        </w:rPr>
        <w:t xml:space="preserve"> In the present case, the Committee does not consider that </w:t>
      </w:r>
      <w:r w:rsidR="004B389D">
        <w:rPr>
          <w:lang w:val="en-GB"/>
        </w:rPr>
        <w:t xml:space="preserve">an </w:t>
      </w:r>
      <w:r w:rsidR="005B04F4" w:rsidRPr="00236128">
        <w:rPr>
          <w:lang w:val="en-GB"/>
        </w:rPr>
        <w:t>examination of whether the State party violated its ge</w:t>
      </w:r>
      <w:r w:rsidR="00883A55">
        <w:rPr>
          <w:lang w:val="en-GB"/>
        </w:rPr>
        <w:t>neral obligations under article </w:t>
      </w:r>
      <w:r w:rsidR="005B04F4" w:rsidRPr="00236128">
        <w:rPr>
          <w:lang w:val="en-GB"/>
        </w:rPr>
        <w:t>2</w:t>
      </w:r>
      <w:r w:rsidR="004B389D">
        <w:rPr>
          <w:lang w:val="en-GB"/>
        </w:rPr>
        <w:t> </w:t>
      </w:r>
      <w:r w:rsidR="005B04F4" w:rsidRPr="00236128">
        <w:rPr>
          <w:lang w:val="en-GB"/>
        </w:rPr>
        <w:t xml:space="preserve">(2) of the Covenant to be distinct from </w:t>
      </w:r>
      <w:r w:rsidR="004B389D">
        <w:rPr>
          <w:lang w:val="en-GB"/>
        </w:rPr>
        <w:t xml:space="preserve">an </w:t>
      </w:r>
      <w:r w:rsidR="005B04F4" w:rsidRPr="00236128">
        <w:rPr>
          <w:lang w:val="en-GB"/>
        </w:rPr>
        <w:t xml:space="preserve">examination of the violation of the </w:t>
      </w:r>
      <w:r w:rsidR="00BD11A2" w:rsidRPr="00236128">
        <w:rPr>
          <w:lang w:val="en-GB"/>
        </w:rPr>
        <w:t>author</w:t>
      </w:r>
      <w:r w:rsidR="005B04F4" w:rsidRPr="00236128">
        <w:rPr>
          <w:lang w:val="en-GB"/>
        </w:rPr>
        <w:t>’</w:t>
      </w:r>
      <w:r w:rsidR="00BD11A2" w:rsidRPr="00236128">
        <w:rPr>
          <w:lang w:val="en-GB"/>
        </w:rPr>
        <w:t>s</w:t>
      </w:r>
      <w:r w:rsidR="005B04F4" w:rsidRPr="00236128">
        <w:rPr>
          <w:lang w:val="en-GB"/>
        </w:rPr>
        <w:t xml:space="preserve"> rights under article</w:t>
      </w:r>
      <w:r w:rsidR="006565CE" w:rsidRPr="00236128">
        <w:rPr>
          <w:lang w:val="en-GB"/>
        </w:rPr>
        <w:t xml:space="preserve">s 17 and 18 </w:t>
      </w:r>
      <w:r w:rsidR="005B04F4" w:rsidRPr="00236128">
        <w:rPr>
          <w:lang w:val="en-GB"/>
        </w:rPr>
        <w:t xml:space="preserve">of the Covenant. </w:t>
      </w:r>
      <w:r w:rsidR="005B04F4" w:rsidRPr="00236128">
        <w:rPr>
          <w:color w:val="000000"/>
          <w:lang w:val="en-GB"/>
        </w:rPr>
        <w:t>The Committee therefore considers that the author’</w:t>
      </w:r>
      <w:r w:rsidR="00BD11A2" w:rsidRPr="00236128">
        <w:rPr>
          <w:color w:val="000000"/>
          <w:lang w:val="en-GB"/>
        </w:rPr>
        <w:t>s</w:t>
      </w:r>
      <w:r w:rsidR="005B04F4" w:rsidRPr="00236128">
        <w:rPr>
          <w:color w:val="000000"/>
          <w:lang w:val="en-GB"/>
        </w:rPr>
        <w:t xml:space="preserve"> claims </w:t>
      </w:r>
      <w:r w:rsidR="006565CE" w:rsidRPr="00236128">
        <w:rPr>
          <w:color w:val="000000"/>
          <w:lang w:val="en-GB"/>
        </w:rPr>
        <w:t xml:space="preserve">under articles 17 and 18, </w:t>
      </w:r>
      <w:r w:rsidR="005B04F4" w:rsidRPr="00236128">
        <w:rPr>
          <w:color w:val="000000"/>
          <w:lang w:val="en-GB"/>
        </w:rPr>
        <w:t>read in conjunction with article 2</w:t>
      </w:r>
      <w:r w:rsidR="004B389D">
        <w:rPr>
          <w:color w:val="000000"/>
          <w:lang w:val="en-GB"/>
        </w:rPr>
        <w:t> </w:t>
      </w:r>
      <w:r w:rsidR="005B04F4" w:rsidRPr="00236128">
        <w:rPr>
          <w:color w:val="000000"/>
          <w:lang w:val="en-GB"/>
        </w:rPr>
        <w:t>(2), are incompatible with article 2 of the Covenant and inadmissible under article 3 of the Optional Protocol.</w:t>
      </w:r>
    </w:p>
    <w:p w14:paraId="4D8BC6C1" w14:textId="5FC43D71" w:rsidR="00A86126" w:rsidRPr="00236128" w:rsidRDefault="002356D6" w:rsidP="007A6388">
      <w:pPr>
        <w:pStyle w:val="SingleTxtG"/>
        <w:rPr>
          <w:lang w:val="en-GB"/>
        </w:rPr>
      </w:pPr>
      <w:r w:rsidRPr="00236128">
        <w:rPr>
          <w:lang w:val="en-GB"/>
        </w:rPr>
        <w:t>6</w:t>
      </w:r>
      <w:r w:rsidR="00BD11A2" w:rsidRPr="00236128">
        <w:rPr>
          <w:lang w:val="en-GB"/>
        </w:rPr>
        <w:t>.9</w:t>
      </w:r>
      <w:r w:rsidR="00857CD0" w:rsidRPr="00236128">
        <w:rPr>
          <w:lang w:val="en-GB"/>
        </w:rPr>
        <w:tab/>
      </w:r>
      <w:r w:rsidR="00A86126" w:rsidRPr="00236128">
        <w:rPr>
          <w:lang w:val="en-GB"/>
        </w:rPr>
        <w:t xml:space="preserve">Concerning the author’s claim under article 50 of the Covenant, the Committee recalls its jurisprudence </w:t>
      </w:r>
      <w:r w:rsidR="0088343D">
        <w:rPr>
          <w:lang w:val="en-GB"/>
        </w:rPr>
        <w:t xml:space="preserve">in which it states </w:t>
      </w:r>
      <w:r w:rsidR="00A86126" w:rsidRPr="00236128">
        <w:rPr>
          <w:lang w:val="en-GB"/>
        </w:rPr>
        <w:t xml:space="preserve">that it is only with respect to </w:t>
      </w:r>
      <w:r w:rsidR="00C02462">
        <w:rPr>
          <w:lang w:val="en-GB"/>
        </w:rPr>
        <w:t xml:space="preserve">the </w:t>
      </w:r>
      <w:r w:rsidR="00A86126" w:rsidRPr="00236128">
        <w:rPr>
          <w:lang w:val="en-GB"/>
        </w:rPr>
        <w:t xml:space="preserve">articles in </w:t>
      </w:r>
      <w:r w:rsidR="003A0371">
        <w:rPr>
          <w:lang w:val="en-GB"/>
        </w:rPr>
        <w:t>p</w:t>
      </w:r>
      <w:r w:rsidR="00A86126" w:rsidRPr="00236128">
        <w:rPr>
          <w:lang w:val="en-GB"/>
        </w:rPr>
        <w:t xml:space="preserve">art III of the Covenant, interpreted as appropriate in the light of the articles in </w:t>
      </w:r>
      <w:r w:rsidR="003A0371">
        <w:rPr>
          <w:lang w:val="en-GB"/>
        </w:rPr>
        <w:t>p</w:t>
      </w:r>
      <w:r w:rsidR="00A86126" w:rsidRPr="00236128">
        <w:rPr>
          <w:lang w:val="en-GB"/>
        </w:rPr>
        <w:t>arts I and II of the Covenant</w:t>
      </w:r>
      <w:r w:rsidR="00C02462">
        <w:rPr>
          <w:lang w:val="en-GB"/>
        </w:rPr>
        <w:t>,</w:t>
      </w:r>
      <w:r w:rsidR="00A86126" w:rsidRPr="00236128">
        <w:rPr>
          <w:lang w:val="en-GB"/>
        </w:rPr>
        <w:t xml:space="preserve"> that an individual communication may be presented to it. Accordingly, article 50 cannot give rise to a free-standing claim that is independent of a substantive violation of the Covenant.</w:t>
      </w:r>
      <w:r w:rsidR="00A86126" w:rsidRPr="00236128">
        <w:rPr>
          <w:rStyle w:val="FootnoteReference"/>
          <w:lang w:val="en-GB"/>
        </w:rPr>
        <w:footnoteReference w:id="21"/>
      </w:r>
      <w:r w:rsidR="00A86126" w:rsidRPr="00236128">
        <w:rPr>
          <w:lang w:val="en-GB"/>
        </w:rPr>
        <w:t xml:space="preserve"> Thus, the Committee finds this claim inadmissible </w:t>
      </w:r>
      <w:r w:rsidR="00A86126" w:rsidRPr="00236128">
        <w:rPr>
          <w:i/>
          <w:lang w:val="en-GB"/>
        </w:rPr>
        <w:t>ratione materiae</w:t>
      </w:r>
      <w:r w:rsidR="00A86126" w:rsidRPr="00236128">
        <w:rPr>
          <w:lang w:val="en-GB"/>
        </w:rPr>
        <w:t>, pursuant to article 3 of the Optional Protocol.</w:t>
      </w:r>
    </w:p>
    <w:p w14:paraId="0654AC77" w14:textId="0D9C41DF" w:rsidR="00A86126" w:rsidRPr="00236128" w:rsidRDefault="002356D6" w:rsidP="007A6388">
      <w:pPr>
        <w:pStyle w:val="SingleTxtG"/>
        <w:rPr>
          <w:lang w:val="en-GB"/>
        </w:rPr>
      </w:pPr>
      <w:r w:rsidRPr="00236128">
        <w:rPr>
          <w:lang w:val="en-GB"/>
        </w:rPr>
        <w:t>6</w:t>
      </w:r>
      <w:r w:rsidR="00FB3927" w:rsidRPr="00236128">
        <w:rPr>
          <w:lang w:val="en-GB"/>
        </w:rPr>
        <w:t>.</w:t>
      </w:r>
      <w:r w:rsidR="00BD11A2" w:rsidRPr="00236128">
        <w:rPr>
          <w:lang w:val="en-GB"/>
        </w:rPr>
        <w:t>1</w:t>
      </w:r>
      <w:r w:rsidR="005A59B7" w:rsidRPr="00236128">
        <w:rPr>
          <w:lang w:val="en-GB"/>
        </w:rPr>
        <w:t>0</w:t>
      </w:r>
      <w:r w:rsidR="00857CD0" w:rsidRPr="00236128">
        <w:rPr>
          <w:lang w:val="en-GB"/>
        </w:rPr>
        <w:tab/>
      </w:r>
      <w:r w:rsidR="00F42C2D" w:rsidRPr="00236128">
        <w:rPr>
          <w:lang w:val="en-GB"/>
        </w:rPr>
        <w:t xml:space="preserve">The Committee takes note of the author’s allegations </w:t>
      </w:r>
      <w:r w:rsidR="00084352" w:rsidRPr="00236128">
        <w:rPr>
          <w:lang w:val="en-GB"/>
        </w:rPr>
        <w:t xml:space="preserve">that </w:t>
      </w:r>
      <w:r w:rsidR="00F42C2D" w:rsidRPr="00236128">
        <w:rPr>
          <w:lang w:val="en-GB"/>
        </w:rPr>
        <w:t>the compulsory voting system</w:t>
      </w:r>
      <w:r w:rsidR="00024743" w:rsidRPr="00236128">
        <w:rPr>
          <w:lang w:val="en-GB"/>
        </w:rPr>
        <w:t xml:space="preserve"> </w:t>
      </w:r>
      <w:r w:rsidR="00F42C2D" w:rsidRPr="00236128">
        <w:rPr>
          <w:lang w:val="en-GB" w:eastAsia="en-GB"/>
        </w:rPr>
        <w:t xml:space="preserve">distorts and coerces the free expression of his will as </w:t>
      </w:r>
      <w:r w:rsidR="001F5909">
        <w:rPr>
          <w:lang w:val="en-GB" w:eastAsia="en-GB"/>
        </w:rPr>
        <w:t xml:space="preserve">an </w:t>
      </w:r>
      <w:r w:rsidR="00F42C2D" w:rsidRPr="00236128">
        <w:rPr>
          <w:lang w:val="en-GB" w:eastAsia="en-GB"/>
        </w:rPr>
        <w:t xml:space="preserve">elector and is contrary to article 25 of the Covenant. </w:t>
      </w:r>
      <w:r w:rsidR="00084352" w:rsidRPr="00236128">
        <w:rPr>
          <w:lang w:val="en-GB" w:eastAsia="en-GB"/>
        </w:rPr>
        <w:t>While taking note</w:t>
      </w:r>
      <w:r w:rsidR="00E90F52" w:rsidRPr="00236128">
        <w:rPr>
          <w:lang w:val="en-GB"/>
        </w:rPr>
        <w:t xml:space="preserve"> of the State party’s arguments </w:t>
      </w:r>
      <w:r w:rsidR="00084352" w:rsidRPr="00236128">
        <w:rPr>
          <w:lang w:val="en-GB"/>
        </w:rPr>
        <w:t>in this respect</w:t>
      </w:r>
      <w:r w:rsidR="0008294B">
        <w:rPr>
          <w:lang w:val="en-GB"/>
        </w:rPr>
        <w:t>,</w:t>
      </w:r>
      <w:r w:rsidR="00084352" w:rsidRPr="00236128">
        <w:rPr>
          <w:lang w:val="en-GB"/>
        </w:rPr>
        <w:t xml:space="preserve"> the Committee considers</w:t>
      </w:r>
      <w:r w:rsidR="00A86126" w:rsidRPr="00236128">
        <w:rPr>
          <w:lang w:val="en-GB"/>
        </w:rPr>
        <w:t xml:space="preserve"> that </w:t>
      </w:r>
      <w:r w:rsidR="00084352" w:rsidRPr="00236128">
        <w:rPr>
          <w:lang w:val="en-GB"/>
        </w:rPr>
        <w:t xml:space="preserve">the </w:t>
      </w:r>
      <w:r w:rsidR="00BD11A2" w:rsidRPr="00236128">
        <w:rPr>
          <w:lang w:val="en-GB"/>
        </w:rPr>
        <w:t>communication raise</w:t>
      </w:r>
      <w:r w:rsidR="00084352" w:rsidRPr="00236128">
        <w:rPr>
          <w:lang w:val="en-GB"/>
        </w:rPr>
        <w:t>s</w:t>
      </w:r>
      <w:r w:rsidR="00BD11A2" w:rsidRPr="00236128">
        <w:rPr>
          <w:lang w:val="en-GB"/>
        </w:rPr>
        <w:t xml:space="preserve"> issues</w:t>
      </w:r>
      <w:r w:rsidR="00A86126" w:rsidRPr="00236128">
        <w:rPr>
          <w:lang w:val="en-GB"/>
        </w:rPr>
        <w:t xml:space="preserve"> </w:t>
      </w:r>
      <w:r w:rsidR="00084352" w:rsidRPr="00236128">
        <w:rPr>
          <w:lang w:val="en-GB"/>
        </w:rPr>
        <w:t xml:space="preserve">as to whether the sanction imposed </w:t>
      </w:r>
      <w:r w:rsidR="0008294B">
        <w:rPr>
          <w:lang w:val="en-GB"/>
        </w:rPr>
        <w:t>on</w:t>
      </w:r>
      <w:r w:rsidR="0008294B" w:rsidRPr="00236128">
        <w:rPr>
          <w:lang w:val="en-GB"/>
        </w:rPr>
        <w:t xml:space="preserve"> </w:t>
      </w:r>
      <w:r w:rsidR="00084352" w:rsidRPr="00236128">
        <w:rPr>
          <w:lang w:val="en-GB"/>
        </w:rPr>
        <w:t xml:space="preserve">the author for not having participated </w:t>
      </w:r>
      <w:r w:rsidR="0008294B">
        <w:rPr>
          <w:lang w:val="en-GB"/>
        </w:rPr>
        <w:t>in</w:t>
      </w:r>
      <w:r w:rsidR="0008294B" w:rsidRPr="00236128">
        <w:rPr>
          <w:lang w:val="en-GB"/>
        </w:rPr>
        <w:t xml:space="preserve"> </w:t>
      </w:r>
      <w:r w:rsidR="00084352" w:rsidRPr="00236128">
        <w:rPr>
          <w:lang w:val="en-GB"/>
        </w:rPr>
        <w:t>the 2010 federal elections constitutes a breach of his right under article 25</w:t>
      </w:r>
      <w:r w:rsidR="00C02462">
        <w:rPr>
          <w:lang w:val="en-GB"/>
        </w:rPr>
        <w:t> </w:t>
      </w:r>
      <w:r w:rsidR="00084352" w:rsidRPr="00236128">
        <w:rPr>
          <w:lang w:val="en-GB"/>
        </w:rPr>
        <w:t>(b) of the Covenant. The Committee considers that the claim has been sufficiently substantiated, for the purpose of admissibility</w:t>
      </w:r>
      <w:r w:rsidR="008A09E6" w:rsidRPr="00236128">
        <w:rPr>
          <w:lang w:val="en-GB"/>
        </w:rPr>
        <w:t>,</w:t>
      </w:r>
      <w:r w:rsidR="00084352" w:rsidRPr="00236128">
        <w:rPr>
          <w:lang w:val="en-GB"/>
        </w:rPr>
        <w:t xml:space="preserve"> and declares it admissible.</w:t>
      </w:r>
      <w:r w:rsidR="00625CA2">
        <w:rPr>
          <w:lang w:val="en-GB"/>
        </w:rPr>
        <w:t xml:space="preserve"> </w:t>
      </w:r>
    </w:p>
    <w:p w14:paraId="7968F63E" w14:textId="1BF3E0F6" w:rsidR="002531FD" w:rsidRPr="00236128" w:rsidRDefault="00857CD0" w:rsidP="007A6388">
      <w:pPr>
        <w:pStyle w:val="SingleTxtG"/>
        <w:rPr>
          <w:lang w:val="en-GB"/>
        </w:rPr>
      </w:pPr>
      <w:r w:rsidRPr="00236128">
        <w:rPr>
          <w:lang w:val="en-GB"/>
        </w:rPr>
        <w:t>6.11</w:t>
      </w:r>
      <w:r w:rsidRPr="00236128">
        <w:rPr>
          <w:lang w:val="en-GB"/>
        </w:rPr>
        <w:tab/>
      </w:r>
      <w:r w:rsidR="002531FD" w:rsidRPr="00E27706">
        <w:rPr>
          <w:lang w:val="en-GB"/>
        </w:rPr>
        <w:t xml:space="preserve">As all admissibility requirements have been met, the Committee declares the communication admissible insofar as it raises issues under </w:t>
      </w:r>
      <w:r w:rsidR="00084352" w:rsidRPr="00E27706">
        <w:rPr>
          <w:lang w:val="en-GB"/>
        </w:rPr>
        <w:t>article</w:t>
      </w:r>
      <w:r w:rsidR="002531FD" w:rsidRPr="00E27706">
        <w:rPr>
          <w:lang w:val="en-GB"/>
        </w:rPr>
        <w:t xml:space="preserve"> 25</w:t>
      </w:r>
      <w:r w:rsidR="0008294B">
        <w:rPr>
          <w:lang w:val="en-GB"/>
        </w:rPr>
        <w:t> </w:t>
      </w:r>
      <w:r w:rsidR="00084352" w:rsidRPr="00E27706">
        <w:rPr>
          <w:lang w:val="en-GB"/>
        </w:rPr>
        <w:t>(b)</w:t>
      </w:r>
      <w:r w:rsidR="002531FD" w:rsidRPr="00E27706">
        <w:rPr>
          <w:lang w:val="en-GB"/>
        </w:rPr>
        <w:t xml:space="preserve"> of the Covenant and proceeds with its consideration of the merits. </w:t>
      </w:r>
    </w:p>
    <w:p w14:paraId="4ABB9E63" w14:textId="77777777" w:rsidR="00323FF5" w:rsidRPr="00236128" w:rsidRDefault="00857CD0" w:rsidP="00857CD0">
      <w:pPr>
        <w:pStyle w:val="H4G"/>
      </w:pPr>
      <w:r w:rsidRPr="00236128">
        <w:tab/>
      </w:r>
      <w:r w:rsidRPr="00236128">
        <w:tab/>
      </w:r>
      <w:r w:rsidR="00323FF5" w:rsidRPr="00236128">
        <w:t>Consideration of merits</w:t>
      </w:r>
    </w:p>
    <w:p w14:paraId="1AB80B2B" w14:textId="3BF88E81" w:rsidR="0081669F" w:rsidRPr="00236128" w:rsidRDefault="002356D6" w:rsidP="007A6388">
      <w:pPr>
        <w:pStyle w:val="SingleTxtG"/>
        <w:rPr>
          <w:lang w:val="en-GB"/>
        </w:rPr>
      </w:pPr>
      <w:r w:rsidRPr="00236128">
        <w:rPr>
          <w:lang w:val="en-GB"/>
        </w:rPr>
        <w:t>7</w:t>
      </w:r>
      <w:r w:rsidR="0081669F" w:rsidRPr="00236128">
        <w:rPr>
          <w:lang w:val="en-GB"/>
        </w:rPr>
        <w:t>.1</w:t>
      </w:r>
      <w:r w:rsidR="00857CD0" w:rsidRPr="00236128">
        <w:rPr>
          <w:lang w:val="en-GB"/>
        </w:rPr>
        <w:tab/>
      </w:r>
      <w:r w:rsidR="0081669F" w:rsidRPr="00236128">
        <w:rPr>
          <w:lang w:val="en-GB"/>
        </w:rPr>
        <w:t xml:space="preserve">The Committee has considered the communication in the light of all the information made available to it by the parties, </w:t>
      </w:r>
      <w:r w:rsidR="00625CA2">
        <w:rPr>
          <w:lang w:val="en-GB"/>
        </w:rPr>
        <w:t>in accordance with</w:t>
      </w:r>
      <w:r w:rsidR="0081669F" w:rsidRPr="00236128">
        <w:rPr>
          <w:lang w:val="en-GB"/>
        </w:rPr>
        <w:t xml:space="preserve"> article 5</w:t>
      </w:r>
      <w:r w:rsidR="00625CA2">
        <w:rPr>
          <w:lang w:val="en-GB"/>
        </w:rPr>
        <w:t> </w:t>
      </w:r>
      <w:r w:rsidR="0081669F" w:rsidRPr="00236128">
        <w:rPr>
          <w:lang w:val="en-GB"/>
        </w:rPr>
        <w:t xml:space="preserve">(1) of the Optional Protocol. </w:t>
      </w:r>
    </w:p>
    <w:p w14:paraId="219123E0" w14:textId="556D71B7" w:rsidR="002356D6" w:rsidRPr="00236128" w:rsidRDefault="002356D6" w:rsidP="007A6388">
      <w:pPr>
        <w:pStyle w:val="SingleTxtG"/>
        <w:rPr>
          <w:lang w:val="en-GB"/>
        </w:rPr>
      </w:pPr>
      <w:r w:rsidRPr="00236128">
        <w:rPr>
          <w:lang w:val="en-GB"/>
        </w:rPr>
        <w:t>7</w:t>
      </w:r>
      <w:r w:rsidR="00857CD0" w:rsidRPr="00236128">
        <w:rPr>
          <w:lang w:val="en-GB"/>
        </w:rPr>
        <w:t>.2</w:t>
      </w:r>
      <w:r w:rsidR="006B648C" w:rsidRPr="00236128">
        <w:rPr>
          <w:lang w:val="en-GB"/>
        </w:rPr>
        <w:tab/>
      </w:r>
      <w:r w:rsidR="00BD7676" w:rsidRPr="00236128">
        <w:rPr>
          <w:lang w:val="en-GB"/>
        </w:rPr>
        <w:t xml:space="preserve">The Committee notes the author’s </w:t>
      </w:r>
      <w:r w:rsidR="00F675BF" w:rsidRPr="00236128">
        <w:rPr>
          <w:lang w:val="en-GB" w:eastAsia="en-GB"/>
        </w:rPr>
        <w:t xml:space="preserve">claims that the compulsory voting system and the fine imposed </w:t>
      </w:r>
      <w:r w:rsidR="00252EE4" w:rsidRPr="00236128">
        <w:rPr>
          <w:lang w:val="en-GB" w:eastAsia="en-GB"/>
        </w:rPr>
        <w:t>on</w:t>
      </w:r>
      <w:r w:rsidR="00F675BF" w:rsidRPr="00236128">
        <w:rPr>
          <w:lang w:val="en-GB" w:eastAsia="en-GB"/>
        </w:rPr>
        <w:t xml:space="preserve"> him </w:t>
      </w:r>
      <w:r w:rsidR="0009229C">
        <w:rPr>
          <w:lang w:val="en-GB" w:eastAsia="en-GB"/>
        </w:rPr>
        <w:t>owing</w:t>
      </w:r>
      <w:r w:rsidR="0009229C" w:rsidRPr="00236128">
        <w:rPr>
          <w:lang w:val="en-GB" w:eastAsia="en-GB"/>
        </w:rPr>
        <w:t xml:space="preserve"> </w:t>
      </w:r>
      <w:r w:rsidR="006528BC" w:rsidRPr="00236128">
        <w:rPr>
          <w:lang w:val="en-GB" w:eastAsia="en-GB"/>
        </w:rPr>
        <w:t xml:space="preserve">to his failure to vote </w:t>
      </w:r>
      <w:r w:rsidR="00F675BF" w:rsidRPr="00236128">
        <w:rPr>
          <w:lang w:val="en-GB" w:eastAsia="en-GB"/>
        </w:rPr>
        <w:t xml:space="preserve">distorts and coerces the free expression of his will as </w:t>
      </w:r>
      <w:r w:rsidR="00625CA2">
        <w:rPr>
          <w:lang w:val="en-GB" w:eastAsia="en-GB"/>
        </w:rPr>
        <w:t xml:space="preserve">an </w:t>
      </w:r>
      <w:r w:rsidR="00F675BF" w:rsidRPr="00236128">
        <w:rPr>
          <w:lang w:val="en-GB"/>
        </w:rPr>
        <w:t>elector</w:t>
      </w:r>
      <w:r w:rsidR="007D190B" w:rsidRPr="00236128">
        <w:rPr>
          <w:lang w:val="en-GB" w:eastAsia="en-GB"/>
        </w:rPr>
        <w:t>,</w:t>
      </w:r>
      <w:r w:rsidR="00F675BF" w:rsidRPr="00236128">
        <w:rPr>
          <w:lang w:val="en-GB" w:eastAsia="en-GB"/>
        </w:rPr>
        <w:t xml:space="preserve"> </w:t>
      </w:r>
      <w:r w:rsidR="007D190B" w:rsidRPr="00236128">
        <w:rPr>
          <w:lang w:val="en-GB"/>
        </w:rPr>
        <w:t>is a compuls</w:t>
      </w:r>
      <w:r w:rsidR="00277A1B" w:rsidRPr="00236128">
        <w:rPr>
          <w:lang w:val="en-GB"/>
        </w:rPr>
        <w:t xml:space="preserve">ion, inducement or </w:t>
      </w:r>
      <w:r w:rsidR="007D190B" w:rsidRPr="00236128">
        <w:rPr>
          <w:lang w:val="en-GB"/>
        </w:rPr>
        <w:t xml:space="preserve">interference against him in particular concerning future elections and </w:t>
      </w:r>
      <w:r w:rsidR="00625CA2" w:rsidRPr="001473DB">
        <w:rPr>
          <w:lang w:val="en-GB" w:eastAsia="en-GB"/>
        </w:rPr>
        <w:t>is</w:t>
      </w:r>
      <w:r w:rsidR="00625CA2" w:rsidRPr="00E27706">
        <w:rPr>
          <w:lang w:val="en-GB"/>
        </w:rPr>
        <w:t xml:space="preserve"> </w:t>
      </w:r>
      <w:r w:rsidR="007D190B" w:rsidRPr="00236128">
        <w:rPr>
          <w:lang w:val="en-GB"/>
        </w:rPr>
        <w:t>therefore</w:t>
      </w:r>
      <w:r w:rsidR="00F675BF" w:rsidRPr="00236128">
        <w:rPr>
          <w:lang w:val="en-GB" w:eastAsia="en-GB"/>
        </w:rPr>
        <w:t xml:space="preserve"> contrary to article 25 of the Covenant. Furthermore, </w:t>
      </w:r>
      <w:r w:rsidR="00252EE4" w:rsidRPr="00236128">
        <w:rPr>
          <w:lang w:val="en-GB" w:eastAsia="en-GB"/>
        </w:rPr>
        <w:t xml:space="preserve">the author contends that </w:t>
      </w:r>
      <w:r w:rsidR="00F675BF" w:rsidRPr="00236128">
        <w:rPr>
          <w:lang w:val="en-GB"/>
        </w:rPr>
        <w:t xml:space="preserve">compulsory voting does not give effect to the rights of individuals to take part in the conduct of public affairs. </w:t>
      </w:r>
      <w:r w:rsidR="007D558E" w:rsidRPr="00236128">
        <w:rPr>
          <w:lang w:val="en-GB"/>
        </w:rPr>
        <w:t xml:space="preserve">The Committee also takes note of the State party’s arguments </w:t>
      </w:r>
      <w:r w:rsidR="008A09E6" w:rsidRPr="00236128">
        <w:rPr>
          <w:lang w:val="en-GB"/>
        </w:rPr>
        <w:t xml:space="preserve">(see </w:t>
      </w:r>
      <w:r w:rsidR="00625CA2">
        <w:rPr>
          <w:lang w:val="en-GB"/>
        </w:rPr>
        <w:t xml:space="preserve">para. </w:t>
      </w:r>
      <w:r w:rsidR="00084352" w:rsidRPr="00236128">
        <w:rPr>
          <w:lang w:val="en-GB"/>
        </w:rPr>
        <w:t xml:space="preserve">4.4 above) </w:t>
      </w:r>
      <w:r w:rsidR="007D558E" w:rsidRPr="00236128">
        <w:rPr>
          <w:lang w:val="en-GB"/>
        </w:rPr>
        <w:t>that</w:t>
      </w:r>
      <w:r w:rsidR="00625CA2" w:rsidRPr="00ED3ABA">
        <w:rPr>
          <w:lang w:val="en-GB"/>
        </w:rPr>
        <w:t>, inter alia,</w:t>
      </w:r>
      <w:r w:rsidR="00625CA2">
        <w:rPr>
          <w:lang w:val="en-GB"/>
        </w:rPr>
        <w:t xml:space="preserve"> </w:t>
      </w:r>
      <w:r w:rsidR="007D558E" w:rsidRPr="00236128">
        <w:rPr>
          <w:lang w:val="en-GB"/>
        </w:rPr>
        <w:t>its electoral system is based upon the democratic principle of universal adult suffrage</w:t>
      </w:r>
      <w:r w:rsidR="00910459" w:rsidRPr="00236128">
        <w:rPr>
          <w:lang w:val="en-GB"/>
        </w:rPr>
        <w:t xml:space="preserve"> and in compliance with its obligations under the Covenant</w:t>
      </w:r>
      <w:r w:rsidR="00F66AF3">
        <w:rPr>
          <w:lang w:val="en-GB"/>
        </w:rPr>
        <w:t>,</w:t>
      </w:r>
      <w:r w:rsidR="00084352" w:rsidRPr="00236128">
        <w:rPr>
          <w:lang w:val="en-GB"/>
        </w:rPr>
        <w:t xml:space="preserve"> the Covenant does not impose any particular electoral system and </w:t>
      </w:r>
      <w:r w:rsidR="00252EE4" w:rsidRPr="00236128">
        <w:rPr>
          <w:lang w:val="en-GB"/>
        </w:rPr>
        <w:t xml:space="preserve">voters </w:t>
      </w:r>
      <w:r w:rsidR="00083522" w:rsidRPr="00236128">
        <w:rPr>
          <w:lang w:val="en-GB"/>
        </w:rPr>
        <w:t>are free to vote for any candidate for election or for no</w:t>
      </w:r>
      <w:r w:rsidR="00252EE4" w:rsidRPr="00236128">
        <w:rPr>
          <w:lang w:val="en-GB"/>
        </w:rPr>
        <w:t xml:space="preserve"> </w:t>
      </w:r>
      <w:r w:rsidR="00083522" w:rsidRPr="00236128">
        <w:rPr>
          <w:lang w:val="en-GB"/>
        </w:rPr>
        <w:t>one at all without undue influence or coercion of any kind</w:t>
      </w:r>
      <w:r w:rsidR="00084352" w:rsidRPr="00236128">
        <w:rPr>
          <w:lang w:val="en-GB"/>
        </w:rPr>
        <w:t>.</w:t>
      </w:r>
    </w:p>
    <w:p w14:paraId="581A0524" w14:textId="2F19FF5D" w:rsidR="00252EE4" w:rsidRPr="00236128" w:rsidRDefault="002356D6" w:rsidP="007A6388">
      <w:pPr>
        <w:pStyle w:val="SingleTxtG"/>
        <w:rPr>
          <w:rFonts w:eastAsiaTheme="minorHAnsi"/>
          <w:lang w:val="en-GB" w:eastAsia="fr-FR"/>
        </w:rPr>
      </w:pPr>
      <w:r w:rsidRPr="00236128">
        <w:rPr>
          <w:rFonts w:eastAsiaTheme="minorHAnsi"/>
          <w:lang w:val="en-GB" w:eastAsia="fr-FR"/>
        </w:rPr>
        <w:t>7</w:t>
      </w:r>
      <w:r w:rsidR="00857CD0" w:rsidRPr="00236128">
        <w:rPr>
          <w:rFonts w:eastAsiaTheme="minorHAnsi"/>
          <w:lang w:val="en-GB" w:eastAsia="fr-FR"/>
        </w:rPr>
        <w:t>.3</w:t>
      </w:r>
      <w:r w:rsidR="00BD11A2" w:rsidRPr="00236128">
        <w:rPr>
          <w:rFonts w:eastAsiaTheme="minorHAnsi"/>
          <w:lang w:val="en-GB" w:eastAsia="fr-FR"/>
        </w:rPr>
        <w:tab/>
      </w:r>
      <w:r w:rsidR="00611951" w:rsidRPr="00236128">
        <w:rPr>
          <w:rFonts w:eastAsiaTheme="minorHAnsi"/>
          <w:lang w:val="en-GB" w:eastAsia="fr-FR"/>
        </w:rPr>
        <w:t>T</w:t>
      </w:r>
      <w:r w:rsidR="00EB48F2" w:rsidRPr="00236128">
        <w:rPr>
          <w:rFonts w:eastAsiaTheme="minorHAnsi"/>
          <w:lang w:val="en-GB" w:eastAsia="fr-FR"/>
        </w:rPr>
        <w:t xml:space="preserve">he Committee observes that </w:t>
      </w:r>
      <w:r w:rsidR="00611951" w:rsidRPr="00236128">
        <w:rPr>
          <w:rFonts w:eastAsiaTheme="minorHAnsi"/>
          <w:lang w:val="en-GB" w:eastAsia="fr-FR"/>
        </w:rPr>
        <w:t>t</w:t>
      </w:r>
      <w:r w:rsidR="00083522" w:rsidRPr="00236128">
        <w:rPr>
          <w:rFonts w:eastAsiaTheme="minorHAnsi"/>
          <w:lang w:val="en-GB" w:eastAsia="fr-FR"/>
        </w:rPr>
        <w:t xml:space="preserve">he author’s claims </w:t>
      </w:r>
      <w:r w:rsidR="00043FD0" w:rsidRPr="00236128">
        <w:rPr>
          <w:rFonts w:eastAsiaTheme="minorHAnsi"/>
          <w:lang w:val="en-GB" w:eastAsia="fr-FR"/>
        </w:rPr>
        <w:t xml:space="preserve">under article 25, in particular </w:t>
      </w:r>
      <w:r w:rsidR="00611951" w:rsidRPr="00236128">
        <w:rPr>
          <w:rFonts w:eastAsiaTheme="minorHAnsi"/>
          <w:lang w:val="en-GB" w:eastAsia="fr-FR"/>
        </w:rPr>
        <w:t xml:space="preserve">about the </w:t>
      </w:r>
      <w:r w:rsidR="00BD11A2" w:rsidRPr="00236128">
        <w:rPr>
          <w:rFonts w:eastAsiaTheme="minorHAnsi"/>
          <w:lang w:val="en-GB" w:eastAsia="fr-FR"/>
        </w:rPr>
        <w:t xml:space="preserve">coercive </w:t>
      </w:r>
      <w:r w:rsidR="00611951" w:rsidRPr="00236128">
        <w:rPr>
          <w:rFonts w:eastAsiaTheme="minorHAnsi"/>
          <w:lang w:val="en-GB" w:eastAsia="fr-FR"/>
        </w:rPr>
        <w:t xml:space="preserve">character of the fine imposed </w:t>
      </w:r>
      <w:r w:rsidR="00252EE4" w:rsidRPr="00236128">
        <w:rPr>
          <w:rFonts w:eastAsiaTheme="minorHAnsi"/>
          <w:lang w:val="en-GB" w:eastAsia="fr-FR"/>
        </w:rPr>
        <w:t>on him</w:t>
      </w:r>
      <w:r w:rsidR="00611951" w:rsidRPr="00236128">
        <w:rPr>
          <w:rFonts w:eastAsiaTheme="minorHAnsi"/>
          <w:lang w:val="en-GB" w:eastAsia="fr-FR"/>
        </w:rPr>
        <w:t xml:space="preserve">, </w:t>
      </w:r>
      <w:r w:rsidR="00083522" w:rsidRPr="00236128">
        <w:rPr>
          <w:rFonts w:eastAsiaTheme="minorHAnsi"/>
          <w:lang w:val="en-GB" w:eastAsia="fr-FR"/>
        </w:rPr>
        <w:t>ultimately question</w:t>
      </w:r>
      <w:r w:rsidR="00252EE4" w:rsidRPr="00236128">
        <w:rPr>
          <w:rFonts w:eastAsiaTheme="minorHAnsi"/>
          <w:lang w:val="en-GB" w:eastAsia="fr-FR"/>
        </w:rPr>
        <w:t>s</w:t>
      </w:r>
      <w:r w:rsidR="00083522" w:rsidRPr="00236128">
        <w:rPr>
          <w:rFonts w:eastAsiaTheme="minorHAnsi"/>
          <w:lang w:val="en-GB" w:eastAsia="fr-FR"/>
        </w:rPr>
        <w:t xml:space="preserve"> the compatibility of the compulsory voting system in the State party, as applied </w:t>
      </w:r>
      <w:r w:rsidR="006B467C" w:rsidRPr="00236128">
        <w:rPr>
          <w:rFonts w:eastAsiaTheme="minorHAnsi"/>
          <w:lang w:val="en-GB" w:eastAsia="fr-FR"/>
        </w:rPr>
        <w:t xml:space="preserve">to </w:t>
      </w:r>
      <w:r w:rsidR="00611951" w:rsidRPr="00236128">
        <w:rPr>
          <w:rFonts w:eastAsiaTheme="minorHAnsi"/>
          <w:lang w:val="en-GB" w:eastAsia="fr-FR"/>
        </w:rPr>
        <w:t>the author at</w:t>
      </w:r>
      <w:r w:rsidR="006B467C" w:rsidRPr="00236128">
        <w:rPr>
          <w:rFonts w:eastAsiaTheme="minorHAnsi"/>
          <w:lang w:val="en-GB" w:eastAsia="fr-FR"/>
        </w:rPr>
        <w:t xml:space="preserve"> the 2010 federal elections</w:t>
      </w:r>
      <w:r w:rsidR="00EB48F2" w:rsidRPr="00236128">
        <w:rPr>
          <w:rFonts w:eastAsiaTheme="minorHAnsi"/>
          <w:lang w:val="en-GB" w:eastAsia="fr-FR"/>
        </w:rPr>
        <w:t>, with the Covenant</w:t>
      </w:r>
      <w:r w:rsidR="006B467C" w:rsidRPr="00236128">
        <w:rPr>
          <w:rFonts w:eastAsiaTheme="minorHAnsi"/>
          <w:lang w:val="en-GB" w:eastAsia="fr-FR"/>
        </w:rPr>
        <w:t xml:space="preserve">. </w:t>
      </w:r>
      <w:r w:rsidR="00611951" w:rsidRPr="00236128">
        <w:rPr>
          <w:lang w:val="en-GB"/>
        </w:rPr>
        <w:t xml:space="preserve">In this connection, the Committee recalls </w:t>
      </w:r>
      <w:r w:rsidR="00910459" w:rsidRPr="00236128">
        <w:rPr>
          <w:lang w:val="en-GB"/>
        </w:rPr>
        <w:t xml:space="preserve">its </w:t>
      </w:r>
      <w:r w:rsidR="00F66AF3">
        <w:rPr>
          <w:lang w:val="en-GB"/>
        </w:rPr>
        <w:t>g</w:t>
      </w:r>
      <w:r w:rsidR="00910459" w:rsidRPr="00236128">
        <w:rPr>
          <w:lang w:val="en-GB"/>
        </w:rPr>
        <w:t xml:space="preserve">eneral </w:t>
      </w:r>
      <w:r w:rsidR="00F66AF3">
        <w:rPr>
          <w:lang w:val="en-GB"/>
        </w:rPr>
        <w:t>c</w:t>
      </w:r>
      <w:r w:rsidR="00910459" w:rsidRPr="00236128">
        <w:rPr>
          <w:lang w:val="en-GB"/>
        </w:rPr>
        <w:t>omment No</w:t>
      </w:r>
      <w:r w:rsidR="00F66AF3">
        <w:rPr>
          <w:lang w:val="en-GB"/>
        </w:rPr>
        <w:t>.</w:t>
      </w:r>
      <w:r w:rsidR="00910459" w:rsidRPr="00236128">
        <w:rPr>
          <w:lang w:val="en-GB"/>
        </w:rPr>
        <w:t xml:space="preserve"> 25 to the effect </w:t>
      </w:r>
      <w:r w:rsidR="00611951" w:rsidRPr="00236128">
        <w:rPr>
          <w:lang w:val="en-GB"/>
        </w:rPr>
        <w:t>that</w:t>
      </w:r>
      <w:r w:rsidR="00E71B89">
        <w:rPr>
          <w:lang w:val="en-GB"/>
        </w:rPr>
        <w:t>,</w:t>
      </w:r>
      <w:r w:rsidR="00611951" w:rsidRPr="00236128">
        <w:rPr>
          <w:lang w:val="en-GB"/>
        </w:rPr>
        <w:t xml:space="preserve"> a</w:t>
      </w:r>
      <w:r w:rsidR="00611951" w:rsidRPr="00236128">
        <w:rPr>
          <w:rFonts w:eastAsiaTheme="minorHAnsi"/>
          <w:lang w:val="en-GB" w:eastAsia="fr-FR"/>
        </w:rPr>
        <w:t xml:space="preserve">lthough the Covenant does not impose any particular electoral </w:t>
      </w:r>
      <w:r w:rsidR="00611951" w:rsidRPr="00236128">
        <w:rPr>
          <w:rFonts w:eastAsiaTheme="minorHAnsi"/>
          <w:lang w:val="en-GB" w:eastAsia="fr-FR"/>
        </w:rPr>
        <w:lastRenderedPageBreak/>
        <w:t>system, any system operating in a State party must be compatible with the rights protected by article 25 and must guarantee and give effect to the free expression of the will of the electors.</w:t>
      </w:r>
      <w:r w:rsidR="00611951" w:rsidRPr="00236128">
        <w:rPr>
          <w:rStyle w:val="FootnoteReference"/>
          <w:rFonts w:eastAsiaTheme="minorHAnsi"/>
          <w:lang w:val="en-GB" w:eastAsia="fr-FR"/>
        </w:rPr>
        <w:footnoteReference w:id="22"/>
      </w:r>
      <w:r w:rsidR="00611951" w:rsidRPr="00236128">
        <w:rPr>
          <w:rFonts w:eastAsiaTheme="minorHAnsi"/>
          <w:lang w:val="en-GB" w:eastAsia="fr-FR"/>
        </w:rPr>
        <w:t xml:space="preserve"> It must guarantee</w:t>
      </w:r>
      <w:r w:rsidR="00252EE4" w:rsidRPr="00236128">
        <w:rPr>
          <w:rFonts w:eastAsiaTheme="minorHAnsi"/>
          <w:lang w:val="en-GB" w:eastAsia="fr-FR"/>
        </w:rPr>
        <w:t>,</w:t>
      </w:r>
      <w:r w:rsidR="00611951" w:rsidRPr="00236128">
        <w:rPr>
          <w:rFonts w:eastAsiaTheme="minorHAnsi"/>
          <w:lang w:val="en-GB" w:eastAsia="fr-FR"/>
        </w:rPr>
        <w:t xml:space="preserve"> inter alia</w:t>
      </w:r>
      <w:r w:rsidR="00252EE4" w:rsidRPr="00236128">
        <w:rPr>
          <w:rFonts w:eastAsiaTheme="minorHAnsi"/>
          <w:lang w:val="en-GB" w:eastAsia="fr-FR"/>
        </w:rPr>
        <w:t>,</w:t>
      </w:r>
      <w:r w:rsidR="00611951" w:rsidRPr="00236128">
        <w:rPr>
          <w:rFonts w:eastAsiaTheme="minorHAnsi"/>
          <w:lang w:val="en-GB" w:eastAsia="fr-FR"/>
        </w:rPr>
        <w:t xml:space="preserve"> that persons entitled to vote must be free to vote for any candidate for election and free to support or to oppose government</w:t>
      </w:r>
      <w:r w:rsidR="00E71B89">
        <w:rPr>
          <w:rFonts w:eastAsiaTheme="minorHAnsi"/>
          <w:lang w:val="en-GB" w:eastAsia="fr-FR"/>
        </w:rPr>
        <w:t>,</w:t>
      </w:r>
      <w:r w:rsidR="00611951" w:rsidRPr="00236128">
        <w:rPr>
          <w:rStyle w:val="FootnoteReference"/>
          <w:rFonts w:eastAsiaTheme="minorHAnsi"/>
          <w:lang w:val="en-GB" w:eastAsia="fr-FR"/>
        </w:rPr>
        <w:footnoteReference w:id="23"/>
      </w:r>
      <w:r w:rsidR="00611951" w:rsidRPr="00236128">
        <w:rPr>
          <w:rFonts w:eastAsiaTheme="minorHAnsi"/>
          <w:lang w:val="en-GB" w:eastAsia="fr-FR"/>
        </w:rPr>
        <w:t xml:space="preserve"> and </w:t>
      </w:r>
      <w:r w:rsidR="00E71B89">
        <w:rPr>
          <w:rFonts w:eastAsiaTheme="minorHAnsi"/>
          <w:lang w:val="en-GB" w:eastAsia="fr-FR"/>
        </w:rPr>
        <w:t xml:space="preserve">that the </w:t>
      </w:r>
      <w:r w:rsidR="00E71B89" w:rsidRPr="007F2AC7">
        <w:rPr>
          <w:rFonts w:eastAsiaTheme="minorHAnsi"/>
          <w:lang w:val="en-GB" w:eastAsia="fr-FR"/>
        </w:rPr>
        <w:t>vote</w:t>
      </w:r>
      <w:r w:rsidR="00E71B89" w:rsidRPr="00E27706">
        <w:rPr>
          <w:rFonts w:eastAsiaTheme="minorHAnsi"/>
          <w:lang w:val="en-GB" w:eastAsia="fr-FR"/>
        </w:rPr>
        <w:t xml:space="preserve"> </w:t>
      </w:r>
      <w:r w:rsidR="00E71B89">
        <w:rPr>
          <w:rFonts w:eastAsiaTheme="minorHAnsi"/>
          <w:lang w:val="en-GB" w:eastAsia="fr-FR"/>
        </w:rPr>
        <w:t>is</w:t>
      </w:r>
      <w:r w:rsidR="00E71B89" w:rsidRPr="00236128">
        <w:rPr>
          <w:rFonts w:eastAsiaTheme="minorHAnsi"/>
          <w:lang w:val="en-GB" w:eastAsia="fr-FR"/>
        </w:rPr>
        <w:t xml:space="preserve"> </w:t>
      </w:r>
      <w:r w:rsidR="00611951" w:rsidRPr="00236128">
        <w:rPr>
          <w:rFonts w:eastAsiaTheme="minorHAnsi"/>
          <w:lang w:val="en-GB" w:eastAsia="fr-FR"/>
        </w:rPr>
        <w:t>secre</w:t>
      </w:r>
      <w:r w:rsidR="00E71B89">
        <w:rPr>
          <w:rFonts w:eastAsiaTheme="minorHAnsi"/>
          <w:lang w:val="en-GB" w:eastAsia="fr-FR"/>
        </w:rPr>
        <w:t>t</w:t>
      </w:r>
      <w:r w:rsidR="00611951" w:rsidRPr="00236128">
        <w:rPr>
          <w:rFonts w:eastAsiaTheme="minorHAnsi"/>
          <w:lang w:val="en-GB" w:eastAsia="fr-FR"/>
        </w:rPr>
        <w:t>.</w:t>
      </w:r>
      <w:r w:rsidR="00611951" w:rsidRPr="00236128">
        <w:rPr>
          <w:rStyle w:val="FootnoteReference"/>
          <w:rFonts w:eastAsiaTheme="minorHAnsi"/>
          <w:lang w:val="en-GB" w:eastAsia="fr-FR"/>
        </w:rPr>
        <w:footnoteReference w:id="24"/>
      </w:r>
      <w:r w:rsidR="00611951" w:rsidRPr="00236128">
        <w:rPr>
          <w:lang w:val="en-GB"/>
        </w:rPr>
        <w:t xml:space="preserve"> </w:t>
      </w:r>
      <w:r w:rsidR="00611951" w:rsidRPr="00236128">
        <w:rPr>
          <w:rFonts w:eastAsiaTheme="minorHAnsi"/>
          <w:lang w:val="en-GB" w:eastAsia="fr-FR"/>
        </w:rPr>
        <w:t xml:space="preserve">The Committee therefore considers that </w:t>
      </w:r>
      <w:r w:rsidR="00910459" w:rsidRPr="00236128">
        <w:rPr>
          <w:rFonts w:eastAsiaTheme="minorHAnsi"/>
          <w:lang w:val="en-GB" w:eastAsia="fr-FR"/>
        </w:rPr>
        <w:t xml:space="preserve">a </w:t>
      </w:r>
      <w:r w:rsidR="00611951" w:rsidRPr="00236128">
        <w:rPr>
          <w:rFonts w:eastAsiaTheme="minorHAnsi"/>
          <w:lang w:val="en-GB" w:eastAsia="fr-FR"/>
        </w:rPr>
        <w:t xml:space="preserve">voting system </w:t>
      </w:r>
      <w:r w:rsidR="00910459" w:rsidRPr="00236128">
        <w:rPr>
          <w:rFonts w:eastAsiaTheme="minorHAnsi"/>
          <w:lang w:val="en-GB" w:eastAsia="fr-FR"/>
        </w:rPr>
        <w:t xml:space="preserve">must </w:t>
      </w:r>
      <w:r w:rsidR="00611951" w:rsidRPr="00236128">
        <w:rPr>
          <w:rFonts w:eastAsiaTheme="minorHAnsi"/>
          <w:lang w:val="en-GB" w:eastAsia="fr-FR"/>
        </w:rPr>
        <w:t>allow electors to vote for any candidate or none of them, including submitting a blank or non-complaint ballot paper</w:t>
      </w:r>
      <w:r w:rsidR="00BD4252">
        <w:rPr>
          <w:rFonts w:eastAsiaTheme="minorHAnsi"/>
          <w:lang w:val="en-GB" w:eastAsia="fr-FR"/>
        </w:rPr>
        <w:t>,</w:t>
      </w:r>
      <w:r w:rsidR="00611951" w:rsidRPr="00236128">
        <w:rPr>
          <w:rFonts w:eastAsiaTheme="minorHAnsi"/>
          <w:lang w:val="en-GB" w:eastAsia="fr-FR"/>
        </w:rPr>
        <w:t xml:space="preserve"> </w:t>
      </w:r>
      <w:r w:rsidR="00910459" w:rsidRPr="00236128">
        <w:rPr>
          <w:rFonts w:eastAsiaTheme="minorHAnsi"/>
          <w:lang w:val="en-GB" w:eastAsia="fr-FR"/>
        </w:rPr>
        <w:t xml:space="preserve">and ensure that </w:t>
      </w:r>
      <w:r w:rsidR="00611951" w:rsidRPr="00236128">
        <w:rPr>
          <w:rFonts w:eastAsiaTheme="minorHAnsi"/>
          <w:lang w:val="en-GB" w:eastAsia="fr-FR"/>
        </w:rPr>
        <w:t>voting is conducted by secret ballot</w:t>
      </w:r>
      <w:r w:rsidR="00910459" w:rsidRPr="00236128">
        <w:rPr>
          <w:rFonts w:eastAsiaTheme="minorHAnsi"/>
          <w:lang w:val="en-GB" w:eastAsia="fr-FR"/>
        </w:rPr>
        <w:t xml:space="preserve">. </w:t>
      </w:r>
      <w:r w:rsidR="00252EE4" w:rsidRPr="00236128">
        <w:rPr>
          <w:lang w:val="en-GB"/>
        </w:rPr>
        <w:t xml:space="preserve">The Committee also considers that </w:t>
      </w:r>
      <w:r w:rsidR="00252EE4" w:rsidRPr="00236128">
        <w:rPr>
          <w:rFonts w:eastAsiaTheme="minorHAnsi"/>
          <w:lang w:val="en-GB" w:eastAsia="fr-FR"/>
        </w:rPr>
        <w:t xml:space="preserve">any sanction for the failure to vote must be established by law, reasonable and proportionate, and must not affect the enjoyment or exercise of the rights under the Covenant. </w:t>
      </w:r>
    </w:p>
    <w:p w14:paraId="79441BD4" w14:textId="00501EC7" w:rsidR="002356D6" w:rsidRPr="00236128" w:rsidRDefault="00857CD0" w:rsidP="007A6388">
      <w:pPr>
        <w:pStyle w:val="SingleTxtG"/>
        <w:rPr>
          <w:rFonts w:eastAsiaTheme="minorHAnsi"/>
          <w:lang w:val="en-GB" w:eastAsia="fr-FR"/>
        </w:rPr>
      </w:pPr>
      <w:r w:rsidRPr="00236128">
        <w:rPr>
          <w:rFonts w:eastAsiaTheme="minorHAnsi"/>
          <w:lang w:val="en-GB" w:eastAsia="fr-FR"/>
        </w:rPr>
        <w:t>7.4</w:t>
      </w:r>
      <w:r w:rsidRPr="00E27706">
        <w:rPr>
          <w:rFonts w:eastAsiaTheme="minorHAnsi"/>
          <w:lang w:val="en-GB" w:eastAsia="fr-FR"/>
        </w:rPr>
        <w:tab/>
      </w:r>
      <w:r w:rsidR="00910459" w:rsidRPr="00236128">
        <w:rPr>
          <w:rFonts w:eastAsiaTheme="minorHAnsi"/>
          <w:lang w:val="en-GB" w:eastAsia="fr-FR"/>
        </w:rPr>
        <w:t>The Committee notes in this respect the State party’s observations (</w:t>
      </w:r>
      <w:r w:rsidR="00910459" w:rsidRPr="00236128">
        <w:rPr>
          <w:lang w:val="en-GB"/>
        </w:rPr>
        <w:t xml:space="preserve">see </w:t>
      </w:r>
      <w:r w:rsidR="00BD4252">
        <w:rPr>
          <w:lang w:val="en-GB"/>
        </w:rPr>
        <w:t xml:space="preserve">paras. </w:t>
      </w:r>
      <w:r w:rsidR="00910459" w:rsidRPr="00236128">
        <w:rPr>
          <w:lang w:val="en-GB"/>
        </w:rPr>
        <w:t>4.2</w:t>
      </w:r>
      <w:r w:rsidR="00431800" w:rsidRPr="00236128">
        <w:rPr>
          <w:lang w:val="en-GB"/>
        </w:rPr>
        <w:t xml:space="preserve"> and 4.3</w:t>
      </w:r>
      <w:r w:rsidR="00910459" w:rsidRPr="00236128">
        <w:rPr>
          <w:lang w:val="en-GB"/>
        </w:rPr>
        <w:t xml:space="preserve"> above) that within its compulsory voting system</w:t>
      </w:r>
      <w:r w:rsidR="00252EE4" w:rsidRPr="00236128">
        <w:rPr>
          <w:lang w:val="en-GB"/>
        </w:rPr>
        <w:t>,</w:t>
      </w:r>
      <w:r w:rsidR="00910459" w:rsidRPr="00236128">
        <w:rPr>
          <w:lang w:val="en-GB"/>
        </w:rPr>
        <w:t xml:space="preserve"> electors are free to vote for any candidate for election or for no</w:t>
      </w:r>
      <w:r w:rsidR="00252EE4" w:rsidRPr="00236128">
        <w:rPr>
          <w:lang w:val="en-GB"/>
        </w:rPr>
        <w:t xml:space="preserve"> </w:t>
      </w:r>
      <w:r w:rsidR="00910459" w:rsidRPr="00236128">
        <w:rPr>
          <w:lang w:val="en-GB"/>
        </w:rPr>
        <w:t>one at all</w:t>
      </w:r>
      <w:r w:rsidR="00431800" w:rsidRPr="00236128">
        <w:rPr>
          <w:lang w:val="en-GB"/>
        </w:rPr>
        <w:t xml:space="preserve">, including casting a blank or non-compliant ballot paper, </w:t>
      </w:r>
      <w:r w:rsidR="00910459" w:rsidRPr="00236128">
        <w:rPr>
          <w:lang w:val="en-GB"/>
        </w:rPr>
        <w:t>without undue influence or coercion of any kind</w:t>
      </w:r>
      <w:r w:rsidR="00BD4252">
        <w:rPr>
          <w:lang w:val="en-GB"/>
        </w:rPr>
        <w:t>,</w:t>
      </w:r>
      <w:r w:rsidR="00910459" w:rsidRPr="00236128">
        <w:rPr>
          <w:lang w:val="en-GB"/>
        </w:rPr>
        <w:t xml:space="preserve"> </w:t>
      </w:r>
      <w:r w:rsidR="00431800" w:rsidRPr="00236128">
        <w:rPr>
          <w:lang w:val="en-GB"/>
        </w:rPr>
        <w:t xml:space="preserve">that voting is conducted by secret ballot and </w:t>
      </w:r>
      <w:r w:rsidR="00910459" w:rsidRPr="00236128">
        <w:rPr>
          <w:lang w:val="en-GB"/>
        </w:rPr>
        <w:t xml:space="preserve">that electors will only be liable for a penalty </w:t>
      </w:r>
      <w:r w:rsidR="00431800" w:rsidRPr="00236128">
        <w:rPr>
          <w:lang w:val="en-GB"/>
        </w:rPr>
        <w:t>of $</w:t>
      </w:r>
      <w:r w:rsidR="00BD4252" w:rsidRPr="00C215FD">
        <w:rPr>
          <w:lang w:val="en-GB"/>
        </w:rPr>
        <w:t>A</w:t>
      </w:r>
      <w:r w:rsidR="007253E9">
        <w:rPr>
          <w:lang w:val="en-GB"/>
        </w:rPr>
        <w:t xml:space="preserve"> </w:t>
      </w:r>
      <w:r w:rsidR="00431800" w:rsidRPr="00236128">
        <w:rPr>
          <w:lang w:val="en-GB"/>
        </w:rPr>
        <w:t xml:space="preserve">20 </w:t>
      </w:r>
      <w:r w:rsidR="00BD4252">
        <w:rPr>
          <w:lang w:val="en-GB"/>
        </w:rPr>
        <w:t>if</w:t>
      </w:r>
      <w:r w:rsidR="00BD4252" w:rsidRPr="00236128">
        <w:rPr>
          <w:lang w:val="en-GB"/>
        </w:rPr>
        <w:t xml:space="preserve"> </w:t>
      </w:r>
      <w:r w:rsidR="00910459" w:rsidRPr="00236128">
        <w:rPr>
          <w:lang w:val="en-GB"/>
        </w:rPr>
        <w:t>they fail to submit a ballot paper by one of the available methods without a valid and s</w:t>
      </w:r>
      <w:r w:rsidR="00431800" w:rsidRPr="00236128">
        <w:rPr>
          <w:lang w:val="en-GB"/>
        </w:rPr>
        <w:t>ufficient reason for not voting.</w:t>
      </w:r>
      <w:r w:rsidR="00910459" w:rsidRPr="00236128">
        <w:rPr>
          <w:lang w:val="en-GB"/>
        </w:rPr>
        <w:t xml:space="preserve"> </w:t>
      </w:r>
    </w:p>
    <w:p w14:paraId="44EC877B" w14:textId="29AA7AF5" w:rsidR="00DD2286" w:rsidRPr="00236128" w:rsidRDefault="002356D6" w:rsidP="00AA4608">
      <w:pPr>
        <w:pStyle w:val="SingleTxtG"/>
        <w:rPr>
          <w:lang w:val="en-GB"/>
        </w:rPr>
      </w:pPr>
      <w:r w:rsidRPr="00236128">
        <w:rPr>
          <w:rFonts w:eastAsiaTheme="minorHAnsi"/>
          <w:lang w:val="en-GB" w:eastAsia="fr-FR"/>
        </w:rPr>
        <w:t>7</w:t>
      </w:r>
      <w:r w:rsidR="007A6388" w:rsidRPr="00236128">
        <w:rPr>
          <w:rFonts w:eastAsiaTheme="minorHAnsi"/>
          <w:lang w:val="en-GB" w:eastAsia="fr-FR"/>
        </w:rPr>
        <w:t>.5</w:t>
      </w:r>
      <w:r w:rsidR="007A6388" w:rsidRPr="00236128">
        <w:rPr>
          <w:rFonts w:eastAsiaTheme="minorHAnsi"/>
          <w:lang w:val="en-GB" w:eastAsia="fr-FR"/>
        </w:rPr>
        <w:tab/>
      </w:r>
      <w:r w:rsidR="00611951" w:rsidRPr="00236128">
        <w:rPr>
          <w:rFonts w:eastAsiaTheme="minorHAnsi"/>
          <w:lang w:val="en-GB" w:eastAsia="fr-FR"/>
        </w:rPr>
        <w:t>In the present case, the Committee observes that</w:t>
      </w:r>
      <w:r w:rsidR="00431800" w:rsidRPr="00236128">
        <w:rPr>
          <w:rFonts w:eastAsiaTheme="minorHAnsi"/>
          <w:lang w:val="en-GB" w:eastAsia="fr-FR"/>
        </w:rPr>
        <w:t xml:space="preserve"> </w:t>
      </w:r>
      <w:r w:rsidR="00611951" w:rsidRPr="00236128">
        <w:rPr>
          <w:rFonts w:eastAsiaTheme="minorHAnsi"/>
          <w:lang w:val="en-GB" w:eastAsia="fr-FR"/>
        </w:rPr>
        <w:t xml:space="preserve">in order to </w:t>
      </w:r>
      <w:r w:rsidR="00224514" w:rsidRPr="00E27706">
        <w:rPr>
          <w:rFonts w:eastAsiaTheme="minorHAnsi"/>
          <w:lang w:val="en-GB" w:eastAsia="fr-FR"/>
        </w:rPr>
        <w:t>fulfil</w:t>
      </w:r>
      <w:r w:rsidR="00611951" w:rsidRPr="00236128">
        <w:rPr>
          <w:rFonts w:eastAsiaTheme="minorHAnsi"/>
          <w:lang w:val="en-GB" w:eastAsia="fr-FR"/>
        </w:rPr>
        <w:t xml:space="preserve"> his </w:t>
      </w:r>
      <w:r w:rsidR="00043FD0" w:rsidRPr="00236128">
        <w:rPr>
          <w:rFonts w:eastAsiaTheme="minorHAnsi"/>
          <w:lang w:val="en-GB" w:eastAsia="fr-FR"/>
        </w:rPr>
        <w:t>duty</w:t>
      </w:r>
      <w:r w:rsidR="00611951" w:rsidRPr="00236128">
        <w:rPr>
          <w:rFonts w:eastAsiaTheme="minorHAnsi"/>
          <w:lang w:val="en-GB" w:eastAsia="fr-FR"/>
        </w:rPr>
        <w:t xml:space="preserve"> as </w:t>
      </w:r>
      <w:r w:rsidR="0009229C">
        <w:rPr>
          <w:rFonts w:eastAsiaTheme="minorHAnsi"/>
          <w:lang w:val="en-GB" w:eastAsia="fr-FR"/>
        </w:rPr>
        <w:t xml:space="preserve">an </w:t>
      </w:r>
      <w:r w:rsidR="00611951" w:rsidRPr="00236128">
        <w:rPr>
          <w:rFonts w:eastAsiaTheme="minorHAnsi"/>
          <w:lang w:val="en-GB" w:eastAsia="fr-FR"/>
        </w:rPr>
        <w:t>elector at the 2010 federal elections, the author was obliged to</w:t>
      </w:r>
      <w:r w:rsidR="007D558E" w:rsidRPr="00236128">
        <w:rPr>
          <w:lang w:val="en-GB"/>
        </w:rPr>
        <w:t xml:space="preserve"> attend a polling place</w:t>
      </w:r>
      <w:r w:rsidR="00611951" w:rsidRPr="00236128">
        <w:rPr>
          <w:lang w:val="en-GB"/>
        </w:rPr>
        <w:t xml:space="preserve"> and place his vote in the ballot box</w:t>
      </w:r>
      <w:r w:rsidR="004E352B" w:rsidRPr="00236128">
        <w:rPr>
          <w:lang w:val="en-GB"/>
        </w:rPr>
        <w:t xml:space="preserve"> </w:t>
      </w:r>
      <w:r w:rsidR="00182416">
        <w:rPr>
          <w:lang w:val="en-GB"/>
        </w:rPr>
        <w:t>according to</w:t>
      </w:r>
      <w:r w:rsidR="00182416" w:rsidRPr="00236128">
        <w:rPr>
          <w:lang w:val="en-GB"/>
        </w:rPr>
        <w:t xml:space="preserve"> </w:t>
      </w:r>
      <w:r w:rsidR="004E352B" w:rsidRPr="00236128">
        <w:rPr>
          <w:lang w:val="en-GB"/>
        </w:rPr>
        <w:t xml:space="preserve">the principle of </w:t>
      </w:r>
      <w:r w:rsidR="00182416">
        <w:rPr>
          <w:lang w:val="en-GB"/>
        </w:rPr>
        <w:t xml:space="preserve">a </w:t>
      </w:r>
      <w:r w:rsidR="004E352B" w:rsidRPr="00236128">
        <w:rPr>
          <w:lang w:val="en-GB"/>
        </w:rPr>
        <w:t>secret ballot</w:t>
      </w:r>
      <w:r w:rsidR="00611951" w:rsidRPr="00236128">
        <w:rPr>
          <w:lang w:val="en-GB"/>
        </w:rPr>
        <w:t xml:space="preserve">. </w:t>
      </w:r>
      <w:r w:rsidR="00BD11A2" w:rsidRPr="00236128">
        <w:rPr>
          <w:lang w:val="en-GB"/>
        </w:rPr>
        <w:t>According to the author, should an elector wish to vote for none of the candidates</w:t>
      </w:r>
      <w:r w:rsidR="00252EE4" w:rsidRPr="00236128">
        <w:rPr>
          <w:lang w:val="en-GB"/>
        </w:rPr>
        <w:t xml:space="preserve">, </w:t>
      </w:r>
      <w:r w:rsidR="00BD11A2" w:rsidRPr="00236128">
        <w:rPr>
          <w:lang w:val="en-GB"/>
        </w:rPr>
        <w:t xml:space="preserve">as </w:t>
      </w:r>
      <w:r w:rsidR="009717DE" w:rsidRPr="00236128">
        <w:rPr>
          <w:lang w:val="en-GB"/>
        </w:rPr>
        <w:t xml:space="preserve">in </w:t>
      </w:r>
      <w:r w:rsidR="00B2302A" w:rsidRPr="00236128">
        <w:rPr>
          <w:lang w:val="en-GB"/>
        </w:rPr>
        <w:t>his</w:t>
      </w:r>
      <w:r w:rsidR="009717DE" w:rsidRPr="00236128">
        <w:rPr>
          <w:lang w:val="en-GB"/>
        </w:rPr>
        <w:t xml:space="preserve"> case</w:t>
      </w:r>
      <w:r w:rsidR="00BD11A2" w:rsidRPr="00236128">
        <w:rPr>
          <w:lang w:val="en-GB"/>
        </w:rPr>
        <w:t>, the elector ha</w:t>
      </w:r>
      <w:r w:rsidR="009717DE" w:rsidRPr="00236128">
        <w:rPr>
          <w:lang w:val="en-GB"/>
        </w:rPr>
        <w:t>s</w:t>
      </w:r>
      <w:r w:rsidR="00BD11A2" w:rsidRPr="00236128">
        <w:rPr>
          <w:lang w:val="en-GB"/>
        </w:rPr>
        <w:t xml:space="preserve"> to cast </w:t>
      </w:r>
      <w:r w:rsidR="002A3158" w:rsidRPr="00236128">
        <w:rPr>
          <w:lang w:val="en-GB"/>
        </w:rPr>
        <w:t xml:space="preserve">an informal </w:t>
      </w:r>
      <w:r w:rsidR="00DD2286" w:rsidRPr="00236128">
        <w:rPr>
          <w:lang w:val="en-GB"/>
        </w:rPr>
        <w:t>vote</w:t>
      </w:r>
      <w:r w:rsidR="0002467D" w:rsidRPr="00236128">
        <w:rPr>
          <w:lang w:val="en-GB"/>
        </w:rPr>
        <w:t>,</w:t>
      </w:r>
      <w:r w:rsidR="002A3158" w:rsidRPr="00236128">
        <w:rPr>
          <w:lang w:val="en-GB"/>
        </w:rPr>
        <w:t xml:space="preserve"> with</w:t>
      </w:r>
      <w:r w:rsidR="00DD2286" w:rsidRPr="00236128">
        <w:rPr>
          <w:lang w:val="en-GB"/>
        </w:rPr>
        <w:t xml:space="preserve"> an ambiguous legal status</w:t>
      </w:r>
      <w:r w:rsidR="002A3158" w:rsidRPr="00236128">
        <w:rPr>
          <w:lang w:val="en-GB"/>
        </w:rPr>
        <w:t>. However</w:t>
      </w:r>
      <w:r w:rsidR="00C16A3B" w:rsidRPr="00BF064A">
        <w:rPr>
          <w:lang w:val="en-GB"/>
        </w:rPr>
        <w:t>,</w:t>
      </w:r>
      <w:r w:rsidR="002A3158" w:rsidRPr="00236128">
        <w:rPr>
          <w:lang w:val="en-GB"/>
        </w:rPr>
        <w:t xml:space="preserve"> </w:t>
      </w:r>
      <w:r w:rsidR="0002467D" w:rsidRPr="00236128">
        <w:rPr>
          <w:lang w:val="en-GB"/>
        </w:rPr>
        <w:t>the Committee observes that</w:t>
      </w:r>
      <w:r w:rsidR="00DD2286" w:rsidRPr="00236128">
        <w:rPr>
          <w:lang w:val="en-GB"/>
        </w:rPr>
        <w:t xml:space="preserve"> </w:t>
      </w:r>
      <w:r w:rsidR="0002467D" w:rsidRPr="00236128">
        <w:rPr>
          <w:lang w:val="en-GB"/>
        </w:rPr>
        <w:t xml:space="preserve">a blank </w:t>
      </w:r>
      <w:r w:rsidR="00DD2286" w:rsidRPr="00236128">
        <w:rPr>
          <w:lang w:val="en-GB"/>
        </w:rPr>
        <w:t xml:space="preserve">vote </w:t>
      </w:r>
      <w:r w:rsidR="002A3158" w:rsidRPr="00236128">
        <w:rPr>
          <w:lang w:val="en-GB"/>
        </w:rPr>
        <w:t xml:space="preserve">is </w:t>
      </w:r>
      <w:r w:rsidR="0002467D" w:rsidRPr="00236128">
        <w:rPr>
          <w:lang w:val="en-GB"/>
        </w:rPr>
        <w:t xml:space="preserve">provided for </w:t>
      </w:r>
      <w:r w:rsidR="00DD2286" w:rsidRPr="00236128">
        <w:rPr>
          <w:lang w:val="en-GB"/>
        </w:rPr>
        <w:t xml:space="preserve">in section 268 of the </w:t>
      </w:r>
      <w:r w:rsidR="007D5900" w:rsidRPr="00BF064A">
        <w:rPr>
          <w:lang w:val="en-GB"/>
        </w:rPr>
        <w:t>Commonwealth</w:t>
      </w:r>
      <w:r w:rsidR="007D5900">
        <w:rPr>
          <w:lang w:val="en-GB"/>
        </w:rPr>
        <w:t xml:space="preserve"> Electoral Act</w:t>
      </w:r>
      <w:r w:rsidR="0002467D" w:rsidRPr="00236128">
        <w:rPr>
          <w:lang w:val="en-GB"/>
        </w:rPr>
        <w:t xml:space="preserve">. It further observes that the author has not explained why a blank vote </w:t>
      </w:r>
      <w:r w:rsidR="00B2302A" w:rsidRPr="00236128">
        <w:rPr>
          <w:lang w:val="en-GB"/>
        </w:rPr>
        <w:t>would not have</w:t>
      </w:r>
      <w:r w:rsidR="00DD2286" w:rsidRPr="00236128">
        <w:rPr>
          <w:lang w:val="en-GB"/>
        </w:rPr>
        <w:t xml:space="preserve"> </w:t>
      </w:r>
      <w:r w:rsidR="00C637B2" w:rsidRPr="00236128">
        <w:rPr>
          <w:lang w:val="en-GB"/>
        </w:rPr>
        <w:t xml:space="preserve">genuinely </w:t>
      </w:r>
      <w:r w:rsidR="00DD2286" w:rsidRPr="00236128">
        <w:rPr>
          <w:lang w:val="en-GB"/>
        </w:rPr>
        <w:t>reflect</w:t>
      </w:r>
      <w:r w:rsidR="00B2302A" w:rsidRPr="00236128">
        <w:rPr>
          <w:lang w:val="en-GB"/>
        </w:rPr>
        <w:t>ed</w:t>
      </w:r>
      <w:r w:rsidR="00DD2286" w:rsidRPr="00236128">
        <w:rPr>
          <w:lang w:val="en-GB"/>
        </w:rPr>
        <w:t xml:space="preserve"> his will as </w:t>
      </w:r>
      <w:r w:rsidR="0002467D" w:rsidRPr="00236128">
        <w:rPr>
          <w:lang w:val="en-GB"/>
        </w:rPr>
        <w:t xml:space="preserve">an </w:t>
      </w:r>
      <w:r w:rsidR="00DD2286" w:rsidRPr="00236128">
        <w:rPr>
          <w:lang w:val="en-GB"/>
        </w:rPr>
        <w:t>elector</w:t>
      </w:r>
      <w:r w:rsidR="009717DE" w:rsidRPr="00236128">
        <w:rPr>
          <w:lang w:val="en-GB"/>
        </w:rPr>
        <w:t xml:space="preserve"> to support none of the candidates at the 2010 federal elections</w:t>
      </w:r>
      <w:r w:rsidR="00DD2286" w:rsidRPr="00236128">
        <w:rPr>
          <w:lang w:val="en-GB"/>
        </w:rPr>
        <w:t xml:space="preserve">. </w:t>
      </w:r>
      <w:r w:rsidR="00C16A3B">
        <w:rPr>
          <w:lang w:val="en-GB"/>
        </w:rPr>
        <w:t>Furthermore,</w:t>
      </w:r>
      <w:r w:rsidR="00DD2286" w:rsidRPr="00236128">
        <w:rPr>
          <w:lang w:val="en-GB"/>
        </w:rPr>
        <w:t xml:space="preserve"> the author </w:t>
      </w:r>
      <w:r w:rsidR="00C16A3B">
        <w:rPr>
          <w:lang w:val="en-GB"/>
        </w:rPr>
        <w:t xml:space="preserve">has not </w:t>
      </w:r>
      <w:r w:rsidR="00DD2286" w:rsidRPr="00236128">
        <w:rPr>
          <w:lang w:val="en-GB"/>
        </w:rPr>
        <w:t xml:space="preserve">provided </w:t>
      </w:r>
      <w:r w:rsidR="00B2302A" w:rsidRPr="00236128">
        <w:rPr>
          <w:lang w:val="en-GB"/>
        </w:rPr>
        <w:t xml:space="preserve">convincing arguments to </w:t>
      </w:r>
      <w:r w:rsidR="00DD2286" w:rsidRPr="00236128">
        <w:rPr>
          <w:lang w:val="en-GB"/>
        </w:rPr>
        <w:t xml:space="preserve">the Committee that the fine imposed </w:t>
      </w:r>
      <w:r w:rsidR="00C16A3B">
        <w:rPr>
          <w:lang w:val="en-GB"/>
        </w:rPr>
        <w:t>on</w:t>
      </w:r>
      <w:r w:rsidR="00C16A3B" w:rsidRPr="00236128">
        <w:rPr>
          <w:lang w:val="en-GB"/>
        </w:rPr>
        <w:t xml:space="preserve"> </w:t>
      </w:r>
      <w:r w:rsidR="00DD2286" w:rsidRPr="00236128">
        <w:rPr>
          <w:lang w:val="en-GB"/>
        </w:rPr>
        <w:t xml:space="preserve">him </w:t>
      </w:r>
      <w:r w:rsidR="00B2302A" w:rsidRPr="00236128">
        <w:rPr>
          <w:lang w:val="en-GB"/>
        </w:rPr>
        <w:t xml:space="preserve">was unreasonable or </w:t>
      </w:r>
      <w:r w:rsidRPr="00236128">
        <w:rPr>
          <w:lang w:val="en-GB"/>
        </w:rPr>
        <w:t>disproportionate</w:t>
      </w:r>
      <w:r w:rsidR="00B2302A" w:rsidRPr="00236128">
        <w:rPr>
          <w:lang w:val="en-GB"/>
        </w:rPr>
        <w:t>.</w:t>
      </w:r>
      <w:r w:rsidR="00DD2286" w:rsidRPr="00236128">
        <w:rPr>
          <w:lang w:val="en-GB"/>
        </w:rPr>
        <w:t xml:space="preserve"> Accordingly, the Committee considers that the facts before it do not </w:t>
      </w:r>
      <w:r w:rsidR="0088343D">
        <w:rPr>
          <w:lang w:val="en-GB"/>
        </w:rPr>
        <w:t>disclose</w:t>
      </w:r>
      <w:r w:rsidR="0088343D" w:rsidRPr="00236128">
        <w:rPr>
          <w:lang w:val="en-GB"/>
        </w:rPr>
        <w:t xml:space="preserve"> </w:t>
      </w:r>
      <w:r w:rsidR="00DD2286" w:rsidRPr="00236128">
        <w:rPr>
          <w:lang w:val="en-GB"/>
        </w:rPr>
        <w:t>a violation of article 25</w:t>
      </w:r>
      <w:r w:rsidR="00C16A3B">
        <w:rPr>
          <w:lang w:val="en-GB"/>
        </w:rPr>
        <w:t> </w:t>
      </w:r>
      <w:r w:rsidR="00B2302A" w:rsidRPr="00236128">
        <w:rPr>
          <w:lang w:val="en-GB"/>
        </w:rPr>
        <w:t>(b)</w:t>
      </w:r>
      <w:r w:rsidR="00DD2286" w:rsidRPr="00236128">
        <w:rPr>
          <w:lang w:val="en-GB"/>
        </w:rPr>
        <w:t xml:space="preserve"> of the Covenant. </w:t>
      </w:r>
    </w:p>
    <w:p w14:paraId="41165014" w14:textId="6D9B7F64" w:rsidR="00446467" w:rsidRPr="00236128" w:rsidRDefault="002356D6" w:rsidP="00236128">
      <w:pPr>
        <w:pStyle w:val="SingleTxtG"/>
        <w:rPr>
          <w:lang w:val="en-GB" w:eastAsia="fr-FR"/>
        </w:rPr>
      </w:pPr>
      <w:r w:rsidRPr="00236128">
        <w:rPr>
          <w:lang w:val="en-GB" w:eastAsia="en-GB"/>
        </w:rPr>
        <w:t>8</w:t>
      </w:r>
      <w:r w:rsidR="00446467" w:rsidRPr="00236128">
        <w:rPr>
          <w:lang w:val="en-GB" w:eastAsia="en-GB"/>
        </w:rPr>
        <w:t>.</w:t>
      </w:r>
      <w:r w:rsidR="00446467" w:rsidRPr="00236128">
        <w:rPr>
          <w:lang w:val="en-GB" w:eastAsia="en-GB"/>
        </w:rPr>
        <w:tab/>
        <w:t>The Committee, acting under article 5</w:t>
      </w:r>
      <w:r w:rsidR="001E42AE">
        <w:rPr>
          <w:lang w:val="en-GB" w:eastAsia="en-GB"/>
        </w:rPr>
        <w:t> </w:t>
      </w:r>
      <w:r w:rsidR="0002467D" w:rsidRPr="00236128">
        <w:rPr>
          <w:lang w:val="en-GB" w:eastAsia="en-GB"/>
        </w:rPr>
        <w:t>(</w:t>
      </w:r>
      <w:r w:rsidR="00446467" w:rsidRPr="00236128">
        <w:rPr>
          <w:lang w:val="en-GB" w:eastAsia="en-GB"/>
        </w:rPr>
        <w:t>4</w:t>
      </w:r>
      <w:r w:rsidR="0002467D" w:rsidRPr="00236128">
        <w:rPr>
          <w:lang w:val="en-GB" w:eastAsia="en-GB"/>
        </w:rPr>
        <w:t>)</w:t>
      </w:r>
      <w:r w:rsidR="00446467" w:rsidRPr="00236128">
        <w:rPr>
          <w:lang w:val="en-GB" w:eastAsia="en-GB"/>
        </w:rPr>
        <w:t xml:space="preserve"> of the Optional Protocol</w:t>
      </w:r>
      <w:r w:rsidR="00446467" w:rsidRPr="00236128">
        <w:rPr>
          <w:lang w:val="en-GB" w:eastAsia="fr-FR"/>
        </w:rPr>
        <w:t>, is of the view that the facts</w:t>
      </w:r>
      <w:r w:rsidR="00025E21">
        <w:rPr>
          <w:lang w:val="en-GB" w:eastAsia="fr-FR"/>
        </w:rPr>
        <w:t xml:space="preserve"> </w:t>
      </w:r>
      <w:r w:rsidR="00446467" w:rsidRPr="00236128">
        <w:rPr>
          <w:lang w:val="en-GB" w:eastAsia="fr-FR"/>
        </w:rPr>
        <w:t xml:space="preserve">before it do not </w:t>
      </w:r>
      <w:r w:rsidR="0088343D">
        <w:rPr>
          <w:lang w:val="en-GB" w:eastAsia="fr-FR"/>
        </w:rPr>
        <w:t>disclose</w:t>
      </w:r>
      <w:r w:rsidR="0088343D" w:rsidRPr="00236128">
        <w:rPr>
          <w:lang w:val="en-GB" w:eastAsia="fr-FR"/>
        </w:rPr>
        <w:t xml:space="preserve"> </w:t>
      </w:r>
      <w:r w:rsidR="00446467" w:rsidRPr="00236128">
        <w:rPr>
          <w:lang w:val="en-GB" w:eastAsia="fr-FR"/>
        </w:rPr>
        <w:t>a violation of the author’s rights under the Covenant.</w:t>
      </w:r>
    </w:p>
    <w:p w14:paraId="0A59081E" w14:textId="4BD1629B" w:rsidR="00181EC5" w:rsidRPr="00236128" w:rsidRDefault="00181EC5">
      <w:pPr>
        <w:suppressAutoHyphens w:val="0"/>
        <w:spacing w:after="200" w:line="276" w:lineRule="auto"/>
      </w:pPr>
      <w:r w:rsidRPr="00236128">
        <w:br w:type="page"/>
      </w:r>
    </w:p>
    <w:p w14:paraId="14D08F61" w14:textId="0172FFD7" w:rsidR="00181EC5" w:rsidRPr="00236128" w:rsidRDefault="00181EC5" w:rsidP="00236128">
      <w:pPr>
        <w:pStyle w:val="HChG"/>
      </w:pPr>
      <w:r w:rsidRPr="00236128">
        <w:lastRenderedPageBreak/>
        <w:t xml:space="preserve">Annex </w:t>
      </w:r>
    </w:p>
    <w:p w14:paraId="20193509" w14:textId="6F9EBEE7" w:rsidR="00181EC5" w:rsidRPr="00236128" w:rsidRDefault="00181EC5" w:rsidP="00236128">
      <w:pPr>
        <w:pStyle w:val="HChG"/>
      </w:pPr>
      <w:r w:rsidRPr="00E27706">
        <w:tab/>
      </w:r>
      <w:r w:rsidRPr="00E27706">
        <w:tab/>
        <w:t xml:space="preserve">Individual opinion of Committee </w:t>
      </w:r>
      <w:r w:rsidR="004C49F7">
        <w:rPr>
          <w:lang w:bidi="he-IL"/>
        </w:rPr>
        <w:t>m</w:t>
      </w:r>
      <w:r w:rsidRPr="00E27706">
        <w:rPr>
          <w:lang w:bidi="he-IL"/>
        </w:rPr>
        <w:t xml:space="preserve">ember </w:t>
      </w:r>
      <w:r w:rsidRPr="00E27706">
        <w:t>Ahmed Amin Fathalla</w:t>
      </w:r>
      <w:r w:rsidRPr="00E27706">
        <w:rPr>
          <w:rFonts w:asciiTheme="minorBidi" w:hAnsiTheme="minorBidi" w:cstheme="minorBidi"/>
          <w:lang w:bidi="he-IL"/>
        </w:rPr>
        <w:t xml:space="preserve"> </w:t>
      </w:r>
      <w:r w:rsidRPr="00236128">
        <w:t>(dissenting)</w:t>
      </w:r>
    </w:p>
    <w:p w14:paraId="021467F9" w14:textId="380E9EFD" w:rsidR="00181EC5" w:rsidRPr="00236128" w:rsidRDefault="00181EC5" w:rsidP="00181EC5">
      <w:pPr>
        <w:pStyle w:val="SingleTxtG"/>
        <w:rPr>
          <w:lang w:val="en-GB"/>
        </w:rPr>
      </w:pPr>
      <w:r w:rsidRPr="00236128">
        <w:rPr>
          <w:lang w:val="en-GB"/>
        </w:rPr>
        <w:t>1.</w:t>
      </w:r>
      <w:r w:rsidRPr="00236128">
        <w:rPr>
          <w:lang w:val="en-GB"/>
        </w:rPr>
        <w:tab/>
        <w:t>Compulsory voting is contrary to States parties’ obligations under articles 18 and 19 of the Covenant and constitutes a violation of the rights to freedom of thought, of expression and to hold an opinion.</w:t>
      </w:r>
    </w:p>
    <w:p w14:paraId="63E57CCB" w14:textId="34CC4683" w:rsidR="00181EC5" w:rsidRPr="00236128" w:rsidRDefault="00181EC5" w:rsidP="00181EC5">
      <w:pPr>
        <w:pStyle w:val="SingleTxtG"/>
        <w:rPr>
          <w:lang w:val="en-GB"/>
        </w:rPr>
      </w:pPr>
      <w:r w:rsidRPr="00236128">
        <w:rPr>
          <w:lang w:val="en-GB"/>
        </w:rPr>
        <w:t xml:space="preserve">2. </w:t>
      </w:r>
      <w:r w:rsidRPr="00236128">
        <w:rPr>
          <w:lang w:val="en-GB"/>
        </w:rPr>
        <w:tab/>
        <w:t>The choice of a person not to vote at political elections is by itself a manifestation of his</w:t>
      </w:r>
      <w:r w:rsidR="00025E21">
        <w:rPr>
          <w:lang w:val="en-GB"/>
        </w:rPr>
        <w:t xml:space="preserve"> or </w:t>
      </w:r>
      <w:r w:rsidRPr="00236128">
        <w:rPr>
          <w:lang w:val="en-GB"/>
        </w:rPr>
        <w:t xml:space="preserve">her opinion on the issue </w:t>
      </w:r>
      <w:r w:rsidR="00421B57">
        <w:rPr>
          <w:lang w:val="en-GB"/>
        </w:rPr>
        <w:t>put</w:t>
      </w:r>
      <w:r w:rsidRPr="00236128">
        <w:rPr>
          <w:lang w:val="en-GB"/>
        </w:rPr>
        <w:t xml:space="preserve"> to the vote, and/or constitutes his </w:t>
      </w:r>
      <w:r w:rsidR="00F573B8">
        <w:rPr>
          <w:lang w:val="en-GB"/>
        </w:rPr>
        <w:t xml:space="preserve">or her </w:t>
      </w:r>
      <w:r w:rsidRPr="00236128">
        <w:rPr>
          <w:lang w:val="en-GB"/>
        </w:rPr>
        <w:t xml:space="preserve">opinion about the whole process of voting. In this regard, a blank vote cannot replace in any way the decision not to participate in a given election. </w:t>
      </w:r>
    </w:p>
    <w:p w14:paraId="75F16092" w14:textId="42999C89" w:rsidR="00181EC5" w:rsidRPr="00236128" w:rsidRDefault="00181EC5" w:rsidP="00181EC5">
      <w:pPr>
        <w:pStyle w:val="SingleTxtG"/>
        <w:rPr>
          <w:lang w:val="en-GB"/>
        </w:rPr>
      </w:pPr>
      <w:r w:rsidRPr="00236128">
        <w:rPr>
          <w:lang w:val="en-GB"/>
        </w:rPr>
        <w:t xml:space="preserve">3. </w:t>
      </w:r>
      <w:r w:rsidR="00876006">
        <w:rPr>
          <w:lang w:val="en-GB"/>
        </w:rPr>
        <w:tab/>
      </w:r>
      <w:r w:rsidRPr="00236128">
        <w:rPr>
          <w:lang w:val="en-GB"/>
        </w:rPr>
        <w:t xml:space="preserve">A compulsory voting system at political elections constitutes a coercion against the exercise and enjoyment of the rights enshrined in articles 18 and 19 of the Covenant, in particular when a fine is imposed </w:t>
      </w:r>
      <w:r w:rsidR="00421B57">
        <w:rPr>
          <w:lang w:val="en-GB"/>
        </w:rPr>
        <w:t>on</w:t>
      </w:r>
      <w:r w:rsidRPr="00236128">
        <w:rPr>
          <w:lang w:val="en-GB"/>
        </w:rPr>
        <w:t xml:space="preserve"> those that fail to vote. The issue of whether a fine is unreasonable or disproportionate is not relevant as the compulsory voting system as such is contrary to the Covenant. Fines for failure to vote should only be deemed as a punishment that aggravates the violations of these rights.</w:t>
      </w:r>
      <w:r w:rsidR="00625CA2">
        <w:rPr>
          <w:lang w:val="en-GB"/>
        </w:rPr>
        <w:t xml:space="preserve"> </w:t>
      </w:r>
    </w:p>
    <w:p w14:paraId="4812B64D" w14:textId="1F02B474" w:rsidR="00181EC5" w:rsidRDefault="00181EC5" w:rsidP="00181EC5">
      <w:pPr>
        <w:pStyle w:val="SingleTxtG"/>
        <w:rPr>
          <w:lang w:val="en-GB"/>
        </w:rPr>
      </w:pPr>
      <w:r w:rsidRPr="00236128">
        <w:rPr>
          <w:lang w:val="en-GB"/>
        </w:rPr>
        <w:t xml:space="preserve">4. </w:t>
      </w:r>
      <w:r w:rsidR="00876006">
        <w:rPr>
          <w:lang w:val="en-GB"/>
        </w:rPr>
        <w:tab/>
      </w:r>
      <w:r w:rsidRPr="00236128">
        <w:rPr>
          <w:lang w:val="en-GB"/>
        </w:rPr>
        <w:t>Therefore, I am of the view that the imposition of compulsory voting at political election</w:t>
      </w:r>
      <w:r w:rsidR="00F573B8">
        <w:rPr>
          <w:lang w:val="en-GB"/>
        </w:rPr>
        <w:t>s</w:t>
      </w:r>
      <w:r w:rsidRPr="00236128">
        <w:rPr>
          <w:lang w:val="en-GB"/>
        </w:rPr>
        <w:t xml:space="preserve">, as well as the fines imposed </w:t>
      </w:r>
      <w:r w:rsidR="00F573B8">
        <w:rPr>
          <w:lang w:val="en-GB"/>
        </w:rPr>
        <w:t>owing</w:t>
      </w:r>
      <w:r w:rsidRPr="00236128">
        <w:rPr>
          <w:lang w:val="en-GB"/>
        </w:rPr>
        <w:t xml:space="preserve"> to the failure to vote, constitutes a violation of articles 18 and 19 of the Covenant. </w:t>
      </w:r>
    </w:p>
    <w:p w14:paraId="628AA1CC" w14:textId="1F369C74" w:rsidR="00236128" w:rsidRPr="00236128" w:rsidRDefault="00236128" w:rsidP="00BC4E15">
      <w:pPr>
        <w:pStyle w:val="SingleTxtG"/>
        <w:kinsoku w:val="0"/>
        <w:overflowPunct w:val="0"/>
        <w:autoSpaceDE w:val="0"/>
        <w:autoSpaceDN w:val="0"/>
        <w:adjustRightInd w:val="0"/>
        <w:snapToGrid w:val="0"/>
        <w:spacing w:before="240" w:after="0"/>
        <w:jc w:val="center"/>
        <w:rPr>
          <w:u w:val="single"/>
          <w:lang w:val="fr-CH"/>
        </w:rPr>
      </w:pPr>
      <w:r w:rsidRPr="00236128">
        <w:rPr>
          <w:u w:val="single"/>
          <w:lang w:val="fr-CH"/>
        </w:rPr>
        <w:tab/>
      </w:r>
      <w:r w:rsidRPr="00236128">
        <w:rPr>
          <w:u w:val="single"/>
          <w:lang w:val="fr-CH"/>
        </w:rPr>
        <w:tab/>
      </w:r>
      <w:r w:rsidRPr="00236128">
        <w:rPr>
          <w:u w:val="single"/>
          <w:lang w:val="fr-CH"/>
        </w:rPr>
        <w:tab/>
      </w:r>
      <w:r w:rsidR="00BC4E15">
        <w:rPr>
          <w:u w:val="single"/>
          <w:lang w:val="fr-CH"/>
        </w:rPr>
        <w:tab/>
      </w:r>
    </w:p>
    <w:p w14:paraId="45D19843" w14:textId="77777777" w:rsidR="00236128" w:rsidRPr="00BC4E15" w:rsidRDefault="00236128" w:rsidP="00BC4E15">
      <w:pPr>
        <w:pStyle w:val="SingleTxtG"/>
        <w:kinsoku w:val="0"/>
        <w:overflowPunct w:val="0"/>
        <w:autoSpaceDE w:val="0"/>
        <w:autoSpaceDN w:val="0"/>
        <w:adjustRightInd w:val="0"/>
        <w:snapToGrid w:val="0"/>
        <w:spacing w:before="240" w:after="0"/>
        <w:jc w:val="center"/>
        <w:rPr>
          <w:u w:val="single"/>
          <w:lang w:val="fr-CH"/>
        </w:rPr>
      </w:pPr>
    </w:p>
    <w:sectPr w:rsidR="00236128" w:rsidRPr="00BC4E15" w:rsidSect="00AC1831">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1FF9B" w14:textId="77777777" w:rsidR="00397171" w:rsidRDefault="00397171" w:rsidP="00323FF5">
      <w:pPr>
        <w:spacing w:line="240" w:lineRule="auto"/>
      </w:pPr>
      <w:r>
        <w:separator/>
      </w:r>
    </w:p>
  </w:endnote>
  <w:endnote w:type="continuationSeparator" w:id="0">
    <w:p w14:paraId="024C8D7B" w14:textId="77777777" w:rsidR="00397171" w:rsidRDefault="00397171" w:rsidP="00323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72557476"/>
      <w:docPartObj>
        <w:docPartGallery w:val="Page Numbers (Bottom of Page)"/>
        <w:docPartUnique/>
      </w:docPartObj>
    </w:sdtPr>
    <w:sdtEndPr>
      <w:rPr>
        <w:b/>
        <w:noProof/>
      </w:rPr>
    </w:sdtEndPr>
    <w:sdtContent>
      <w:p w14:paraId="5C5EB971" w14:textId="5031270A" w:rsidR="00437D25" w:rsidRPr="00236128" w:rsidRDefault="00437D25" w:rsidP="00857CD0">
        <w:pPr>
          <w:pStyle w:val="Footer"/>
          <w:rPr>
            <w:b/>
            <w:sz w:val="18"/>
            <w:szCs w:val="18"/>
          </w:rPr>
        </w:pPr>
        <w:r w:rsidRPr="00236128">
          <w:rPr>
            <w:b/>
            <w:sz w:val="18"/>
            <w:szCs w:val="18"/>
          </w:rPr>
          <w:fldChar w:fldCharType="begin"/>
        </w:r>
        <w:r w:rsidRPr="00236128">
          <w:rPr>
            <w:b/>
            <w:sz w:val="18"/>
            <w:szCs w:val="18"/>
          </w:rPr>
          <w:instrText xml:space="preserve"> PAGE   \* MERGEFORMAT </w:instrText>
        </w:r>
        <w:r w:rsidRPr="00236128">
          <w:rPr>
            <w:b/>
            <w:sz w:val="18"/>
            <w:szCs w:val="18"/>
          </w:rPr>
          <w:fldChar w:fldCharType="separate"/>
        </w:r>
        <w:r w:rsidR="00934961">
          <w:rPr>
            <w:b/>
            <w:noProof/>
            <w:sz w:val="18"/>
            <w:szCs w:val="18"/>
          </w:rPr>
          <w:t>2</w:t>
        </w:r>
        <w:r w:rsidRPr="00236128">
          <w:rPr>
            <w:b/>
            <w:noProof/>
            <w:sz w:val="18"/>
            <w:szCs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4F41" w14:textId="259C5D6D" w:rsidR="00437D25" w:rsidRPr="00236128" w:rsidRDefault="00437D25" w:rsidP="00857CD0">
    <w:pPr>
      <w:pStyle w:val="Footer"/>
      <w:tabs>
        <w:tab w:val="right" w:pos="9638"/>
      </w:tabs>
      <w:jc w:val="right"/>
      <w:rPr>
        <w:b/>
        <w:bCs/>
        <w:sz w:val="18"/>
        <w:szCs w:val="18"/>
      </w:rPr>
    </w:pPr>
    <w:r w:rsidRPr="00236128">
      <w:rPr>
        <w:sz w:val="18"/>
        <w:szCs w:val="18"/>
      </w:rPr>
      <w:fldChar w:fldCharType="begin"/>
    </w:r>
    <w:r w:rsidRPr="00236128">
      <w:rPr>
        <w:sz w:val="18"/>
        <w:szCs w:val="18"/>
      </w:rPr>
      <w:instrText xml:space="preserve"> PAGE  \* MERGEFORMAT </w:instrText>
    </w:r>
    <w:r w:rsidRPr="00236128">
      <w:rPr>
        <w:sz w:val="18"/>
        <w:szCs w:val="18"/>
      </w:rPr>
      <w:fldChar w:fldCharType="separate"/>
    </w:r>
    <w:r w:rsidR="00934961" w:rsidRPr="00934961">
      <w:rPr>
        <w:b/>
        <w:bCs/>
        <w:noProof/>
        <w:sz w:val="18"/>
        <w:szCs w:val="18"/>
      </w:rPr>
      <w:t>13</w:t>
    </w:r>
    <w:r w:rsidRPr="00236128">
      <w:rPr>
        <w:b/>
        <w:bCs/>
        <w:noProof/>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B3F5" w14:textId="47B09BD5" w:rsidR="00437D25" w:rsidRDefault="00EA0C11" w:rsidP="00EA0C11">
    <w:pPr>
      <w:pStyle w:val="Footer"/>
      <w:ind w:right="1134"/>
      <w:rPr>
        <w:rFonts w:ascii="C39T30Lfz" w:hAnsi="C39T30Lfz"/>
        <w:szCs w:val="16"/>
      </w:rPr>
    </w:pPr>
    <w:r w:rsidRPr="00EA0C11">
      <w:rPr>
        <w:rFonts w:ascii="C39T30Lfz" w:hAnsi="C39T30Lfz"/>
        <w:noProof/>
        <w:szCs w:val="16"/>
        <w:lang w:val="en-US"/>
      </w:rPr>
      <w:drawing>
        <wp:anchor distT="0" distB="0" distL="114300" distR="114300" simplePos="0" relativeHeight="251659264" behindDoc="1" locked="1" layoutInCell="1" allowOverlap="1" wp14:anchorId="27ACFD07" wp14:editId="3273CE2F">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D571C3C" w14:textId="2CFA184A" w:rsidR="00EA0C11" w:rsidRPr="00EA0C11" w:rsidRDefault="00EA0C11" w:rsidP="00EA0C11">
    <w:pPr>
      <w:pStyle w:val="Footer"/>
      <w:ind w:right="1134"/>
      <w:rPr>
        <w:rFonts w:asciiTheme="majorBidi" w:hAnsiTheme="majorBidi" w:cstheme="majorBidi"/>
        <w:sz w:val="20"/>
        <w:szCs w:val="16"/>
      </w:rPr>
    </w:pPr>
    <w:r w:rsidRPr="00EA0C11">
      <w:rPr>
        <w:rFonts w:asciiTheme="majorBidi" w:hAnsiTheme="majorBidi" w:cstheme="majorBidi"/>
        <w:sz w:val="20"/>
        <w:szCs w:val="16"/>
      </w:rPr>
      <w:t>GE.17-17710(E)</w:t>
    </w:r>
  </w:p>
  <w:p w14:paraId="118291CC" w14:textId="4663F1AB" w:rsidR="00EA0C11" w:rsidRPr="00EA0C11" w:rsidRDefault="00EA0C11" w:rsidP="00EA0C11">
    <w:pPr>
      <w:pStyle w:val="Footer"/>
      <w:ind w:right="1134"/>
      <w:rPr>
        <w:rFonts w:ascii="C39T30Lfz" w:hAnsi="C39T30Lfz"/>
        <w:sz w:val="56"/>
        <w:szCs w:val="16"/>
      </w:rPr>
    </w:pPr>
    <w:r>
      <w:rPr>
        <w:rFonts w:ascii="C39T30Lfz" w:hAnsi="C39T30Lfz"/>
        <w:sz w:val="56"/>
        <w:szCs w:val="16"/>
      </w:rPr>
      <w:t></w:t>
    </w:r>
    <w:r>
      <w:rPr>
        <w:rFonts w:ascii="C39T30Lfz" w:hAnsi="C39T30Lfz"/>
        <w:sz w:val="56"/>
        <w:szCs w:val="16"/>
      </w:rPr>
      <w:t></w:t>
    </w:r>
    <w:r>
      <w:rPr>
        <w:rFonts w:ascii="C39T30Lfz" w:hAnsi="C39T30Lfz"/>
        <w:sz w:val="56"/>
        <w:szCs w:val="16"/>
      </w:rPr>
      <w:t></w:t>
    </w:r>
    <w:r>
      <w:rPr>
        <w:rFonts w:ascii="C39T30Lfz" w:hAnsi="C39T30Lfz"/>
        <w:sz w:val="56"/>
        <w:szCs w:val="16"/>
      </w:rPr>
      <w:t></w:t>
    </w:r>
    <w:r>
      <w:rPr>
        <w:rFonts w:ascii="C39T30Lfz" w:hAnsi="C39T30Lfz"/>
        <w:sz w:val="56"/>
        <w:szCs w:val="16"/>
      </w:rPr>
      <w:t></w:t>
    </w:r>
    <w:r>
      <w:rPr>
        <w:rFonts w:ascii="C39T30Lfz" w:hAnsi="C39T30Lfz"/>
        <w:sz w:val="56"/>
        <w:szCs w:val="16"/>
      </w:rPr>
      <w:t></w:t>
    </w:r>
    <w:r>
      <w:rPr>
        <w:rFonts w:ascii="C39T30Lfz" w:hAnsi="C39T30Lfz"/>
        <w:sz w:val="56"/>
        <w:szCs w:val="16"/>
      </w:rPr>
      <w:t></w:t>
    </w:r>
    <w:r>
      <w:rPr>
        <w:rFonts w:ascii="C39T30Lfz" w:hAnsi="C39T30Lfz"/>
        <w:sz w:val="56"/>
        <w:szCs w:val="16"/>
      </w:rPr>
      <w:t></w:t>
    </w:r>
    <w:r>
      <w:rPr>
        <w:rFonts w:ascii="C39T30Lfz" w:hAnsi="C39T30Lfz"/>
        <w:sz w:val="56"/>
        <w:szCs w:val="16"/>
      </w:rPr>
      <w:t></w:t>
    </w:r>
    <w:r>
      <w:rPr>
        <w:rFonts w:ascii="C39T30Lfz" w:hAnsi="C39T30Lfz"/>
        <w:noProof/>
        <w:sz w:val="56"/>
        <w:szCs w:val="16"/>
        <w:lang w:val="en-US"/>
      </w:rPr>
      <w:drawing>
        <wp:anchor distT="0" distB="0" distL="114300" distR="114300" simplePos="0" relativeHeight="251660288" behindDoc="0" locked="0" layoutInCell="1" allowOverlap="1" wp14:anchorId="048D5233" wp14:editId="03C7AD45">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0/D/2237/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237/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36D9" w14:textId="77777777" w:rsidR="00397171" w:rsidRDefault="00397171" w:rsidP="00236128">
      <w:pPr>
        <w:pStyle w:val="Footer"/>
        <w:tabs>
          <w:tab w:val="right" w:pos="2155"/>
        </w:tabs>
        <w:spacing w:after="80" w:line="240" w:lineRule="atLeast"/>
        <w:ind w:left="680"/>
      </w:pPr>
      <w:r w:rsidRPr="00EF7F30">
        <w:rPr>
          <w:u w:val="single"/>
        </w:rPr>
        <w:tab/>
      </w:r>
    </w:p>
  </w:footnote>
  <w:footnote w:type="continuationSeparator" w:id="0">
    <w:p w14:paraId="34082B66" w14:textId="77777777" w:rsidR="00397171" w:rsidRDefault="00397171" w:rsidP="00323FF5">
      <w:pPr>
        <w:spacing w:line="240" w:lineRule="auto"/>
      </w:pPr>
      <w:r>
        <w:continuationSeparator/>
      </w:r>
    </w:p>
  </w:footnote>
  <w:footnote w:id="1">
    <w:p w14:paraId="327EF72D" w14:textId="62CCC37C" w:rsidR="00437D25" w:rsidRPr="00E50C54" w:rsidRDefault="00437D25">
      <w:pPr>
        <w:pStyle w:val="FootnoteText"/>
      </w:pPr>
      <w:r>
        <w:rPr>
          <w:rStyle w:val="FootnoteReference"/>
        </w:rPr>
        <w:tab/>
      </w:r>
      <w:r w:rsidRPr="00236128">
        <w:rPr>
          <w:rStyle w:val="FootnoteReference"/>
          <w:sz w:val="20"/>
          <w:vertAlign w:val="baseline"/>
        </w:rPr>
        <w:t>*</w:t>
      </w:r>
      <w:r>
        <w:rPr>
          <w:rStyle w:val="FootnoteReference"/>
          <w:sz w:val="20"/>
          <w:vertAlign w:val="baseline"/>
        </w:rPr>
        <w:tab/>
      </w:r>
      <w:r w:rsidRPr="001D2A3D">
        <w:rPr>
          <w:lang w:val="en-GB"/>
        </w:rPr>
        <w:t>Adopted by the Committee at its 120th session (3-28 July 2017).</w:t>
      </w:r>
    </w:p>
  </w:footnote>
  <w:footnote w:id="2">
    <w:p w14:paraId="73F608BC" w14:textId="0B664520" w:rsidR="00437D25" w:rsidRPr="00236128" w:rsidRDefault="00437D25" w:rsidP="00236128">
      <w:pPr>
        <w:pStyle w:val="FootnoteText"/>
        <w:rPr>
          <w:lang w:val="en-GB"/>
        </w:rPr>
      </w:pPr>
      <w:r>
        <w:rPr>
          <w:lang w:val="en-GB"/>
        </w:rPr>
        <w:tab/>
      </w:r>
      <w:r w:rsidRPr="00236128">
        <w:rPr>
          <w:rFonts w:eastAsia="SimSun"/>
          <w:lang w:val="en-GB" w:eastAsia="zh-CN"/>
        </w:rPr>
        <w:t>**</w:t>
      </w:r>
      <w:r w:rsidRPr="00236128">
        <w:rPr>
          <w:rFonts w:eastAsia="SimSun"/>
          <w:vertAlign w:val="superscript"/>
          <w:lang w:val="en-GB" w:eastAsia="zh-CN"/>
        </w:rPr>
        <w:t xml:space="preserve"> </w:t>
      </w:r>
      <w:r w:rsidRPr="00236128">
        <w:rPr>
          <w:sz w:val="20"/>
          <w:lang w:val="en-GB"/>
        </w:rPr>
        <w:tab/>
      </w:r>
      <w:r w:rsidRPr="00236128">
        <w:rPr>
          <w:rFonts w:eastAsia="SimSun"/>
          <w:lang w:val="en-GB" w:eastAsia="zh-CN"/>
        </w:rPr>
        <w:t>The following members of the Committee participated in the examination of the communication: Tania María Abdo Rocholl, Yadh Ben Achour, Ilze Brands Kehris, Sarah Cleveland,</w:t>
      </w:r>
      <w:r w:rsidRPr="00236128">
        <w:rPr>
          <w:rFonts w:eastAsia="SimSun"/>
          <w:lang w:eastAsia="zh-CN"/>
        </w:rPr>
        <w:t xml:space="preserve"> Ahmed Amin Fathalla, Olivier de Frouville, Christof Heyns, Yuji Iwasawa, Ivana Jelić, Bamariam Koita, Marcia V.J. Kran, Duncan Laki Muhumuza, Photini Pazartzis, Mauro Politi, </w:t>
      </w:r>
      <w:r w:rsidRPr="00236128">
        <w:rPr>
          <w:lang w:val="en-GB"/>
        </w:rPr>
        <w:t>José Manuel Santos Pais, Yuval</w:t>
      </w:r>
      <w:r>
        <w:rPr>
          <w:lang w:val="en-GB"/>
        </w:rPr>
        <w:t> </w:t>
      </w:r>
      <w:r w:rsidRPr="00236128">
        <w:rPr>
          <w:lang w:val="en-GB"/>
        </w:rPr>
        <w:t>Shany and Margo Waterval</w:t>
      </w:r>
      <w:r w:rsidRPr="00236128">
        <w:rPr>
          <w:bCs/>
          <w:lang w:val="en-GB"/>
        </w:rPr>
        <w:t>.</w:t>
      </w:r>
      <w:r w:rsidRPr="00236128">
        <w:rPr>
          <w:lang w:val="en-GB"/>
        </w:rPr>
        <w:t xml:space="preserve"> </w:t>
      </w:r>
    </w:p>
  </w:footnote>
  <w:footnote w:id="3">
    <w:p w14:paraId="3BF435B9" w14:textId="7EB9D500" w:rsidR="00437D25" w:rsidRPr="0029494E" w:rsidRDefault="00437D25" w:rsidP="00E50C54">
      <w:pPr>
        <w:pStyle w:val="FootnoteText"/>
      </w:pPr>
      <w:r>
        <w:rPr>
          <w:rStyle w:val="FootnoteReference"/>
        </w:rPr>
        <w:tab/>
      </w:r>
      <w:r w:rsidRPr="00236128">
        <w:rPr>
          <w:rStyle w:val="FootnoteReference"/>
          <w:sz w:val="20"/>
          <w:vertAlign w:val="baseline"/>
        </w:rPr>
        <w:t>***</w:t>
      </w:r>
      <w:r>
        <w:rPr>
          <w:rStyle w:val="FootnoteReference"/>
          <w:sz w:val="20"/>
          <w:vertAlign w:val="baseline"/>
        </w:rPr>
        <w:tab/>
      </w:r>
      <w:r>
        <w:rPr>
          <w:sz w:val="20"/>
        </w:rPr>
        <w:t>An i</w:t>
      </w:r>
      <w:r w:rsidRPr="00E50C54">
        <w:t xml:space="preserve">ndividual opinion </w:t>
      </w:r>
      <w:r>
        <w:t>by</w:t>
      </w:r>
      <w:r w:rsidRPr="00E50C54">
        <w:t xml:space="preserve"> Committee member Ahmed Amin Fathalla (dissenting)</w:t>
      </w:r>
      <w:r>
        <w:t xml:space="preserve"> is annexed to the present Views.</w:t>
      </w:r>
    </w:p>
  </w:footnote>
  <w:footnote w:id="4">
    <w:p w14:paraId="5DA75FF0" w14:textId="7390324E"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the Committee’s </w:t>
      </w:r>
      <w:r>
        <w:rPr>
          <w:lang w:val="en-GB"/>
        </w:rPr>
        <w:t>g</w:t>
      </w:r>
      <w:r w:rsidRPr="00236128">
        <w:rPr>
          <w:lang w:val="en-GB"/>
        </w:rPr>
        <w:t xml:space="preserve">eneral </w:t>
      </w:r>
      <w:r>
        <w:rPr>
          <w:lang w:val="en-GB"/>
        </w:rPr>
        <w:t>c</w:t>
      </w:r>
      <w:r w:rsidRPr="00236128">
        <w:rPr>
          <w:lang w:val="en-GB"/>
        </w:rPr>
        <w:t>omment No. 16</w:t>
      </w:r>
      <w:r>
        <w:rPr>
          <w:lang w:val="en-GB"/>
        </w:rPr>
        <w:t xml:space="preserve"> (1988) on the right to privacy</w:t>
      </w:r>
      <w:r w:rsidRPr="00236128">
        <w:rPr>
          <w:lang w:val="en-GB"/>
        </w:rPr>
        <w:t xml:space="preserve">, para. 4. </w:t>
      </w:r>
    </w:p>
  </w:footnote>
  <w:footnote w:id="5">
    <w:p w14:paraId="791874FE" w14:textId="7255DDD1"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the Committee’s </w:t>
      </w:r>
      <w:r>
        <w:rPr>
          <w:lang w:val="en-GB"/>
        </w:rPr>
        <w:t>g</w:t>
      </w:r>
      <w:r w:rsidRPr="00236128">
        <w:rPr>
          <w:lang w:val="en-GB"/>
        </w:rPr>
        <w:t xml:space="preserve">eneral </w:t>
      </w:r>
      <w:r>
        <w:rPr>
          <w:lang w:val="en-GB"/>
        </w:rPr>
        <w:t>c</w:t>
      </w:r>
      <w:r w:rsidRPr="00236128">
        <w:rPr>
          <w:lang w:val="en-GB"/>
        </w:rPr>
        <w:t>omment No. 22</w:t>
      </w:r>
      <w:r>
        <w:rPr>
          <w:lang w:val="en-GB"/>
        </w:rPr>
        <w:t xml:space="preserve"> (1993) on the right to freedom of thought</w:t>
      </w:r>
      <w:r w:rsidRPr="00236128">
        <w:rPr>
          <w:lang w:val="en-GB"/>
        </w:rPr>
        <w:t xml:space="preserve">, </w:t>
      </w:r>
      <w:r>
        <w:rPr>
          <w:lang w:val="en-GB"/>
        </w:rPr>
        <w:t xml:space="preserve">conscience and religion, </w:t>
      </w:r>
      <w:r w:rsidRPr="00236128">
        <w:rPr>
          <w:lang w:val="en-GB"/>
        </w:rPr>
        <w:t>para</w:t>
      </w:r>
      <w:r>
        <w:rPr>
          <w:lang w:val="en-GB"/>
        </w:rPr>
        <w:t>.</w:t>
      </w:r>
      <w:r w:rsidRPr="00236128">
        <w:rPr>
          <w:lang w:val="en-GB"/>
        </w:rPr>
        <w:t xml:space="preserve"> 2. </w:t>
      </w:r>
    </w:p>
  </w:footnote>
  <w:footnote w:id="6">
    <w:p w14:paraId="345EB78E" w14:textId="7B897115"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the Committee’s </w:t>
      </w:r>
      <w:r w:rsidRPr="00E27706">
        <w:rPr>
          <w:lang w:val="en-GB"/>
        </w:rPr>
        <w:t xml:space="preserve">general comment </w:t>
      </w:r>
      <w:r w:rsidRPr="00236128">
        <w:rPr>
          <w:lang w:val="en-GB"/>
        </w:rPr>
        <w:t>No. 25</w:t>
      </w:r>
      <w:r>
        <w:rPr>
          <w:lang w:val="en-GB"/>
        </w:rPr>
        <w:t xml:space="preserve"> (1996) on participation in </w:t>
      </w:r>
      <w:r w:rsidR="00BC4E15">
        <w:rPr>
          <w:lang w:val="en-GB"/>
        </w:rPr>
        <w:t>public affairs and the right to </w:t>
      </w:r>
      <w:r>
        <w:rPr>
          <w:lang w:val="en-GB"/>
        </w:rPr>
        <w:t>vote</w:t>
      </w:r>
      <w:r w:rsidRPr="00236128">
        <w:rPr>
          <w:lang w:val="en-GB"/>
        </w:rPr>
        <w:t xml:space="preserve">, para. 21. </w:t>
      </w:r>
    </w:p>
  </w:footnote>
  <w:footnote w:id="7">
    <w:p w14:paraId="30B482CD" w14:textId="3DB82256"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communication No. 488/1992, </w:t>
      </w:r>
      <w:r w:rsidRPr="00236128">
        <w:rPr>
          <w:i/>
          <w:lang w:val="en-GB"/>
        </w:rPr>
        <w:t>Toonen v</w:t>
      </w:r>
      <w:r>
        <w:rPr>
          <w:i/>
          <w:lang w:val="en-GB"/>
        </w:rPr>
        <w:t>.</w:t>
      </w:r>
      <w:r w:rsidRPr="00236128">
        <w:rPr>
          <w:i/>
          <w:lang w:val="en-GB"/>
        </w:rPr>
        <w:t xml:space="preserve"> Australia</w:t>
      </w:r>
      <w:r w:rsidRPr="00236128">
        <w:rPr>
          <w:lang w:val="en-GB"/>
        </w:rPr>
        <w:t xml:space="preserve">, Views adopted </w:t>
      </w:r>
      <w:r>
        <w:rPr>
          <w:lang w:val="en-GB"/>
        </w:rPr>
        <w:t xml:space="preserve">on </w:t>
      </w:r>
      <w:r w:rsidRPr="00236128">
        <w:rPr>
          <w:lang w:val="en-GB"/>
        </w:rPr>
        <w:t>31 March 1994, para. 8.3.</w:t>
      </w:r>
    </w:p>
  </w:footnote>
  <w:footnote w:id="8">
    <w:p w14:paraId="180ABF80" w14:textId="46966F0E"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w:t>
      </w:r>
      <w:r w:rsidRPr="00236128">
        <w:rPr>
          <w:i/>
          <w:lang w:val="en-GB"/>
        </w:rPr>
        <w:t>Judd v. McKeon</w:t>
      </w:r>
      <w:r w:rsidRPr="00236128">
        <w:rPr>
          <w:lang w:val="en-GB"/>
        </w:rPr>
        <w:t xml:space="preserve"> </w:t>
      </w:r>
      <w:r>
        <w:rPr>
          <w:lang w:val="en-GB"/>
        </w:rPr>
        <w:t>[</w:t>
      </w:r>
      <w:r w:rsidRPr="00236128">
        <w:rPr>
          <w:lang w:val="en-GB"/>
        </w:rPr>
        <w:t>1926</w:t>
      </w:r>
      <w:r>
        <w:rPr>
          <w:lang w:val="en-GB"/>
        </w:rPr>
        <w:t>]</w:t>
      </w:r>
      <w:r w:rsidRPr="00236128">
        <w:rPr>
          <w:lang w:val="en-GB"/>
        </w:rPr>
        <w:t xml:space="preserve"> 38 </w:t>
      </w:r>
      <w:r w:rsidRPr="00236128">
        <w:rPr>
          <w:i/>
          <w:lang w:val="en-GB"/>
        </w:rPr>
        <w:t>Commonwealth Law Reports</w:t>
      </w:r>
      <w:r w:rsidRPr="00236128">
        <w:rPr>
          <w:lang w:val="en-GB"/>
        </w:rPr>
        <w:t xml:space="preserve"> 380; </w:t>
      </w:r>
      <w:r w:rsidRPr="00236128">
        <w:rPr>
          <w:i/>
          <w:lang w:val="en-GB"/>
        </w:rPr>
        <w:t>Lubcke v. Little</w:t>
      </w:r>
      <w:r w:rsidRPr="00236128">
        <w:rPr>
          <w:lang w:val="en-GB"/>
        </w:rPr>
        <w:t xml:space="preserve"> [1970] </w:t>
      </w:r>
      <w:r w:rsidRPr="00236128">
        <w:rPr>
          <w:i/>
          <w:lang w:val="en-GB"/>
        </w:rPr>
        <w:t>Victorian Reports</w:t>
      </w:r>
      <w:r w:rsidRPr="00236128">
        <w:rPr>
          <w:lang w:val="en-GB"/>
        </w:rPr>
        <w:t xml:space="preserve"> 807; </w:t>
      </w:r>
      <w:r w:rsidRPr="00236128">
        <w:rPr>
          <w:i/>
          <w:lang w:val="en-GB"/>
        </w:rPr>
        <w:t>Faderson v. Bridger</w:t>
      </w:r>
      <w:r w:rsidRPr="00236128">
        <w:rPr>
          <w:lang w:val="en-GB"/>
        </w:rPr>
        <w:t xml:space="preserve"> </w:t>
      </w:r>
      <w:r>
        <w:rPr>
          <w:lang w:val="en-GB"/>
        </w:rPr>
        <w:t>[</w:t>
      </w:r>
      <w:r w:rsidRPr="00236128">
        <w:rPr>
          <w:lang w:val="en-GB"/>
        </w:rPr>
        <w:t>1971</w:t>
      </w:r>
      <w:r>
        <w:rPr>
          <w:lang w:val="en-GB"/>
        </w:rPr>
        <w:t>]</w:t>
      </w:r>
      <w:r w:rsidRPr="00236128">
        <w:rPr>
          <w:lang w:val="en-GB"/>
        </w:rPr>
        <w:t xml:space="preserve"> 126 </w:t>
      </w:r>
      <w:r w:rsidRPr="008F0CF0">
        <w:rPr>
          <w:i/>
          <w:lang w:val="en-GB"/>
        </w:rPr>
        <w:t>Commonwealth Law Reports</w:t>
      </w:r>
      <w:r w:rsidRPr="00236128">
        <w:rPr>
          <w:lang w:val="en-GB"/>
        </w:rPr>
        <w:t xml:space="preserve"> 271; </w:t>
      </w:r>
      <w:r>
        <w:rPr>
          <w:lang w:val="en-GB"/>
        </w:rPr>
        <w:t xml:space="preserve">and </w:t>
      </w:r>
      <w:r w:rsidRPr="00236128">
        <w:rPr>
          <w:i/>
          <w:lang w:val="en-GB"/>
        </w:rPr>
        <w:t>O’Brien v</w:t>
      </w:r>
      <w:r>
        <w:rPr>
          <w:i/>
          <w:lang w:val="en-GB"/>
        </w:rPr>
        <w:t>. </w:t>
      </w:r>
      <w:r w:rsidRPr="00236128">
        <w:rPr>
          <w:i/>
          <w:lang w:val="en-GB"/>
        </w:rPr>
        <w:t>Warde</w:t>
      </w:r>
      <w:r>
        <w:rPr>
          <w:i/>
          <w:lang w:val="en-GB"/>
        </w:rPr>
        <w:t>n</w:t>
      </w:r>
      <w:r w:rsidRPr="00236128">
        <w:rPr>
          <w:lang w:val="en-GB"/>
        </w:rPr>
        <w:t xml:space="preserve"> </w:t>
      </w:r>
      <w:r>
        <w:rPr>
          <w:lang w:val="en-GB"/>
        </w:rPr>
        <w:t>[</w:t>
      </w:r>
      <w:r w:rsidRPr="00236128">
        <w:rPr>
          <w:lang w:val="en-GB"/>
        </w:rPr>
        <w:t>1981</w:t>
      </w:r>
      <w:r>
        <w:rPr>
          <w:lang w:val="en-GB"/>
        </w:rPr>
        <w:t>]</w:t>
      </w:r>
      <w:r w:rsidRPr="00236128">
        <w:rPr>
          <w:lang w:val="en-GB"/>
        </w:rPr>
        <w:t xml:space="preserve"> 37 </w:t>
      </w:r>
      <w:r w:rsidRPr="00236128">
        <w:rPr>
          <w:i/>
          <w:lang w:val="en-GB"/>
        </w:rPr>
        <w:t>Australian Capital Territory Records</w:t>
      </w:r>
      <w:r w:rsidRPr="00236128">
        <w:rPr>
          <w:lang w:val="en-GB"/>
        </w:rPr>
        <w:t xml:space="preserve"> 13. </w:t>
      </w:r>
    </w:p>
  </w:footnote>
  <w:footnote w:id="9">
    <w:p w14:paraId="6F6160D9" w14:textId="0D9E8ED1"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communications No. 1392/2005, </w:t>
      </w:r>
      <w:r w:rsidRPr="00236128">
        <w:rPr>
          <w:i/>
          <w:lang w:val="en-GB"/>
        </w:rPr>
        <w:t>Lukyanchik v. Belarus</w:t>
      </w:r>
      <w:r w:rsidRPr="00236128">
        <w:rPr>
          <w:lang w:val="en-GB"/>
        </w:rPr>
        <w:t xml:space="preserve">, Views adopted on 21 October 2009, para. 8.4; and No. 541/1993, </w:t>
      </w:r>
      <w:r w:rsidRPr="00236128">
        <w:rPr>
          <w:i/>
          <w:lang w:val="en-GB"/>
        </w:rPr>
        <w:t>Simms v. Jamaica</w:t>
      </w:r>
      <w:r w:rsidRPr="00236128">
        <w:rPr>
          <w:lang w:val="en-GB"/>
        </w:rPr>
        <w:t>, decision adopted on 3 April 1995, para</w:t>
      </w:r>
      <w:r>
        <w:rPr>
          <w:lang w:val="en-GB"/>
        </w:rPr>
        <w:t>.</w:t>
      </w:r>
      <w:r w:rsidRPr="00236128">
        <w:rPr>
          <w:lang w:val="en-GB"/>
        </w:rPr>
        <w:t xml:space="preserve"> 6.2.</w:t>
      </w:r>
    </w:p>
  </w:footnote>
  <w:footnote w:id="10">
    <w:p w14:paraId="05CD4C63" w14:textId="37F74FE3"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Marc Bossuyt, </w:t>
      </w:r>
      <w:r w:rsidRPr="00236128">
        <w:rPr>
          <w:i/>
          <w:lang w:val="en-GB"/>
        </w:rPr>
        <w:t>Guide to the “travaux préparatoires” of the International Covenant on Civil and Political Rights</w:t>
      </w:r>
      <w:r w:rsidRPr="00236128">
        <w:rPr>
          <w:lang w:val="en-GB"/>
        </w:rPr>
        <w:t xml:space="preserve"> (</w:t>
      </w:r>
      <w:r>
        <w:rPr>
          <w:lang w:val="en-GB"/>
        </w:rPr>
        <w:t xml:space="preserve">Dordrecht, Martinus Nijhoff, </w:t>
      </w:r>
      <w:r w:rsidRPr="00236128">
        <w:rPr>
          <w:lang w:val="en-GB"/>
        </w:rPr>
        <w:t xml:space="preserve">1987), p. 362. </w:t>
      </w:r>
    </w:p>
  </w:footnote>
  <w:footnote w:id="11">
    <w:p w14:paraId="2FF826A4" w14:textId="51805F9C"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t xml:space="preserve">Ibid. </w:t>
      </w:r>
      <w:r>
        <w:rPr>
          <w:lang w:val="en-GB"/>
        </w:rPr>
        <w:t>See</w:t>
      </w:r>
      <w:r w:rsidRPr="00236128">
        <w:rPr>
          <w:lang w:val="en-GB"/>
        </w:rPr>
        <w:t xml:space="preserve"> also communications No. 1155/2003, </w:t>
      </w:r>
      <w:r w:rsidRPr="00236128">
        <w:rPr>
          <w:i/>
          <w:lang w:val="en-GB"/>
        </w:rPr>
        <w:t>Leirv</w:t>
      </w:r>
      <w:r>
        <w:rPr>
          <w:i/>
          <w:lang w:val="en-GB"/>
        </w:rPr>
        <w:t>å</w:t>
      </w:r>
      <w:r w:rsidRPr="00236128">
        <w:rPr>
          <w:i/>
          <w:lang w:val="en-GB"/>
        </w:rPr>
        <w:t xml:space="preserve">g </w:t>
      </w:r>
      <w:r>
        <w:rPr>
          <w:i/>
          <w:lang w:val="en-GB"/>
        </w:rPr>
        <w:t xml:space="preserve">et al. </w:t>
      </w:r>
      <w:r w:rsidRPr="00236128">
        <w:rPr>
          <w:i/>
          <w:lang w:val="en-GB"/>
        </w:rPr>
        <w:t>v. Norway</w:t>
      </w:r>
      <w:r w:rsidRPr="00236128">
        <w:rPr>
          <w:lang w:val="en-GB"/>
        </w:rPr>
        <w:t>, Views adopted on 3</w:t>
      </w:r>
      <w:r>
        <w:rPr>
          <w:lang w:val="en-GB"/>
        </w:rPr>
        <w:t> </w:t>
      </w:r>
      <w:r w:rsidRPr="00236128">
        <w:rPr>
          <w:lang w:val="en-GB"/>
        </w:rPr>
        <w:t xml:space="preserve">November 2004, para. 14.2; No. 878/1999, </w:t>
      </w:r>
      <w:r w:rsidRPr="00236128">
        <w:rPr>
          <w:i/>
          <w:lang w:val="en-GB"/>
        </w:rPr>
        <w:t>Kang v. Republic of Korea</w:t>
      </w:r>
      <w:r w:rsidRPr="00236128">
        <w:rPr>
          <w:lang w:val="en-GB"/>
        </w:rPr>
        <w:t xml:space="preserve">, Views adopted on 15 July 2003; No. 40/1978, </w:t>
      </w:r>
      <w:r w:rsidRPr="00236128">
        <w:rPr>
          <w:i/>
          <w:lang w:val="en-GB"/>
        </w:rPr>
        <w:t>Hartikainen v. Finland</w:t>
      </w:r>
      <w:r w:rsidRPr="00236128">
        <w:rPr>
          <w:lang w:val="en-GB"/>
        </w:rPr>
        <w:t xml:space="preserve">, Views adopted on 9 April 1981; and No. 224/1987, </w:t>
      </w:r>
      <w:r w:rsidRPr="00236128">
        <w:rPr>
          <w:i/>
          <w:lang w:val="en-GB"/>
        </w:rPr>
        <w:t>A.</w:t>
      </w:r>
      <w:r>
        <w:rPr>
          <w:i/>
          <w:lang w:val="en-GB"/>
        </w:rPr>
        <w:t> </w:t>
      </w:r>
      <w:r w:rsidRPr="00236128">
        <w:rPr>
          <w:i/>
          <w:lang w:val="en-GB"/>
        </w:rPr>
        <w:t>and S.N. v. Norway</w:t>
      </w:r>
      <w:r w:rsidRPr="00236128">
        <w:rPr>
          <w:lang w:val="en-GB"/>
        </w:rPr>
        <w:t xml:space="preserve">, </w:t>
      </w:r>
      <w:r>
        <w:rPr>
          <w:lang w:val="en-GB"/>
        </w:rPr>
        <w:t>decision</w:t>
      </w:r>
      <w:r w:rsidRPr="00236128">
        <w:rPr>
          <w:lang w:val="en-GB"/>
        </w:rPr>
        <w:t xml:space="preserve"> adopted on 11 July 1988.</w:t>
      </w:r>
    </w:p>
  </w:footnote>
  <w:footnote w:id="12">
    <w:p w14:paraId="5DEF2FA7" w14:textId="59F7AA12" w:rsidR="00437D25" w:rsidRPr="00236128" w:rsidRDefault="00437D25" w:rsidP="00071B2D">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w:t>
      </w:r>
      <w:r w:rsidRPr="00236128">
        <w:rPr>
          <w:i/>
          <w:lang w:val="en-GB"/>
        </w:rPr>
        <w:t xml:space="preserve">X v. Austria </w:t>
      </w:r>
      <w:r>
        <w:rPr>
          <w:lang w:val="en-GB"/>
        </w:rPr>
        <w:t>(a</w:t>
      </w:r>
      <w:r w:rsidRPr="0009383E">
        <w:rPr>
          <w:lang w:val="en-GB"/>
        </w:rPr>
        <w:t>pplication No. 4982/71</w:t>
      </w:r>
      <w:r>
        <w:rPr>
          <w:lang w:val="en-GB"/>
        </w:rPr>
        <w:t>)</w:t>
      </w:r>
      <w:r w:rsidRPr="00236128">
        <w:rPr>
          <w:lang w:val="en-GB"/>
        </w:rPr>
        <w:t xml:space="preserve">, </w:t>
      </w:r>
      <w:r>
        <w:rPr>
          <w:lang w:val="en-GB"/>
        </w:rPr>
        <w:t>decision of 22 March 1972</w:t>
      </w:r>
      <w:r w:rsidRPr="00236128">
        <w:rPr>
          <w:lang w:val="en-GB"/>
        </w:rPr>
        <w:t xml:space="preserve">. </w:t>
      </w:r>
    </w:p>
  </w:footnote>
  <w:footnote w:id="13">
    <w:p w14:paraId="002E420E" w14:textId="57EA602C" w:rsidR="00437D25" w:rsidRPr="00236128" w:rsidRDefault="00437D25" w:rsidP="00857CD0">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t xml:space="preserve">See communication No. 954/2000, </w:t>
      </w:r>
      <w:r w:rsidRPr="00236128">
        <w:rPr>
          <w:i/>
          <w:lang w:val="en-GB"/>
        </w:rPr>
        <w:t>Minogue v. Australia</w:t>
      </w:r>
      <w:r w:rsidRPr="00236128">
        <w:rPr>
          <w:lang w:val="en-GB"/>
        </w:rPr>
        <w:t>, decision adopted on 2 November 2004, para. 6.9.</w:t>
      </w:r>
    </w:p>
  </w:footnote>
  <w:footnote w:id="14">
    <w:p w14:paraId="042A3ED2" w14:textId="2153CD6A" w:rsidR="00437D25" w:rsidRPr="00236128" w:rsidRDefault="00437D25" w:rsidP="00857CD0">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w:t>
      </w:r>
      <w:r w:rsidRPr="00236128">
        <w:rPr>
          <w:lang w:val="en-GB"/>
        </w:rPr>
        <w:t xml:space="preserve"> the Committee’s </w:t>
      </w:r>
      <w:r>
        <w:rPr>
          <w:lang w:val="en-GB"/>
        </w:rPr>
        <w:t>g</w:t>
      </w:r>
      <w:r w:rsidRPr="00236128">
        <w:rPr>
          <w:lang w:val="en-GB"/>
        </w:rPr>
        <w:t xml:space="preserve">eneral </w:t>
      </w:r>
      <w:r>
        <w:rPr>
          <w:lang w:val="en-GB"/>
        </w:rPr>
        <w:t>c</w:t>
      </w:r>
      <w:r w:rsidRPr="00236128">
        <w:rPr>
          <w:lang w:val="en-GB"/>
        </w:rPr>
        <w:t>omment No. 25, para</w:t>
      </w:r>
      <w:r>
        <w:rPr>
          <w:lang w:val="en-GB"/>
        </w:rPr>
        <w:t>s</w:t>
      </w:r>
      <w:r w:rsidRPr="00236128">
        <w:rPr>
          <w:lang w:val="en-GB"/>
        </w:rPr>
        <w:t>. 3</w:t>
      </w:r>
      <w:r>
        <w:rPr>
          <w:lang w:val="en-GB"/>
        </w:rPr>
        <w:t>-</w:t>
      </w:r>
      <w:r w:rsidRPr="00236128">
        <w:rPr>
          <w:lang w:val="en-GB"/>
        </w:rPr>
        <w:t>4</w:t>
      </w:r>
      <w:r>
        <w:rPr>
          <w:lang w:val="en-GB"/>
        </w:rPr>
        <w:t xml:space="preserve"> and</w:t>
      </w:r>
      <w:r w:rsidRPr="00236128">
        <w:rPr>
          <w:lang w:val="en-GB"/>
        </w:rPr>
        <w:t xml:space="preserve"> 6</w:t>
      </w:r>
      <w:r>
        <w:rPr>
          <w:lang w:val="en-GB"/>
        </w:rPr>
        <w:t>-</w:t>
      </w:r>
      <w:r w:rsidRPr="00236128">
        <w:rPr>
          <w:lang w:val="en-GB"/>
        </w:rPr>
        <w:t xml:space="preserve">7. </w:t>
      </w:r>
    </w:p>
  </w:footnote>
  <w:footnote w:id="15">
    <w:p w14:paraId="63B8ABB2" w14:textId="77777777" w:rsidR="00437D25" w:rsidRPr="00E27706" w:rsidRDefault="00437D25" w:rsidP="00857CD0">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sidRPr="000510BD">
        <w:rPr>
          <w:lang w:val="en-GB"/>
        </w:rPr>
        <w:t>Ibid., para. 14.</w:t>
      </w:r>
    </w:p>
  </w:footnote>
  <w:footnote w:id="16">
    <w:p w14:paraId="3E9FA85A" w14:textId="4B7BC0B7" w:rsidR="00437D25" w:rsidRPr="00236128" w:rsidRDefault="00437D25" w:rsidP="00857CD0">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t xml:space="preserve">See the Committee’s </w:t>
      </w:r>
      <w:r>
        <w:rPr>
          <w:lang w:val="en-GB"/>
        </w:rPr>
        <w:t>g</w:t>
      </w:r>
      <w:r w:rsidRPr="00236128">
        <w:rPr>
          <w:lang w:val="en-GB"/>
        </w:rPr>
        <w:t xml:space="preserve">eneral </w:t>
      </w:r>
      <w:r>
        <w:rPr>
          <w:lang w:val="en-GB"/>
        </w:rPr>
        <w:t>c</w:t>
      </w:r>
      <w:r w:rsidRPr="00236128">
        <w:rPr>
          <w:lang w:val="en-GB"/>
        </w:rPr>
        <w:t>omment No. 22, para</w:t>
      </w:r>
      <w:r>
        <w:rPr>
          <w:lang w:val="en-GB"/>
        </w:rPr>
        <w:t>.</w:t>
      </w:r>
      <w:r w:rsidRPr="00236128">
        <w:rPr>
          <w:lang w:val="en-GB"/>
        </w:rPr>
        <w:t xml:space="preserve"> 3.</w:t>
      </w:r>
    </w:p>
  </w:footnote>
  <w:footnote w:id="17">
    <w:p w14:paraId="0E0A52A0" w14:textId="3D328C0F" w:rsidR="00437D25" w:rsidRPr="00236128" w:rsidRDefault="00437D25" w:rsidP="00857CD0">
      <w:pPr>
        <w:pStyle w:val="FootnoteText"/>
        <w:rPr>
          <w:lang w:val="en-GB"/>
        </w:rPr>
      </w:pPr>
      <w:r w:rsidRPr="00236128">
        <w:rPr>
          <w:lang w:val="en-GB"/>
        </w:rPr>
        <w:tab/>
      </w:r>
      <w:r w:rsidRPr="00236128">
        <w:rPr>
          <w:rStyle w:val="FootnoteReference"/>
          <w:lang w:val="en-GB"/>
        </w:rPr>
        <w:footnoteRef/>
      </w:r>
      <w:r w:rsidRPr="00236128">
        <w:rPr>
          <w:lang w:val="en-GB"/>
        </w:rPr>
        <w:tab/>
        <w:t xml:space="preserve">See the Committee’s </w:t>
      </w:r>
      <w:r>
        <w:rPr>
          <w:lang w:val="en-GB"/>
        </w:rPr>
        <w:t>g</w:t>
      </w:r>
      <w:r w:rsidRPr="00236128">
        <w:rPr>
          <w:lang w:val="en-GB"/>
        </w:rPr>
        <w:t xml:space="preserve">eneral </w:t>
      </w:r>
      <w:r>
        <w:rPr>
          <w:lang w:val="en-GB"/>
        </w:rPr>
        <w:t>c</w:t>
      </w:r>
      <w:r w:rsidRPr="00236128">
        <w:rPr>
          <w:lang w:val="en-GB"/>
        </w:rPr>
        <w:t>omment No. 34</w:t>
      </w:r>
      <w:r>
        <w:rPr>
          <w:lang w:val="en-GB"/>
        </w:rPr>
        <w:t xml:space="preserve"> (2011) on liberty and security of person</w:t>
      </w:r>
      <w:r w:rsidRPr="00236128">
        <w:rPr>
          <w:lang w:val="en-GB"/>
        </w:rPr>
        <w:t xml:space="preserve">, paras. 9-10. </w:t>
      </w:r>
    </w:p>
  </w:footnote>
  <w:footnote w:id="18">
    <w:p w14:paraId="4EEF4691" w14:textId="7FA665EE" w:rsidR="00437D25" w:rsidRPr="00236128" w:rsidRDefault="00437D25" w:rsidP="00857CD0">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r>
      <w:r>
        <w:rPr>
          <w:lang w:val="en-GB"/>
        </w:rPr>
        <w:t>See g</w:t>
      </w:r>
      <w:r w:rsidRPr="00236128">
        <w:rPr>
          <w:lang w:val="en-GB"/>
        </w:rPr>
        <w:t>eneral comment No. 22, para</w:t>
      </w:r>
      <w:r>
        <w:rPr>
          <w:lang w:val="en-GB"/>
        </w:rPr>
        <w:t>.</w:t>
      </w:r>
      <w:r w:rsidRPr="00236128">
        <w:rPr>
          <w:lang w:val="en-GB"/>
        </w:rPr>
        <w:t xml:space="preserve"> 2.</w:t>
      </w:r>
    </w:p>
  </w:footnote>
  <w:footnote w:id="19">
    <w:p w14:paraId="4C730B05" w14:textId="314AC451" w:rsidR="00437D25" w:rsidRPr="00E27706" w:rsidRDefault="00437D25" w:rsidP="00857CD0">
      <w:pPr>
        <w:pStyle w:val="FootnoteText"/>
        <w:rPr>
          <w:lang w:val="en-GB"/>
        </w:rPr>
      </w:pPr>
      <w:r w:rsidRPr="00236128">
        <w:rPr>
          <w:lang w:val="en-GB"/>
        </w:rPr>
        <w:tab/>
      </w:r>
      <w:r w:rsidRPr="00236128">
        <w:rPr>
          <w:rStyle w:val="FootnoteReference"/>
          <w:lang w:val="en-GB"/>
        </w:rPr>
        <w:footnoteRef/>
      </w:r>
      <w:r w:rsidRPr="00236128">
        <w:rPr>
          <w:lang w:val="en-GB"/>
        </w:rPr>
        <w:t xml:space="preserve"> </w:t>
      </w:r>
      <w:r w:rsidRPr="00236128">
        <w:rPr>
          <w:lang w:val="en-GB"/>
        </w:rPr>
        <w:tab/>
        <w:t>See the i</w:t>
      </w:r>
      <w:r w:rsidRPr="00AE2E72">
        <w:rPr>
          <w:lang w:val="en-GB"/>
        </w:rPr>
        <w:t>nterim report of the Special rapporteur on freedom of religion or belief</w:t>
      </w:r>
      <w:r w:rsidRPr="00236128">
        <w:rPr>
          <w:lang w:val="en-GB"/>
        </w:rPr>
        <w:t xml:space="preserve"> (</w:t>
      </w:r>
      <w:r w:rsidRPr="00AE2E72">
        <w:rPr>
          <w:lang w:val="en-GB"/>
        </w:rPr>
        <w:t>A/64/159</w:t>
      </w:r>
      <w:r w:rsidRPr="00236128">
        <w:rPr>
          <w:lang w:val="en-GB"/>
        </w:rPr>
        <w:t>)</w:t>
      </w:r>
      <w:r w:rsidRPr="00AE2E72">
        <w:rPr>
          <w:lang w:val="en-GB"/>
        </w:rPr>
        <w:t>, para. 31.</w:t>
      </w:r>
    </w:p>
  </w:footnote>
  <w:footnote w:id="20">
    <w:p w14:paraId="1918B084" w14:textId="36464C35" w:rsidR="00437D25" w:rsidRPr="005B0063" w:rsidRDefault="00437D25" w:rsidP="00236128">
      <w:pPr>
        <w:pStyle w:val="FootnoteText"/>
        <w:rPr>
          <w:szCs w:val="18"/>
        </w:rPr>
      </w:pPr>
      <w:r>
        <w:rPr>
          <w:szCs w:val="18"/>
        </w:rPr>
        <w:tab/>
      </w:r>
      <w:r w:rsidRPr="00466B12">
        <w:rPr>
          <w:rStyle w:val="FootnoteReference"/>
        </w:rPr>
        <w:footnoteRef/>
      </w:r>
      <w:r>
        <w:rPr>
          <w:szCs w:val="18"/>
        </w:rPr>
        <w:tab/>
      </w:r>
      <w:r w:rsidRPr="00466B12">
        <w:rPr>
          <w:szCs w:val="18"/>
        </w:rPr>
        <w:t xml:space="preserve">See communications No. 2121/2011, </w:t>
      </w:r>
      <w:r w:rsidRPr="00236128">
        <w:rPr>
          <w:i/>
          <w:szCs w:val="18"/>
        </w:rPr>
        <w:t>F.A.H. et al</w:t>
      </w:r>
      <w:r w:rsidRPr="00466B12">
        <w:rPr>
          <w:i/>
          <w:szCs w:val="18"/>
        </w:rPr>
        <w:t>.</w:t>
      </w:r>
      <w:r w:rsidRPr="00236128">
        <w:rPr>
          <w:i/>
          <w:szCs w:val="18"/>
        </w:rPr>
        <w:t xml:space="preserve"> v. Colombia</w:t>
      </w:r>
      <w:r w:rsidRPr="00466B12">
        <w:rPr>
          <w:szCs w:val="18"/>
        </w:rPr>
        <w:t xml:space="preserve">, decision adopted on 28 March 2017, </w:t>
      </w:r>
      <w:r w:rsidRPr="005B0063">
        <w:rPr>
          <w:szCs w:val="18"/>
        </w:rPr>
        <w:t>para</w:t>
      </w:r>
      <w:r>
        <w:rPr>
          <w:szCs w:val="18"/>
        </w:rPr>
        <w:t>.</w:t>
      </w:r>
      <w:r w:rsidRPr="005B0063">
        <w:rPr>
          <w:szCs w:val="18"/>
        </w:rPr>
        <w:t xml:space="preserve"> 8.5</w:t>
      </w:r>
      <w:r w:rsidRPr="00236128">
        <w:rPr>
          <w:szCs w:val="18"/>
        </w:rPr>
        <w:t>;</w:t>
      </w:r>
      <w:r w:rsidRPr="005B0063">
        <w:rPr>
          <w:szCs w:val="18"/>
        </w:rPr>
        <w:t xml:space="preserve"> and No. 2030/2011, </w:t>
      </w:r>
      <w:r w:rsidRPr="00236128">
        <w:rPr>
          <w:i/>
          <w:szCs w:val="18"/>
        </w:rPr>
        <w:t>Poliakov v. Belarus</w:t>
      </w:r>
      <w:r w:rsidRPr="005B0063">
        <w:rPr>
          <w:szCs w:val="18"/>
        </w:rPr>
        <w:t>,</w:t>
      </w:r>
      <w:r w:rsidRPr="00236128">
        <w:rPr>
          <w:szCs w:val="18"/>
        </w:rPr>
        <w:t xml:space="preserve"> </w:t>
      </w:r>
      <w:r w:rsidRPr="005B0063">
        <w:rPr>
          <w:szCs w:val="18"/>
        </w:rPr>
        <w:t>Views adopted on 17 July 2014, para. 7.4.</w:t>
      </w:r>
    </w:p>
  </w:footnote>
  <w:footnote w:id="21">
    <w:p w14:paraId="5EA82C36" w14:textId="7EEE2745" w:rsidR="00437D25" w:rsidRPr="00E27706" w:rsidRDefault="00437D25" w:rsidP="00857CD0">
      <w:pPr>
        <w:pStyle w:val="FootnoteText"/>
        <w:rPr>
          <w:lang w:val="en-GB"/>
        </w:rPr>
      </w:pPr>
      <w:r w:rsidRPr="00236128">
        <w:rPr>
          <w:lang w:val="en-GB"/>
        </w:rPr>
        <w:tab/>
      </w:r>
      <w:r w:rsidRPr="00236128">
        <w:rPr>
          <w:rStyle w:val="FootnoteReference"/>
          <w:lang w:val="en-GB"/>
        </w:rPr>
        <w:footnoteRef/>
      </w:r>
      <w:r w:rsidRPr="00236128">
        <w:rPr>
          <w:lang w:val="en-GB"/>
        </w:rPr>
        <w:tab/>
        <w:t xml:space="preserve">See communication No. 954/2000, </w:t>
      </w:r>
      <w:r w:rsidRPr="00236128">
        <w:rPr>
          <w:i/>
          <w:lang w:val="en-GB"/>
        </w:rPr>
        <w:t>Minogue v. Australia</w:t>
      </w:r>
      <w:r w:rsidRPr="00236128">
        <w:rPr>
          <w:lang w:val="en-GB"/>
        </w:rPr>
        <w:t xml:space="preserve">, decision adopted on 2 November 2004, para. </w:t>
      </w:r>
      <w:r w:rsidRPr="005B0063">
        <w:rPr>
          <w:lang w:val="en-GB"/>
        </w:rPr>
        <w:t>6.9.</w:t>
      </w:r>
    </w:p>
  </w:footnote>
  <w:footnote w:id="22">
    <w:p w14:paraId="74B4FCD0" w14:textId="7FE9EFE0" w:rsidR="00437D25" w:rsidRPr="005B0063" w:rsidRDefault="00437D25" w:rsidP="00857CD0">
      <w:pPr>
        <w:pStyle w:val="FootnoteText"/>
        <w:rPr>
          <w:lang w:val="en-GB"/>
        </w:rPr>
      </w:pPr>
      <w:r w:rsidRPr="00E27706">
        <w:rPr>
          <w:lang w:val="en-GB"/>
        </w:rPr>
        <w:tab/>
      </w:r>
      <w:r w:rsidRPr="00236128">
        <w:rPr>
          <w:rStyle w:val="FootnoteReference"/>
          <w:lang w:val="en-GB"/>
        </w:rPr>
        <w:footnoteRef/>
      </w:r>
      <w:r w:rsidRPr="005B0063">
        <w:rPr>
          <w:lang w:val="en-GB"/>
        </w:rPr>
        <w:t xml:space="preserve"> </w:t>
      </w:r>
      <w:r w:rsidRPr="005B0063">
        <w:rPr>
          <w:lang w:val="en-GB"/>
        </w:rPr>
        <w:tab/>
        <w:t xml:space="preserve">See </w:t>
      </w:r>
      <w:r>
        <w:rPr>
          <w:lang w:val="en-GB"/>
        </w:rPr>
        <w:t>g</w:t>
      </w:r>
      <w:r w:rsidRPr="005B0063">
        <w:rPr>
          <w:lang w:val="en-GB"/>
        </w:rPr>
        <w:t xml:space="preserve">eneral </w:t>
      </w:r>
      <w:r>
        <w:rPr>
          <w:lang w:val="en-GB"/>
        </w:rPr>
        <w:t>c</w:t>
      </w:r>
      <w:r w:rsidRPr="005B0063">
        <w:rPr>
          <w:lang w:val="en-GB"/>
        </w:rPr>
        <w:t>omment No. 25, para. 21.</w:t>
      </w:r>
    </w:p>
  </w:footnote>
  <w:footnote w:id="23">
    <w:p w14:paraId="5E53B8AA" w14:textId="77777777" w:rsidR="00437D25" w:rsidRPr="005B0063" w:rsidRDefault="00437D25" w:rsidP="00857CD0">
      <w:pPr>
        <w:pStyle w:val="FootnoteText"/>
        <w:rPr>
          <w:lang w:val="en-GB"/>
        </w:rPr>
      </w:pPr>
      <w:r w:rsidRPr="005B0063">
        <w:rPr>
          <w:lang w:val="en-GB"/>
        </w:rPr>
        <w:tab/>
      </w:r>
      <w:r w:rsidRPr="00236128">
        <w:rPr>
          <w:rStyle w:val="FootnoteReference"/>
          <w:lang w:val="en-GB"/>
        </w:rPr>
        <w:footnoteRef/>
      </w:r>
      <w:r w:rsidRPr="005B0063">
        <w:rPr>
          <w:lang w:val="en-GB"/>
        </w:rPr>
        <w:t xml:space="preserve"> </w:t>
      </w:r>
      <w:r w:rsidRPr="005B0063">
        <w:rPr>
          <w:lang w:val="en-GB"/>
        </w:rPr>
        <w:tab/>
        <w:t>Ibid., para. 19.</w:t>
      </w:r>
    </w:p>
  </w:footnote>
  <w:footnote w:id="24">
    <w:p w14:paraId="4CE02A66" w14:textId="77777777" w:rsidR="00437D25" w:rsidRPr="00E27706" w:rsidRDefault="00437D25" w:rsidP="00857CD0">
      <w:pPr>
        <w:pStyle w:val="FootnoteText"/>
        <w:rPr>
          <w:lang w:val="en-GB"/>
        </w:rPr>
      </w:pPr>
      <w:r w:rsidRPr="005B0063">
        <w:rPr>
          <w:lang w:val="en-GB"/>
        </w:rPr>
        <w:tab/>
      </w:r>
      <w:r w:rsidRPr="00236128">
        <w:rPr>
          <w:rStyle w:val="FootnoteReference"/>
          <w:lang w:val="en-GB"/>
        </w:rPr>
        <w:footnoteRef/>
      </w:r>
      <w:r w:rsidRPr="005B0063">
        <w:rPr>
          <w:lang w:val="en-GB"/>
        </w:rPr>
        <w:t xml:space="preserve"> </w:t>
      </w:r>
      <w:r w:rsidRPr="005B0063">
        <w:rPr>
          <w:lang w:val="en-GB"/>
        </w:rPr>
        <w:tab/>
        <w:t>Ibid., para. 20.</w:t>
      </w:r>
      <w:r w:rsidRPr="00E27706">
        <w:rPr>
          <w:lang w:val="en-GB"/>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5C7B" w14:textId="053D2A29" w:rsidR="00437D25" w:rsidRPr="0048396A" w:rsidRDefault="00437D25" w:rsidP="00DE1018">
    <w:pPr>
      <w:pStyle w:val="Header"/>
    </w:pPr>
    <w:r>
      <w:t>CCPR/C</w:t>
    </w:r>
    <w:r>
      <w:rPr>
        <w:lang w:val="fr-CH"/>
      </w:rPr>
      <w:t>/120/</w:t>
    </w:r>
    <w:r>
      <w:t>D/</w:t>
    </w:r>
    <w:r>
      <w:rPr>
        <w:lang w:val="fr-CH"/>
      </w:rPr>
      <w:t>2237/2013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6E90" w14:textId="16871055" w:rsidR="00437D25" w:rsidRPr="00E9314F" w:rsidRDefault="00437D25" w:rsidP="00857CD0">
    <w:pPr>
      <w:pStyle w:val="Header"/>
      <w:jc w:val="right"/>
      <w:rPr>
        <w:lang w:val="fr-CH"/>
      </w:rPr>
    </w:pPr>
    <w:r>
      <w:t>CCPR/C</w:t>
    </w:r>
    <w:r>
      <w:rPr>
        <w:lang w:val="fr-CH"/>
      </w:rPr>
      <w:t>/</w:t>
    </w:r>
    <w:r>
      <w:t>1</w:t>
    </w:r>
    <w:r>
      <w:rPr>
        <w:lang w:val="fr-CH"/>
      </w:rPr>
      <w:t>20</w:t>
    </w:r>
    <w:r>
      <w:t>/D/2</w:t>
    </w:r>
    <w:r>
      <w:rPr>
        <w:lang w:val="fr-CH"/>
      </w:rPr>
      <w:t>237/2013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815"/>
    <w:multiLevelType w:val="hybridMultilevel"/>
    <w:tmpl w:val="E174AC74"/>
    <w:lvl w:ilvl="0" w:tplc="BDBED4F2">
      <w:start w:val="11"/>
      <w:numFmt w:val="decimal"/>
      <w:lvlText w:val="%1."/>
      <w:lvlJc w:val="left"/>
      <w:pPr>
        <w:tabs>
          <w:tab w:val="num" w:pos="0"/>
        </w:tabs>
        <w:ind w:left="360" w:hanging="360"/>
      </w:pPr>
      <w:rPr>
        <w:rFonts w:hint="default"/>
        <w:i w:val="0"/>
        <w:kern w:val="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E00A9"/>
    <w:multiLevelType w:val="hybridMultilevel"/>
    <w:tmpl w:val="0E7CF6F8"/>
    <w:lvl w:ilvl="0" w:tplc="213A27F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31A845DC"/>
    <w:multiLevelType w:val="multilevel"/>
    <w:tmpl w:val="CD888034"/>
    <w:lvl w:ilvl="0">
      <w:start w:val="1"/>
      <w:numFmt w:val="decimal"/>
      <w:lvlText w:val="%1."/>
      <w:lvlJc w:val="left"/>
      <w:pPr>
        <w:ind w:left="720" w:hanging="360"/>
      </w:pPr>
      <w:rPr>
        <w:rFonts w:hint="default"/>
        <w:b w:val="0"/>
        <w:i w:val="0"/>
        <w:sz w:val="18"/>
      </w:rPr>
    </w:lvl>
    <w:lvl w:ilvl="1">
      <w:start w:val="1"/>
      <w:numFmt w:val="decimal"/>
      <w:isLgl/>
      <w:lvlText w:val="%1.%2"/>
      <w:lvlJc w:val="left"/>
      <w:pPr>
        <w:ind w:left="825" w:hanging="465"/>
      </w:pPr>
      <w:rPr>
        <w:rFonts w:hint="default"/>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A616F1"/>
    <w:multiLevelType w:val="multilevel"/>
    <w:tmpl w:val="92D6AC44"/>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F5"/>
    <w:rsid w:val="00000F73"/>
    <w:rsid w:val="0000731A"/>
    <w:rsid w:val="00010E3E"/>
    <w:rsid w:val="00014FBC"/>
    <w:rsid w:val="00022056"/>
    <w:rsid w:val="00023EA1"/>
    <w:rsid w:val="0002467D"/>
    <w:rsid w:val="00024743"/>
    <w:rsid w:val="00025E21"/>
    <w:rsid w:val="00027673"/>
    <w:rsid w:val="00033D2B"/>
    <w:rsid w:val="00034888"/>
    <w:rsid w:val="000354A2"/>
    <w:rsid w:val="00041226"/>
    <w:rsid w:val="00043A1F"/>
    <w:rsid w:val="00043FD0"/>
    <w:rsid w:val="00046ABC"/>
    <w:rsid w:val="00046E31"/>
    <w:rsid w:val="00047B5E"/>
    <w:rsid w:val="000510BD"/>
    <w:rsid w:val="000514C2"/>
    <w:rsid w:val="000514FD"/>
    <w:rsid w:val="00051C65"/>
    <w:rsid w:val="00053C48"/>
    <w:rsid w:val="00055734"/>
    <w:rsid w:val="00055A27"/>
    <w:rsid w:val="00055BF4"/>
    <w:rsid w:val="000561D5"/>
    <w:rsid w:val="000562C5"/>
    <w:rsid w:val="000614E1"/>
    <w:rsid w:val="0007026A"/>
    <w:rsid w:val="00071B2D"/>
    <w:rsid w:val="000728A1"/>
    <w:rsid w:val="00074479"/>
    <w:rsid w:val="0007762F"/>
    <w:rsid w:val="0008294B"/>
    <w:rsid w:val="00083522"/>
    <w:rsid w:val="00084352"/>
    <w:rsid w:val="000846D1"/>
    <w:rsid w:val="00086541"/>
    <w:rsid w:val="00087FD4"/>
    <w:rsid w:val="00091D43"/>
    <w:rsid w:val="0009229C"/>
    <w:rsid w:val="00092937"/>
    <w:rsid w:val="00092D64"/>
    <w:rsid w:val="00095BCC"/>
    <w:rsid w:val="000A0671"/>
    <w:rsid w:val="000A544C"/>
    <w:rsid w:val="000A7783"/>
    <w:rsid w:val="000B02B3"/>
    <w:rsid w:val="000B41F5"/>
    <w:rsid w:val="000B4B6C"/>
    <w:rsid w:val="000B6FC7"/>
    <w:rsid w:val="000C0B18"/>
    <w:rsid w:val="000C1130"/>
    <w:rsid w:val="000C3454"/>
    <w:rsid w:val="000C45DF"/>
    <w:rsid w:val="000C77B5"/>
    <w:rsid w:val="000C78BB"/>
    <w:rsid w:val="000C7E40"/>
    <w:rsid w:val="000D3306"/>
    <w:rsid w:val="000E1115"/>
    <w:rsid w:val="000E29B4"/>
    <w:rsid w:val="000E5001"/>
    <w:rsid w:val="000E70C0"/>
    <w:rsid w:val="000E784E"/>
    <w:rsid w:val="000E7F00"/>
    <w:rsid w:val="000F0210"/>
    <w:rsid w:val="000F1891"/>
    <w:rsid w:val="000F21F6"/>
    <w:rsid w:val="000F5278"/>
    <w:rsid w:val="001046AC"/>
    <w:rsid w:val="00105B28"/>
    <w:rsid w:val="001062D2"/>
    <w:rsid w:val="00106E33"/>
    <w:rsid w:val="00111894"/>
    <w:rsid w:val="001119F6"/>
    <w:rsid w:val="00113A2D"/>
    <w:rsid w:val="00113F80"/>
    <w:rsid w:val="0011441C"/>
    <w:rsid w:val="00114B0C"/>
    <w:rsid w:val="0011676C"/>
    <w:rsid w:val="00117164"/>
    <w:rsid w:val="00123660"/>
    <w:rsid w:val="001278A4"/>
    <w:rsid w:val="00131662"/>
    <w:rsid w:val="00131EBC"/>
    <w:rsid w:val="0013310B"/>
    <w:rsid w:val="001363C4"/>
    <w:rsid w:val="001413EA"/>
    <w:rsid w:val="00141DF1"/>
    <w:rsid w:val="00145794"/>
    <w:rsid w:val="001476F2"/>
    <w:rsid w:val="0015111C"/>
    <w:rsid w:val="00155DF7"/>
    <w:rsid w:val="00165C4A"/>
    <w:rsid w:val="001712D0"/>
    <w:rsid w:val="00175209"/>
    <w:rsid w:val="00180CCA"/>
    <w:rsid w:val="00181396"/>
    <w:rsid w:val="00181EC5"/>
    <w:rsid w:val="00182416"/>
    <w:rsid w:val="0018460D"/>
    <w:rsid w:val="0019044A"/>
    <w:rsid w:val="001A317C"/>
    <w:rsid w:val="001B383A"/>
    <w:rsid w:val="001B46AE"/>
    <w:rsid w:val="001B6031"/>
    <w:rsid w:val="001C0623"/>
    <w:rsid w:val="001C19FE"/>
    <w:rsid w:val="001C4CD3"/>
    <w:rsid w:val="001C5D3C"/>
    <w:rsid w:val="001D0534"/>
    <w:rsid w:val="001D1106"/>
    <w:rsid w:val="001D16A0"/>
    <w:rsid w:val="001D2E86"/>
    <w:rsid w:val="001D3097"/>
    <w:rsid w:val="001D6AE9"/>
    <w:rsid w:val="001E29A4"/>
    <w:rsid w:val="001E42AE"/>
    <w:rsid w:val="001E4D99"/>
    <w:rsid w:val="001E59CC"/>
    <w:rsid w:val="001F3386"/>
    <w:rsid w:val="001F47A7"/>
    <w:rsid w:val="001F4D88"/>
    <w:rsid w:val="001F5531"/>
    <w:rsid w:val="001F5909"/>
    <w:rsid w:val="001F5D94"/>
    <w:rsid w:val="00202305"/>
    <w:rsid w:val="00202C2E"/>
    <w:rsid w:val="0020480A"/>
    <w:rsid w:val="00206BD2"/>
    <w:rsid w:val="0021293F"/>
    <w:rsid w:val="00213B94"/>
    <w:rsid w:val="0021547E"/>
    <w:rsid w:val="00217EFC"/>
    <w:rsid w:val="002215DF"/>
    <w:rsid w:val="002235F3"/>
    <w:rsid w:val="00224514"/>
    <w:rsid w:val="002251B5"/>
    <w:rsid w:val="00230DE3"/>
    <w:rsid w:val="00232A6D"/>
    <w:rsid w:val="00233B2B"/>
    <w:rsid w:val="00235327"/>
    <w:rsid w:val="002356D6"/>
    <w:rsid w:val="00236128"/>
    <w:rsid w:val="00237D88"/>
    <w:rsid w:val="00244E02"/>
    <w:rsid w:val="002450CE"/>
    <w:rsid w:val="00246337"/>
    <w:rsid w:val="00246FD2"/>
    <w:rsid w:val="00250014"/>
    <w:rsid w:val="00252ECD"/>
    <w:rsid w:val="00252EE4"/>
    <w:rsid w:val="002531FD"/>
    <w:rsid w:val="00253B24"/>
    <w:rsid w:val="00254E34"/>
    <w:rsid w:val="00261CB4"/>
    <w:rsid w:val="0026291E"/>
    <w:rsid w:val="0026544D"/>
    <w:rsid w:val="00271AC1"/>
    <w:rsid w:val="0027250F"/>
    <w:rsid w:val="00277A1B"/>
    <w:rsid w:val="00281315"/>
    <w:rsid w:val="00284CAC"/>
    <w:rsid w:val="002857DD"/>
    <w:rsid w:val="002878C0"/>
    <w:rsid w:val="00290861"/>
    <w:rsid w:val="00291F3B"/>
    <w:rsid w:val="0029494E"/>
    <w:rsid w:val="002972FE"/>
    <w:rsid w:val="002A0A69"/>
    <w:rsid w:val="002A2236"/>
    <w:rsid w:val="002A3158"/>
    <w:rsid w:val="002A3462"/>
    <w:rsid w:val="002C02B5"/>
    <w:rsid w:val="002C1EE4"/>
    <w:rsid w:val="002C2C0E"/>
    <w:rsid w:val="002C2D9C"/>
    <w:rsid w:val="002C3A4F"/>
    <w:rsid w:val="002C3D47"/>
    <w:rsid w:val="002C5461"/>
    <w:rsid w:val="002C7676"/>
    <w:rsid w:val="002C7C47"/>
    <w:rsid w:val="002D128F"/>
    <w:rsid w:val="002D2238"/>
    <w:rsid w:val="002D2A1E"/>
    <w:rsid w:val="002D2AD1"/>
    <w:rsid w:val="002D2AE6"/>
    <w:rsid w:val="002D53E6"/>
    <w:rsid w:val="002D5BE7"/>
    <w:rsid w:val="002D6106"/>
    <w:rsid w:val="002D62F2"/>
    <w:rsid w:val="002F3DB2"/>
    <w:rsid w:val="002F47AC"/>
    <w:rsid w:val="002F4CCE"/>
    <w:rsid w:val="003015AB"/>
    <w:rsid w:val="003034D8"/>
    <w:rsid w:val="00310C34"/>
    <w:rsid w:val="00311D7B"/>
    <w:rsid w:val="00312E37"/>
    <w:rsid w:val="0031469F"/>
    <w:rsid w:val="00315B2E"/>
    <w:rsid w:val="00320BE0"/>
    <w:rsid w:val="00323FF5"/>
    <w:rsid w:val="00324E70"/>
    <w:rsid w:val="0033030C"/>
    <w:rsid w:val="00330E6D"/>
    <w:rsid w:val="00331A33"/>
    <w:rsid w:val="00332685"/>
    <w:rsid w:val="003422D0"/>
    <w:rsid w:val="00346380"/>
    <w:rsid w:val="003469A9"/>
    <w:rsid w:val="00347476"/>
    <w:rsid w:val="00353130"/>
    <w:rsid w:val="003601C1"/>
    <w:rsid w:val="00360E09"/>
    <w:rsid w:val="0036240F"/>
    <w:rsid w:val="003654CB"/>
    <w:rsid w:val="00365BD5"/>
    <w:rsid w:val="003674F2"/>
    <w:rsid w:val="00373DBE"/>
    <w:rsid w:val="00377181"/>
    <w:rsid w:val="003815EA"/>
    <w:rsid w:val="0038275D"/>
    <w:rsid w:val="0038536C"/>
    <w:rsid w:val="00390A23"/>
    <w:rsid w:val="00390CBA"/>
    <w:rsid w:val="00391797"/>
    <w:rsid w:val="003942FC"/>
    <w:rsid w:val="0039435E"/>
    <w:rsid w:val="003967F9"/>
    <w:rsid w:val="00397171"/>
    <w:rsid w:val="003A0371"/>
    <w:rsid w:val="003A0BA6"/>
    <w:rsid w:val="003A3008"/>
    <w:rsid w:val="003A779D"/>
    <w:rsid w:val="003B1103"/>
    <w:rsid w:val="003B53BE"/>
    <w:rsid w:val="003B7BF9"/>
    <w:rsid w:val="003C01D9"/>
    <w:rsid w:val="003C08FE"/>
    <w:rsid w:val="003C1A6F"/>
    <w:rsid w:val="003C4803"/>
    <w:rsid w:val="003C4E8B"/>
    <w:rsid w:val="003C61AD"/>
    <w:rsid w:val="003C6502"/>
    <w:rsid w:val="003D0636"/>
    <w:rsid w:val="003D16AF"/>
    <w:rsid w:val="003D684B"/>
    <w:rsid w:val="003E0502"/>
    <w:rsid w:val="003E078C"/>
    <w:rsid w:val="003E1DCB"/>
    <w:rsid w:val="003E2CF7"/>
    <w:rsid w:val="003E35D6"/>
    <w:rsid w:val="003E6418"/>
    <w:rsid w:val="003E685B"/>
    <w:rsid w:val="003E75F2"/>
    <w:rsid w:val="003E7BDE"/>
    <w:rsid w:val="003F431C"/>
    <w:rsid w:val="003F4CCD"/>
    <w:rsid w:val="003F6F28"/>
    <w:rsid w:val="00401101"/>
    <w:rsid w:val="00401A59"/>
    <w:rsid w:val="00401D69"/>
    <w:rsid w:val="00407371"/>
    <w:rsid w:val="00417243"/>
    <w:rsid w:val="00417A5D"/>
    <w:rsid w:val="004200FF"/>
    <w:rsid w:val="00421B57"/>
    <w:rsid w:val="0042245A"/>
    <w:rsid w:val="00422580"/>
    <w:rsid w:val="00427EB0"/>
    <w:rsid w:val="004301B0"/>
    <w:rsid w:val="00431800"/>
    <w:rsid w:val="00432150"/>
    <w:rsid w:val="00433ECF"/>
    <w:rsid w:val="00437D25"/>
    <w:rsid w:val="00446467"/>
    <w:rsid w:val="00446740"/>
    <w:rsid w:val="004477B6"/>
    <w:rsid w:val="00447C3A"/>
    <w:rsid w:val="00450A67"/>
    <w:rsid w:val="00453114"/>
    <w:rsid w:val="00455197"/>
    <w:rsid w:val="00455E81"/>
    <w:rsid w:val="00461502"/>
    <w:rsid w:val="00461F77"/>
    <w:rsid w:val="00465E35"/>
    <w:rsid w:val="00466B12"/>
    <w:rsid w:val="0047269A"/>
    <w:rsid w:val="004730A9"/>
    <w:rsid w:val="00477B7A"/>
    <w:rsid w:val="00480B9B"/>
    <w:rsid w:val="00482FBA"/>
    <w:rsid w:val="00490B69"/>
    <w:rsid w:val="00493620"/>
    <w:rsid w:val="0049697B"/>
    <w:rsid w:val="004A5339"/>
    <w:rsid w:val="004A6992"/>
    <w:rsid w:val="004B0C59"/>
    <w:rsid w:val="004B3232"/>
    <w:rsid w:val="004B389D"/>
    <w:rsid w:val="004B74DA"/>
    <w:rsid w:val="004C4673"/>
    <w:rsid w:val="004C4985"/>
    <w:rsid w:val="004C49F7"/>
    <w:rsid w:val="004C55F4"/>
    <w:rsid w:val="004C63E9"/>
    <w:rsid w:val="004C7485"/>
    <w:rsid w:val="004D0B58"/>
    <w:rsid w:val="004D12A0"/>
    <w:rsid w:val="004D195F"/>
    <w:rsid w:val="004E2E0D"/>
    <w:rsid w:val="004E346A"/>
    <w:rsid w:val="004E352B"/>
    <w:rsid w:val="004E4E80"/>
    <w:rsid w:val="004E62D2"/>
    <w:rsid w:val="004F095A"/>
    <w:rsid w:val="004F17EE"/>
    <w:rsid w:val="004F3539"/>
    <w:rsid w:val="004F395D"/>
    <w:rsid w:val="00500384"/>
    <w:rsid w:val="00502E8F"/>
    <w:rsid w:val="005038F5"/>
    <w:rsid w:val="005068B8"/>
    <w:rsid w:val="00507458"/>
    <w:rsid w:val="005105CB"/>
    <w:rsid w:val="00511C0E"/>
    <w:rsid w:val="00512C1E"/>
    <w:rsid w:val="0051322C"/>
    <w:rsid w:val="00515B5D"/>
    <w:rsid w:val="00516EF9"/>
    <w:rsid w:val="005210B4"/>
    <w:rsid w:val="00522A65"/>
    <w:rsid w:val="00522DBD"/>
    <w:rsid w:val="005237FE"/>
    <w:rsid w:val="00527B27"/>
    <w:rsid w:val="00530577"/>
    <w:rsid w:val="005311A2"/>
    <w:rsid w:val="0053192B"/>
    <w:rsid w:val="00533457"/>
    <w:rsid w:val="005424B3"/>
    <w:rsid w:val="0054515A"/>
    <w:rsid w:val="00553DF1"/>
    <w:rsid w:val="00562409"/>
    <w:rsid w:val="00563C69"/>
    <w:rsid w:val="005647D4"/>
    <w:rsid w:val="005718A2"/>
    <w:rsid w:val="00577F30"/>
    <w:rsid w:val="0058203E"/>
    <w:rsid w:val="0058378A"/>
    <w:rsid w:val="0058588C"/>
    <w:rsid w:val="00592A45"/>
    <w:rsid w:val="0059390B"/>
    <w:rsid w:val="005A18EB"/>
    <w:rsid w:val="005A2209"/>
    <w:rsid w:val="005A2B5E"/>
    <w:rsid w:val="005A59B7"/>
    <w:rsid w:val="005A6707"/>
    <w:rsid w:val="005B0063"/>
    <w:rsid w:val="005B04F4"/>
    <w:rsid w:val="005B14DE"/>
    <w:rsid w:val="005B22F3"/>
    <w:rsid w:val="005C0677"/>
    <w:rsid w:val="005C06C9"/>
    <w:rsid w:val="005C07CD"/>
    <w:rsid w:val="005C2E68"/>
    <w:rsid w:val="005C45AB"/>
    <w:rsid w:val="005D0850"/>
    <w:rsid w:val="005D4592"/>
    <w:rsid w:val="005D548F"/>
    <w:rsid w:val="005E3408"/>
    <w:rsid w:val="005F015A"/>
    <w:rsid w:val="005F12E7"/>
    <w:rsid w:val="005F6365"/>
    <w:rsid w:val="005F641C"/>
    <w:rsid w:val="005F6E5C"/>
    <w:rsid w:val="005F7EAE"/>
    <w:rsid w:val="006014A7"/>
    <w:rsid w:val="00603635"/>
    <w:rsid w:val="006055FC"/>
    <w:rsid w:val="006079A3"/>
    <w:rsid w:val="00610F5F"/>
    <w:rsid w:val="00611951"/>
    <w:rsid w:val="00611FFE"/>
    <w:rsid w:val="00613431"/>
    <w:rsid w:val="006147F4"/>
    <w:rsid w:val="006169A5"/>
    <w:rsid w:val="00620A8D"/>
    <w:rsid w:val="0062114F"/>
    <w:rsid w:val="0062327E"/>
    <w:rsid w:val="00625648"/>
    <w:rsid w:val="00625C46"/>
    <w:rsid w:val="00625CA2"/>
    <w:rsid w:val="00626B9E"/>
    <w:rsid w:val="00630D5D"/>
    <w:rsid w:val="00631577"/>
    <w:rsid w:val="006323A4"/>
    <w:rsid w:val="006348DB"/>
    <w:rsid w:val="00637A5A"/>
    <w:rsid w:val="00640271"/>
    <w:rsid w:val="00640FCD"/>
    <w:rsid w:val="00643613"/>
    <w:rsid w:val="006455CC"/>
    <w:rsid w:val="00647916"/>
    <w:rsid w:val="00650DA4"/>
    <w:rsid w:val="006528BC"/>
    <w:rsid w:val="00653AF5"/>
    <w:rsid w:val="0065563B"/>
    <w:rsid w:val="006565CE"/>
    <w:rsid w:val="00664169"/>
    <w:rsid w:val="00666148"/>
    <w:rsid w:val="006672B2"/>
    <w:rsid w:val="00671B9B"/>
    <w:rsid w:val="00671EC8"/>
    <w:rsid w:val="00677568"/>
    <w:rsid w:val="00677A96"/>
    <w:rsid w:val="006804D4"/>
    <w:rsid w:val="00682A13"/>
    <w:rsid w:val="006836BC"/>
    <w:rsid w:val="00690509"/>
    <w:rsid w:val="0069349C"/>
    <w:rsid w:val="00693F96"/>
    <w:rsid w:val="00693FEF"/>
    <w:rsid w:val="006A04C6"/>
    <w:rsid w:val="006A203B"/>
    <w:rsid w:val="006A29BB"/>
    <w:rsid w:val="006A59C3"/>
    <w:rsid w:val="006A6404"/>
    <w:rsid w:val="006A7232"/>
    <w:rsid w:val="006B4091"/>
    <w:rsid w:val="006B467C"/>
    <w:rsid w:val="006B648C"/>
    <w:rsid w:val="006B7B1E"/>
    <w:rsid w:val="006C0474"/>
    <w:rsid w:val="006C710C"/>
    <w:rsid w:val="006C7AF9"/>
    <w:rsid w:val="006C7BB4"/>
    <w:rsid w:val="006D29CC"/>
    <w:rsid w:val="006D3ED9"/>
    <w:rsid w:val="006E44D9"/>
    <w:rsid w:val="006F083D"/>
    <w:rsid w:val="006F0852"/>
    <w:rsid w:val="006F1412"/>
    <w:rsid w:val="006F18F7"/>
    <w:rsid w:val="006F3615"/>
    <w:rsid w:val="006F4F9B"/>
    <w:rsid w:val="006F7D95"/>
    <w:rsid w:val="0070204C"/>
    <w:rsid w:val="00702ABF"/>
    <w:rsid w:val="00703241"/>
    <w:rsid w:val="007058FB"/>
    <w:rsid w:val="00710537"/>
    <w:rsid w:val="00720674"/>
    <w:rsid w:val="00720F2D"/>
    <w:rsid w:val="007253E9"/>
    <w:rsid w:val="00725C83"/>
    <w:rsid w:val="007270E7"/>
    <w:rsid w:val="007274ED"/>
    <w:rsid w:val="007338CF"/>
    <w:rsid w:val="00735080"/>
    <w:rsid w:val="0073749C"/>
    <w:rsid w:val="00742674"/>
    <w:rsid w:val="007433AE"/>
    <w:rsid w:val="00745F1E"/>
    <w:rsid w:val="0074634A"/>
    <w:rsid w:val="0075138D"/>
    <w:rsid w:val="007514B9"/>
    <w:rsid w:val="007524E7"/>
    <w:rsid w:val="00752595"/>
    <w:rsid w:val="00757809"/>
    <w:rsid w:val="00762B76"/>
    <w:rsid w:val="0076701D"/>
    <w:rsid w:val="0077141E"/>
    <w:rsid w:val="0077469A"/>
    <w:rsid w:val="00781C76"/>
    <w:rsid w:val="00782750"/>
    <w:rsid w:val="0078519F"/>
    <w:rsid w:val="00785A19"/>
    <w:rsid w:val="00791D0F"/>
    <w:rsid w:val="007924BD"/>
    <w:rsid w:val="007A357C"/>
    <w:rsid w:val="007A5FCA"/>
    <w:rsid w:val="007A6388"/>
    <w:rsid w:val="007A71E9"/>
    <w:rsid w:val="007B7631"/>
    <w:rsid w:val="007C074B"/>
    <w:rsid w:val="007C7CE3"/>
    <w:rsid w:val="007D0C28"/>
    <w:rsid w:val="007D190B"/>
    <w:rsid w:val="007D3524"/>
    <w:rsid w:val="007D558E"/>
    <w:rsid w:val="007D5900"/>
    <w:rsid w:val="007D6417"/>
    <w:rsid w:val="007D7A51"/>
    <w:rsid w:val="007E0B9C"/>
    <w:rsid w:val="007E1374"/>
    <w:rsid w:val="007E256F"/>
    <w:rsid w:val="007E6414"/>
    <w:rsid w:val="007F2287"/>
    <w:rsid w:val="007F63E8"/>
    <w:rsid w:val="00800B00"/>
    <w:rsid w:val="0080384E"/>
    <w:rsid w:val="00805881"/>
    <w:rsid w:val="0081009E"/>
    <w:rsid w:val="00810E90"/>
    <w:rsid w:val="00811C9D"/>
    <w:rsid w:val="00811FFA"/>
    <w:rsid w:val="00813195"/>
    <w:rsid w:val="00815E98"/>
    <w:rsid w:val="00815F0B"/>
    <w:rsid w:val="0081669F"/>
    <w:rsid w:val="008215A7"/>
    <w:rsid w:val="008256BD"/>
    <w:rsid w:val="00825F00"/>
    <w:rsid w:val="008269CB"/>
    <w:rsid w:val="008279D0"/>
    <w:rsid w:val="00830F31"/>
    <w:rsid w:val="00833F5E"/>
    <w:rsid w:val="00835B6A"/>
    <w:rsid w:val="00836BAA"/>
    <w:rsid w:val="00836D26"/>
    <w:rsid w:val="00842252"/>
    <w:rsid w:val="0084251E"/>
    <w:rsid w:val="00842FF2"/>
    <w:rsid w:val="0085491F"/>
    <w:rsid w:val="00856096"/>
    <w:rsid w:val="008565B0"/>
    <w:rsid w:val="00857CD0"/>
    <w:rsid w:val="008610D9"/>
    <w:rsid w:val="00863FB2"/>
    <w:rsid w:val="0086699F"/>
    <w:rsid w:val="00867774"/>
    <w:rsid w:val="00867BA0"/>
    <w:rsid w:val="00871C50"/>
    <w:rsid w:val="0087439B"/>
    <w:rsid w:val="00875B04"/>
    <w:rsid w:val="00876006"/>
    <w:rsid w:val="00876E3E"/>
    <w:rsid w:val="0087776B"/>
    <w:rsid w:val="0088343D"/>
    <w:rsid w:val="00883A55"/>
    <w:rsid w:val="00884EA1"/>
    <w:rsid w:val="00886EB3"/>
    <w:rsid w:val="008876EC"/>
    <w:rsid w:val="0089315F"/>
    <w:rsid w:val="0089353E"/>
    <w:rsid w:val="0089476C"/>
    <w:rsid w:val="008A01B0"/>
    <w:rsid w:val="008A035B"/>
    <w:rsid w:val="008A09E6"/>
    <w:rsid w:val="008A2E7F"/>
    <w:rsid w:val="008A7EE0"/>
    <w:rsid w:val="008C0E90"/>
    <w:rsid w:val="008C1CC5"/>
    <w:rsid w:val="008C2E49"/>
    <w:rsid w:val="008C4646"/>
    <w:rsid w:val="008D4889"/>
    <w:rsid w:val="008D4E38"/>
    <w:rsid w:val="008D4ECF"/>
    <w:rsid w:val="008D4F01"/>
    <w:rsid w:val="008D4F19"/>
    <w:rsid w:val="008D5BB6"/>
    <w:rsid w:val="008D6294"/>
    <w:rsid w:val="008E00EF"/>
    <w:rsid w:val="008E23F1"/>
    <w:rsid w:val="008E5571"/>
    <w:rsid w:val="008E7707"/>
    <w:rsid w:val="008F16DD"/>
    <w:rsid w:val="008F1A7B"/>
    <w:rsid w:val="008F434F"/>
    <w:rsid w:val="008F48B4"/>
    <w:rsid w:val="008F5A13"/>
    <w:rsid w:val="008F6C28"/>
    <w:rsid w:val="00900DFC"/>
    <w:rsid w:val="00904258"/>
    <w:rsid w:val="00910459"/>
    <w:rsid w:val="009156FA"/>
    <w:rsid w:val="0091644C"/>
    <w:rsid w:val="00920161"/>
    <w:rsid w:val="00921797"/>
    <w:rsid w:val="00927EE1"/>
    <w:rsid w:val="0093022B"/>
    <w:rsid w:val="00931B84"/>
    <w:rsid w:val="009329CF"/>
    <w:rsid w:val="00934961"/>
    <w:rsid w:val="00934A44"/>
    <w:rsid w:val="00936859"/>
    <w:rsid w:val="0094080B"/>
    <w:rsid w:val="00947098"/>
    <w:rsid w:val="00947AA0"/>
    <w:rsid w:val="00950B0E"/>
    <w:rsid w:val="00955F0A"/>
    <w:rsid w:val="0095611B"/>
    <w:rsid w:val="0095614E"/>
    <w:rsid w:val="00957708"/>
    <w:rsid w:val="0096049B"/>
    <w:rsid w:val="009706D9"/>
    <w:rsid w:val="009717DE"/>
    <w:rsid w:val="00973F79"/>
    <w:rsid w:val="00974C3A"/>
    <w:rsid w:val="009770F4"/>
    <w:rsid w:val="00980C29"/>
    <w:rsid w:val="0098554C"/>
    <w:rsid w:val="0099255C"/>
    <w:rsid w:val="00997DE0"/>
    <w:rsid w:val="009A0F92"/>
    <w:rsid w:val="009A1620"/>
    <w:rsid w:val="009A31E2"/>
    <w:rsid w:val="009B0B12"/>
    <w:rsid w:val="009B2332"/>
    <w:rsid w:val="009B514C"/>
    <w:rsid w:val="009C21D1"/>
    <w:rsid w:val="009C283A"/>
    <w:rsid w:val="009C5D09"/>
    <w:rsid w:val="009D3206"/>
    <w:rsid w:val="009D53FF"/>
    <w:rsid w:val="009D6346"/>
    <w:rsid w:val="009D6D33"/>
    <w:rsid w:val="009E0270"/>
    <w:rsid w:val="009E29D1"/>
    <w:rsid w:val="009E30CD"/>
    <w:rsid w:val="009E7A1E"/>
    <w:rsid w:val="009E7FBD"/>
    <w:rsid w:val="009F46D0"/>
    <w:rsid w:val="009F59BD"/>
    <w:rsid w:val="009F5D82"/>
    <w:rsid w:val="00A0118D"/>
    <w:rsid w:val="00A01895"/>
    <w:rsid w:val="00A0244E"/>
    <w:rsid w:val="00A05F5D"/>
    <w:rsid w:val="00A15D1A"/>
    <w:rsid w:val="00A17A8C"/>
    <w:rsid w:val="00A2003F"/>
    <w:rsid w:val="00A226DB"/>
    <w:rsid w:val="00A2390A"/>
    <w:rsid w:val="00A23E11"/>
    <w:rsid w:val="00A244AB"/>
    <w:rsid w:val="00A26C4D"/>
    <w:rsid w:val="00A30E39"/>
    <w:rsid w:val="00A30EBB"/>
    <w:rsid w:val="00A31178"/>
    <w:rsid w:val="00A3259D"/>
    <w:rsid w:val="00A33DA9"/>
    <w:rsid w:val="00A34704"/>
    <w:rsid w:val="00A350EB"/>
    <w:rsid w:val="00A42828"/>
    <w:rsid w:val="00A4586C"/>
    <w:rsid w:val="00A463EB"/>
    <w:rsid w:val="00A52CA5"/>
    <w:rsid w:val="00A536CF"/>
    <w:rsid w:val="00A67268"/>
    <w:rsid w:val="00A700CD"/>
    <w:rsid w:val="00A7335B"/>
    <w:rsid w:val="00A73917"/>
    <w:rsid w:val="00A76873"/>
    <w:rsid w:val="00A80CA7"/>
    <w:rsid w:val="00A8375B"/>
    <w:rsid w:val="00A83DB9"/>
    <w:rsid w:val="00A86126"/>
    <w:rsid w:val="00A9054B"/>
    <w:rsid w:val="00A91429"/>
    <w:rsid w:val="00A9673F"/>
    <w:rsid w:val="00A97D02"/>
    <w:rsid w:val="00A97D4C"/>
    <w:rsid w:val="00AA1B90"/>
    <w:rsid w:val="00AA3BE7"/>
    <w:rsid w:val="00AA4608"/>
    <w:rsid w:val="00AB11DC"/>
    <w:rsid w:val="00AB14D8"/>
    <w:rsid w:val="00AB35A2"/>
    <w:rsid w:val="00AB46C1"/>
    <w:rsid w:val="00AB5041"/>
    <w:rsid w:val="00AC1831"/>
    <w:rsid w:val="00AC7271"/>
    <w:rsid w:val="00AD07AC"/>
    <w:rsid w:val="00AD5C45"/>
    <w:rsid w:val="00AE2E72"/>
    <w:rsid w:val="00AE37DA"/>
    <w:rsid w:val="00AE4904"/>
    <w:rsid w:val="00AE67F2"/>
    <w:rsid w:val="00AF1296"/>
    <w:rsid w:val="00AF1314"/>
    <w:rsid w:val="00B01BFB"/>
    <w:rsid w:val="00B04ACE"/>
    <w:rsid w:val="00B05971"/>
    <w:rsid w:val="00B10992"/>
    <w:rsid w:val="00B136A6"/>
    <w:rsid w:val="00B162E4"/>
    <w:rsid w:val="00B17DB3"/>
    <w:rsid w:val="00B2208B"/>
    <w:rsid w:val="00B2302A"/>
    <w:rsid w:val="00B23516"/>
    <w:rsid w:val="00B2525A"/>
    <w:rsid w:val="00B26A6A"/>
    <w:rsid w:val="00B26C29"/>
    <w:rsid w:val="00B2710D"/>
    <w:rsid w:val="00B310AB"/>
    <w:rsid w:val="00B32D21"/>
    <w:rsid w:val="00B4042B"/>
    <w:rsid w:val="00B408EB"/>
    <w:rsid w:val="00B43DBE"/>
    <w:rsid w:val="00B44EB3"/>
    <w:rsid w:val="00B4692B"/>
    <w:rsid w:val="00B50675"/>
    <w:rsid w:val="00B517B7"/>
    <w:rsid w:val="00B524B1"/>
    <w:rsid w:val="00B55418"/>
    <w:rsid w:val="00B620D3"/>
    <w:rsid w:val="00B6336E"/>
    <w:rsid w:val="00B643F8"/>
    <w:rsid w:val="00B64674"/>
    <w:rsid w:val="00B67714"/>
    <w:rsid w:val="00B702B1"/>
    <w:rsid w:val="00B7043A"/>
    <w:rsid w:val="00B709C1"/>
    <w:rsid w:val="00B75D61"/>
    <w:rsid w:val="00B76583"/>
    <w:rsid w:val="00B84C0A"/>
    <w:rsid w:val="00B93109"/>
    <w:rsid w:val="00BA1067"/>
    <w:rsid w:val="00BA5609"/>
    <w:rsid w:val="00BB119A"/>
    <w:rsid w:val="00BB186E"/>
    <w:rsid w:val="00BB610D"/>
    <w:rsid w:val="00BC1D03"/>
    <w:rsid w:val="00BC327F"/>
    <w:rsid w:val="00BC483A"/>
    <w:rsid w:val="00BC4E15"/>
    <w:rsid w:val="00BC7281"/>
    <w:rsid w:val="00BD08C4"/>
    <w:rsid w:val="00BD104C"/>
    <w:rsid w:val="00BD11A2"/>
    <w:rsid w:val="00BD2029"/>
    <w:rsid w:val="00BD2542"/>
    <w:rsid w:val="00BD40D6"/>
    <w:rsid w:val="00BD4252"/>
    <w:rsid w:val="00BD62CE"/>
    <w:rsid w:val="00BD6AA3"/>
    <w:rsid w:val="00BD7676"/>
    <w:rsid w:val="00BE1E77"/>
    <w:rsid w:val="00BE495F"/>
    <w:rsid w:val="00BE786B"/>
    <w:rsid w:val="00BF064A"/>
    <w:rsid w:val="00BF1688"/>
    <w:rsid w:val="00BF4B7F"/>
    <w:rsid w:val="00BF62AE"/>
    <w:rsid w:val="00BF79B5"/>
    <w:rsid w:val="00C02462"/>
    <w:rsid w:val="00C06514"/>
    <w:rsid w:val="00C139E8"/>
    <w:rsid w:val="00C15DB2"/>
    <w:rsid w:val="00C16A3B"/>
    <w:rsid w:val="00C17251"/>
    <w:rsid w:val="00C21015"/>
    <w:rsid w:val="00C249C4"/>
    <w:rsid w:val="00C24A2B"/>
    <w:rsid w:val="00C309C6"/>
    <w:rsid w:val="00C30ACD"/>
    <w:rsid w:val="00C332B7"/>
    <w:rsid w:val="00C358A5"/>
    <w:rsid w:val="00C42E5A"/>
    <w:rsid w:val="00C46528"/>
    <w:rsid w:val="00C51060"/>
    <w:rsid w:val="00C5354A"/>
    <w:rsid w:val="00C575C7"/>
    <w:rsid w:val="00C5782C"/>
    <w:rsid w:val="00C62927"/>
    <w:rsid w:val="00C637B2"/>
    <w:rsid w:val="00C67A57"/>
    <w:rsid w:val="00C72FB7"/>
    <w:rsid w:val="00C75F5E"/>
    <w:rsid w:val="00C76679"/>
    <w:rsid w:val="00C81C17"/>
    <w:rsid w:val="00C82743"/>
    <w:rsid w:val="00C83AEF"/>
    <w:rsid w:val="00C83D97"/>
    <w:rsid w:val="00C843C7"/>
    <w:rsid w:val="00C849C7"/>
    <w:rsid w:val="00C872A1"/>
    <w:rsid w:val="00C908AC"/>
    <w:rsid w:val="00C91702"/>
    <w:rsid w:val="00C94889"/>
    <w:rsid w:val="00CA584F"/>
    <w:rsid w:val="00CA65E0"/>
    <w:rsid w:val="00CB0175"/>
    <w:rsid w:val="00CB1B54"/>
    <w:rsid w:val="00CB2A2A"/>
    <w:rsid w:val="00CB47E7"/>
    <w:rsid w:val="00CB4CE1"/>
    <w:rsid w:val="00CB5E2C"/>
    <w:rsid w:val="00CC0B73"/>
    <w:rsid w:val="00CC3F55"/>
    <w:rsid w:val="00CC55D6"/>
    <w:rsid w:val="00CD137C"/>
    <w:rsid w:val="00CD13AE"/>
    <w:rsid w:val="00CD7613"/>
    <w:rsid w:val="00CE0AE5"/>
    <w:rsid w:val="00CE1CFD"/>
    <w:rsid w:val="00CE1E96"/>
    <w:rsid w:val="00CE24A6"/>
    <w:rsid w:val="00CE59E7"/>
    <w:rsid w:val="00CE62A1"/>
    <w:rsid w:val="00CF0547"/>
    <w:rsid w:val="00CF274E"/>
    <w:rsid w:val="00CF444C"/>
    <w:rsid w:val="00CF6F31"/>
    <w:rsid w:val="00D00B99"/>
    <w:rsid w:val="00D137B4"/>
    <w:rsid w:val="00D27B82"/>
    <w:rsid w:val="00D30CD5"/>
    <w:rsid w:val="00D318EB"/>
    <w:rsid w:val="00D376B9"/>
    <w:rsid w:val="00D4118C"/>
    <w:rsid w:val="00D43F05"/>
    <w:rsid w:val="00D44644"/>
    <w:rsid w:val="00D448B9"/>
    <w:rsid w:val="00D53161"/>
    <w:rsid w:val="00D6008D"/>
    <w:rsid w:val="00D637FE"/>
    <w:rsid w:val="00D66377"/>
    <w:rsid w:val="00D73FF2"/>
    <w:rsid w:val="00D74A11"/>
    <w:rsid w:val="00D80E84"/>
    <w:rsid w:val="00D842F1"/>
    <w:rsid w:val="00D902D6"/>
    <w:rsid w:val="00D93326"/>
    <w:rsid w:val="00D94DBF"/>
    <w:rsid w:val="00D963C9"/>
    <w:rsid w:val="00D968C9"/>
    <w:rsid w:val="00D96AA9"/>
    <w:rsid w:val="00DA334C"/>
    <w:rsid w:val="00DA3538"/>
    <w:rsid w:val="00DA3DA9"/>
    <w:rsid w:val="00DA4F87"/>
    <w:rsid w:val="00DB09DC"/>
    <w:rsid w:val="00DB371B"/>
    <w:rsid w:val="00DB4284"/>
    <w:rsid w:val="00DB6170"/>
    <w:rsid w:val="00DC4E99"/>
    <w:rsid w:val="00DC55CE"/>
    <w:rsid w:val="00DD1B90"/>
    <w:rsid w:val="00DD2286"/>
    <w:rsid w:val="00DE1018"/>
    <w:rsid w:val="00DE4E85"/>
    <w:rsid w:val="00DF2B4F"/>
    <w:rsid w:val="00DF539E"/>
    <w:rsid w:val="00E10DFF"/>
    <w:rsid w:val="00E11F49"/>
    <w:rsid w:val="00E12891"/>
    <w:rsid w:val="00E12D7C"/>
    <w:rsid w:val="00E225D3"/>
    <w:rsid w:val="00E22CF3"/>
    <w:rsid w:val="00E27706"/>
    <w:rsid w:val="00E303A5"/>
    <w:rsid w:val="00E3078E"/>
    <w:rsid w:val="00E36BFD"/>
    <w:rsid w:val="00E4046C"/>
    <w:rsid w:val="00E41FE9"/>
    <w:rsid w:val="00E42DA1"/>
    <w:rsid w:val="00E46DEF"/>
    <w:rsid w:val="00E50C54"/>
    <w:rsid w:val="00E513E4"/>
    <w:rsid w:val="00E54280"/>
    <w:rsid w:val="00E55778"/>
    <w:rsid w:val="00E574B8"/>
    <w:rsid w:val="00E5777A"/>
    <w:rsid w:val="00E602B6"/>
    <w:rsid w:val="00E60D7E"/>
    <w:rsid w:val="00E610A3"/>
    <w:rsid w:val="00E6112F"/>
    <w:rsid w:val="00E621E4"/>
    <w:rsid w:val="00E65489"/>
    <w:rsid w:val="00E65B38"/>
    <w:rsid w:val="00E66B73"/>
    <w:rsid w:val="00E71B89"/>
    <w:rsid w:val="00E75A7A"/>
    <w:rsid w:val="00E75F98"/>
    <w:rsid w:val="00E7640D"/>
    <w:rsid w:val="00E765C8"/>
    <w:rsid w:val="00E77DC1"/>
    <w:rsid w:val="00E806E3"/>
    <w:rsid w:val="00E830E2"/>
    <w:rsid w:val="00E84CEA"/>
    <w:rsid w:val="00E90F52"/>
    <w:rsid w:val="00E9303E"/>
    <w:rsid w:val="00E9309D"/>
    <w:rsid w:val="00E96BB1"/>
    <w:rsid w:val="00EA0C11"/>
    <w:rsid w:val="00EA1F0D"/>
    <w:rsid w:val="00EA296C"/>
    <w:rsid w:val="00EA39AD"/>
    <w:rsid w:val="00EB1648"/>
    <w:rsid w:val="00EB48F2"/>
    <w:rsid w:val="00EC12C0"/>
    <w:rsid w:val="00EC2DB0"/>
    <w:rsid w:val="00EC2E63"/>
    <w:rsid w:val="00ED0D26"/>
    <w:rsid w:val="00ED5F47"/>
    <w:rsid w:val="00ED70D6"/>
    <w:rsid w:val="00EE3FDC"/>
    <w:rsid w:val="00EE6D70"/>
    <w:rsid w:val="00EF2756"/>
    <w:rsid w:val="00EF449A"/>
    <w:rsid w:val="00EF4E17"/>
    <w:rsid w:val="00EF768C"/>
    <w:rsid w:val="00EF7CD9"/>
    <w:rsid w:val="00F0282C"/>
    <w:rsid w:val="00F0298C"/>
    <w:rsid w:val="00F03106"/>
    <w:rsid w:val="00F03606"/>
    <w:rsid w:val="00F05EB9"/>
    <w:rsid w:val="00F07C38"/>
    <w:rsid w:val="00F13231"/>
    <w:rsid w:val="00F20E1F"/>
    <w:rsid w:val="00F258DD"/>
    <w:rsid w:val="00F3256D"/>
    <w:rsid w:val="00F36537"/>
    <w:rsid w:val="00F369C9"/>
    <w:rsid w:val="00F370A3"/>
    <w:rsid w:val="00F37ABE"/>
    <w:rsid w:val="00F41364"/>
    <w:rsid w:val="00F42C2D"/>
    <w:rsid w:val="00F446BB"/>
    <w:rsid w:val="00F547D6"/>
    <w:rsid w:val="00F56CD2"/>
    <w:rsid w:val="00F573B8"/>
    <w:rsid w:val="00F633B7"/>
    <w:rsid w:val="00F6669B"/>
    <w:rsid w:val="00F66AF3"/>
    <w:rsid w:val="00F675BF"/>
    <w:rsid w:val="00F6784B"/>
    <w:rsid w:val="00F7058E"/>
    <w:rsid w:val="00F72CE4"/>
    <w:rsid w:val="00F76D3C"/>
    <w:rsid w:val="00F8008B"/>
    <w:rsid w:val="00F813C7"/>
    <w:rsid w:val="00F85217"/>
    <w:rsid w:val="00F92EC6"/>
    <w:rsid w:val="00F93374"/>
    <w:rsid w:val="00F93C38"/>
    <w:rsid w:val="00F93E18"/>
    <w:rsid w:val="00F9419F"/>
    <w:rsid w:val="00F96382"/>
    <w:rsid w:val="00FA1A95"/>
    <w:rsid w:val="00FA47A8"/>
    <w:rsid w:val="00FA4BA2"/>
    <w:rsid w:val="00FA524B"/>
    <w:rsid w:val="00FA6ABA"/>
    <w:rsid w:val="00FA7290"/>
    <w:rsid w:val="00FB2C90"/>
    <w:rsid w:val="00FB3927"/>
    <w:rsid w:val="00FB42A7"/>
    <w:rsid w:val="00FC13C8"/>
    <w:rsid w:val="00FC3952"/>
    <w:rsid w:val="00FC7CC0"/>
    <w:rsid w:val="00FD2954"/>
    <w:rsid w:val="00FD64A4"/>
    <w:rsid w:val="00FE0255"/>
    <w:rsid w:val="00FE197B"/>
    <w:rsid w:val="00FE2D5C"/>
    <w:rsid w:val="00FE5180"/>
    <w:rsid w:val="00FE5904"/>
    <w:rsid w:val="00FF0E0F"/>
    <w:rsid w:val="00FF2C7F"/>
    <w:rsid w:val="00FF3074"/>
    <w:rsid w:val="00FF74C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39A58"/>
  <w15:docId w15:val="{2532A7F7-694F-42F5-8A6B-E07A9186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F5"/>
    <w:pPr>
      <w:suppressAutoHyphens/>
      <w:spacing w:after="0" w:line="24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23FF5"/>
    <w:pPr>
      <w:spacing w:after="120"/>
      <w:ind w:left="1134" w:right="1134"/>
      <w:jc w:val="both"/>
    </w:pPr>
    <w:rPr>
      <w:lang w:val="x-none"/>
    </w:rPr>
  </w:style>
  <w:style w:type="paragraph" w:customStyle="1" w:styleId="HChG">
    <w:name w:val="_ H _Ch_G"/>
    <w:basedOn w:val="Normal"/>
    <w:next w:val="Normal"/>
    <w:rsid w:val="00323FF5"/>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323FF5"/>
    <w:pPr>
      <w:pBdr>
        <w:bottom w:val="single" w:sz="4" w:space="4" w:color="auto"/>
      </w:pBdr>
      <w:spacing w:line="240" w:lineRule="auto"/>
    </w:pPr>
    <w:rPr>
      <w:b/>
      <w:sz w:val="18"/>
      <w:lang w:val="x-none"/>
    </w:rPr>
  </w:style>
  <w:style w:type="character" w:customStyle="1" w:styleId="HeaderChar">
    <w:name w:val="Header Char"/>
    <w:aliases w:val="6_G Char"/>
    <w:basedOn w:val="DefaultParagraphFont"/>
    <w:link w:val="Header"/>
    <w:rsid w:val="00323FF5"/>
    <w:rPr>
      <w:rFonts w:ascii="Times New Roman" w:eastAsia="Times New Roman" w:hAnsi="Times New Roman" w:cs="Times New Roman"/>
      <w:b/>
      <w:sz w:val="18"/>
      <w:szCs w:val="20"/>
      <w:lang w:val="x-none"/>
    </w:rPr>
  </w:style>
  <w:style w:type="character" w:styleId="Hyperlink">
    <w:name w:val="Hyperlink"/>
    <w:semiHidden/>
    <w:rsid w:val="00323FF5"/>
    <w:rPr>
      <w:color w:val="auto"/>
      <w:u w:val="none"/>
    </w:rPr>
  </w:style>
  <w:style w:type="paragraph" w:styleId="FootnoteText">
    <w:name w:val="footnote text"/>
    <w:aliases w:val="5_G"/>
    <w:basedOn w:val="Normal"/>
    <w:link w:val="FootnoteTextChar"/>
    <w:qFormat/>
    <w:rsid w:val="008D4E38"/>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lang w:val="fr-CH"/>
    </w:rPr>
  </w:style>
  <w:style w:type="character" w:customStyle="1" w:styleId="FootnoteTextChar">
    <w:name w:val="Footnote Text Char"/>
    <w:aliases w:val="5_G Char"/>
    <w:basedOn w:val="DefaultParagraphFont"/>
    <w:link w:val="FootnoteText"/>
    <w:rsid w:val="008D4E38"/>
    <w:rPr>
      <w:rFonts w:ascii="Times New Roman" w:hAnsi="Times New Roman" w:cs="Times New Roman"/>
      <w:sz w:val="18"/>
      <w:szCs w:val="20"/>
      <w:lang w:val="fr-CH"/>
    </w:rPr>
  </w:style>
  <w:style w:type="character" w:styleId="FootnoteReference">
    <w:name w:val="footnote reference"/>
    <w:aliases w:val="4_G"/>
    <w:basedOn w:val="DefaultParagraphFont"/>
    <w:qFormat/>
    <w:rsid w:val="008D4E38"/>
    <w:rPr>
      <w:rFonts w:ascii="Times New Roman" w:hAnsi="Times New Roman"/>
      <w:sz w:val="18"/>
      <w:vertAlign w:val="superscript"/>
      <w:lang w:val="fr-CH"/>
    </w:rPr>
  </w:style>
  <w:style w:type="paragraph" w:styleId="Footer">
    <w:name w:val="footer"/>
    <w:aliases w:val="3_G"/>
    <w:basedOn w:val="Normal"/>
    <w:link w:val="FooterChar"/>
    <w:rsid w:val="00323FF5"/>
    <w:pPr>
      <w:spacing w:line="240" w:lineRule="auto"/>
    </w:pPr>
    <w:rPr>
      <w:sz w:val="16"/>
      <w:lang w:val="x-none"/>
    </w:rPr>
  </w:style>
  <w:style w:type="character" w:customStyle="1" w:styleId="FooterChar">
    <w:name w:val="Footer Char"/>
    <w:aliases w:val="3_G Char"/>
    <w:basedOn w:val="DefaultParagraphFont"/>
    <w:link w:val="Footer"/>
    <w:rsid w:val="00323FF5"/>
    <w:rPr>
      <w:rFonts w:ascii="Times New Roman" w:eastAsia="Times New Roman" w:hAnsi="Times New Roman" w:cs="Times New Roman"/>
      <w:sz w:val="16"/>
      <w:szCs w:val="20"/>
      <w:lang w:val="x-none"/>
    </w:rPr>
  </w:style>
  <w:style w:type="paragraph" w:customStyle="1" w:styleId="H1G">
    <w:name w:val="_ H_1_G"/>
    <w:basedOn w:val="Normal"/>
    <w:next w:val="Normal"/>
    <w:rsid w:val="00323FF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323FF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323FF5"/>
    <w:pPr>
      <w:keepNext/>
      <w:keepLines/>
      <w:tabs>
        <w:tab w:val="right" w:pos="851"/>
      </w:tabs>
      <w:spacing w:before="240" w:after="120" w:line="240" w:lineRule="exact"/>
      <w:ind w:left="1134" w:right="1134" w:hanging="1134"/>
    </w:pPr>
    <w:rPr>
      <w:i/>
    </w:rPr>
  </w:style>
  <w:style w:type="character" w:customStyle="1" w:styleId="SingleTxtGChar">
    <w:name w:val="_ Single Txt_G Char"/>
    <w:link w:val="SingleTxtG"/>
    <w:rsid w:val="00323FF5"/>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323F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FF5"/>
    <w:rPr>
      <w:rFonts w:ascii="Tahoma" w:eastAsia="Times New Roman" w:hAnsi="Tahoma" w:cs="Tahoma"/>
      <w:sz w:val="16"/>
      <w:szCs w:val="16"/>
    </w:rPr>
  </w:style>
  <w:style w:type="paragraph" w:styleId="CommentText">
    <w:name w:val="annotation text"/>
    <w:basedOn w:val="Normal"/>
    <w:link w:val="CommentTextChar"/>
    <w:semiHidden/>
    <w:unhideWhenUsed/>
    <w:rsid w:val="00A97D4C"/>
  </w:style>
  <w:style w:type="character" w:customStyle="1" w:styleId="CommentTextChar">
    <w:name w:val="Comment Text Char"/>
    <w:basedOn w:val="DefaultParagraphFont"/>
    <w:link w:val="CommentText"/>
    <w:semiHidden/>
    <w:rsid w:val="00A97D4C"/>
    <w:rPr>
      <w:rFonts w:ascii="Times New Roman" w:eastAsia="Times New Roman" w:hAnsi="Times New Roman" w:cs="Times New Roman"/>
      <w:sz w:val="20"/>
      <w:szCs w:val="20"/>
    </w:rPr>
  </w:style>
  <w:style w:type="character" w:styleId="CommentReference">
    <w:name w:val="annotation reference"/>
    <w:semiHidden/>
    <w:unhideWhenUsed/>
    <w:rsid w:val="00A97D4C"/>
    <w:rPr>
      <w:sz w:val="16"/>
      <w:szCs w:val="16"/>
    </w:rPr>
  </w:style>
  <w:style w:type="paragraph" w:styleId="ListParagraph">
    <w:name w:val="List Paragraph"/>
    <w:basedOn w:val="Normal"/>
    <w:uiPriority w:val="34"/>
    <w:qFormat/>
    <w:rsid w:val="002D2AE6"/>
    <w:pPr>
      <w:ind w:left="720"/>
      <w:contextualSpacing/>
    </w:pPr>
  </w:style>
  <w:style w:type="character" w:customStyle="1" w:styleId="Caratteredellanota">
    <w:name w:val="Carattere della nota"/>
    <w:rsid w:val="005C07CD"/>
    <w:rPr>
      <w:color w:val="000000"/>
      <w:sz w:val="20"/>
    </w:rPr>
  </w:style>
  <w:style w:type="character" w:customStyle="1" w:styleId="Marquenotebasdepage2">
    <w:name w:val="Marque note bas de page2"/>
    <w:rsid w:val="005C07CD"/>
    <w:rPr>
      <w:vertAlign w:val="superscript"/>
    </w:rPr>
  </w:style>
  <w:style w:type="paragraph" w:customStyle="1" w:styleId="Notebasdepage">
    <w:name w:val="Note bas de page"/>
    <w:basedOn w:val="Normal"/>
    <w:qFormat/>
    <w:rsid w:val="005C07CD"/>
    <w:pPr>
      <w:widowControl w:val="0"/>
      <w:spacing w:line="288" w:lineRule="auto"/>
      <w:ind w:left="567" w:hanging="567"/>
      <w:jc w:val="both"/>
    </w:pPr>
    <w:rPr>
      <w:rFonts w:ascii="Arial Narrow" w:eastAsia="ヒラギノ角ゴ Pro W3" w:hAnsi="Arial Narrow"/>
      <w:color w:val="000000"/>
      <w:kern w:val="1"/>
      <w:szCs w:val="24"/>
      <w:lang w:val="en-US" w:eastAsia="ar-SA"/>
    </w:rPr>
  </w:style>
  <w:style w:type="character" w:styleId="FollowedHyperlink">
    <w:name w:val="FollowedHyperlink"/>
    <w:basedOn w:val="DefaultParagraphFont"/>
    <w:uiPriority w:val="99"/>
    <w:semiHidden/>
    <w:unhideWhenUsed/>
    <w:rsid w:val="006014A7"/>
    <w:rPr>
      <w:color w:val="800080" w:themeColor="followedHyperlink"/>
      <w:u w:val="single"/>
    </w:rPr>
  </w:style>
  <w:style w:type="character" w:customStyle="1" w:styleId="Appeldenote">
    <w:name w:val="Appel de note"/>
    <w:rsid w:val="00324E70"/>
    <w:rPr>
      <w:color w:val="000000"/>
      <w:sz w:val="20"/>
      <w:vertAlign w:val="superscript"/>
    </w:rPr>
  </w:style>
  <w:style w:type="character" w:customStyle="1" w:styleId="Caractresdenotedebasdepage">
    <w:name w:val="Caractères de note de bas de page"/>
    <w:rsid w:val="00324E70"/>
    <w:rPr>
      <w:color w:val="000000"/>
      <w:sz w:val="20"/>
      <w:vertAlign w:val="superscript"/>
    </w:rPr>
  </w:style>
  <w:style w:type="paragraph" w:customStyle="1" w:styleId="NormalRetrait">
    <w:name w:val="Normal Retrait"/>
    <w:rsid w:val="00324E70"/>
    <w:pPr>
      <w:widowControl w:val="0"/>
      <w:suppressAutoHyphens/>
      <w:spacing w:after="0" w:line="288" w:lineRule="auto"/>
      <w:ind w:left="1134" w:hanging="567"/>
      <w:jc w:val="both"/>
    </w:pPr>
    <w:rPr>
      <w:rFonts w:ascii="Arial Narrow" w:eastAsia="ヒラギノ角ゴ Pro W3" w:hAnsi="Arial Narrow" w:cs="Times New Roman"/>
      <w:color w:val="000000"/>
      <w:kern w:val="1"/>
      <w:sz w:val="24"/>
      <w:szCs w:val="20"/>
      <w:lang w:val="it-IT" w:eastAsia="hi-IN" w:bidi="hi-IN"/>
    </w:rPr>
  </w:style>
  <w:style w:type="paragraph" w:customStyle="1" w:styleId="Paragraphedeliste1">
    <w:name w:val="Paragraphe de liste1"/>
    <w:basedOn w:val="Normal"/>
    <w:rsid w:val="009E7A1E"/>
    <w:pPr>
      <w:widowControl w:val="0"/>
      <w:spacing w:line="240" w:lineRule="auto"/>
      <w:ind w:left="720"/>
    </w:pPr>
    <w:rPr>
      <w:rFonts w:eastAsia="ヒラギノ角ゴ Pro W3"/>
      <w:color w:val="000000"/>
      <w:kern w:val="1"/>
      <w:sz w:val="24"/>
      <w:szCs w:val="24"/>
      <w:lang w:val="it-IT" w:eastAsia="ar-SA"/>
    </w:rPr>
  </w:style>
  <w:style w:type="character" w:customStyle="1" w:styleId="Marquenotebasdepage1">
    <w:name w:val="Marque note bas de page1"/>
    <w:rsid w:val="00FA6ABA"/>
    <w:rPr>
      <w:color w:val="000000"/>
      <w:sz w:val="20"/>
      <w:vertAlign w:val="superscript"/>
    </w:rPr>
  </w:style>
  <w:style w:type="paragraph" w:customStyle="1" w:styleId="Grigliaacolori-Colore11">
    <w:name w:val="Griglia a colori - Colore 11"/>
    <w:rsid w:val="00FA6ABA"/>
    <w:pPr>
      <w:widowControl w:val="0"/>
      <w:suppressAutoHyphens/>
      <w:spacing w:after="0" w:line="288" w:lineRule="auto"/>
      <w:ind w:left="1134" w:right="560" w:hanging="567"/>
      <w:jc w:val="both"/>
    </w:pPr>
    <w:rPr>
      <w:rFonts w:ascii="Arial Narrow" w:eastAsia="ヒラギノ角ゴ Pro W3" w:hAnsi="Arial Narrow" w:cs="Times New Roman"/>
      <w:color w:val="000000"/>
      <w:kern w:val="1"/>
      <w:sz w:val="24"/>
      <w:szCs w:val="20"/>
      <w:lang w:val="it-IT" w:eastAsia="hi-IN" w:bidi="hi-IN"/>
    </w:rPr>
  </w:style>
  <w:style w:type="paragraph" w:styleId="NormalWeb">
    <w:name w:val="Normal (Web)"/>
    <w:uiPriority w:val="99"/>
    <w:rsid w:val="00B136A6"/>
    <w:pPr>
      <w:suppressAutoHyphens/>
      <w:spacing w:before="280" w:after="280" w:line="240" w:lineRule="auto"/>
    </w:pPr>
    <w:rPr>
      <w:rFonts w:ascii="Times New Roman" w:eastAsia="ヒラギノ角ゴ Pro W3" w:hAnsi="Times New Roman" w:cs="Times New Roman"/>
      <w:color w:val="000000"/>
      <w:kern w:val="1"/>
      <w:sz w:val="24"/>
      <w:szCs w:val="20"/>
      <w:lang w:val="it-IT" w:eastAsia="hi-IN" w:bidi="hi-IN"/>
    </w:rPr>
  </w:style>
  <w:style w:type="character" w:customStyle="1" w:styleId="apple-converted-space">
    <w:name w:val="apple-converted-space"/>
    <w:basedOn w:val="DefaultParagraphFont"/>
    <w:rsid w:val="00D94DBF"/>
  </w:style>
  <w:style w:type="paragraph" w:customStyle="1" w:styleId="s30eec3f8">
    <w:name w:val="s30eec3f8"/>
    <w:basedOn w:val="Normal"/>
    <w:rsid w:val="0065563B"/>
    <w:pPr>
      <w:suppressAutoHyphens w:val="0"/>
      <w:spacing w:before="100" w:beforeAutospacing="1" w:after="100" w:afterAutospacing="1" w:line="240" w:lineRule="auto"/>
    </w:pPr>
    <w:rPr>
      <w:sz w:val="24"/>
      <w:szCs w:val="24"/>
      <w:lang w:eastAsia="en-GB"/>
    </w:rPr>
  </w:style>
  <w:style w:type="character" w:customStyle="1" w:styleId="sb8d990e2">
    <w:name w:val="sb8d990e2"/>
    <w:basedOn w:val="DefaultParagraphFont"/>
    <w:rsid w:val="0065563B"/>
  </w:style>
  <w:style w:type="character" w:customStyle="1" w:styleId="s6b621b36">
    <w:name w:val="s6b621b36"/>
    <w:basedOn w:val="DefaultParagraphFont"/>
    <w:rsid w:val="0065563B"/>
  </w:style>
  <w:style w:type="paragraph" w:styleId="CommentSubject">
    <w:name w:val="annotation subject"/>
    <w:basedOn w:val="CommentText"/>
    <w:next w:val="CommentText"/>
    <w:link w:val="CommentSubjectChar"/>
    <w:uiPriority w:val="99"/>
    <w:semiHidden/>
    <w:unhideWhenUsed/>
    <w:rsid w:val="0076701D"/>
    <w:pPr>
      <w:spacing w:line="240" w:lineRule="auto"/>
    </w:pPr>
    <w:rPr>
      <w:b/>
      <w:bCs/>
    </w:rPr>
  </w:style>
  <w:style w:type="character" w:customStyle="1" w:styleId="CommentSubjectChar">
    <w:name w:val="Comment Subject Char"/>
    <w:basedOn w:val="CommentTextChar"/>
    <w:link w:val="CommentSubject"/>
    <w:uiPriority w:val="99"/>
    <w:semiHidden/>
    <w:rsid w:val="0076701D"/>
    <w:rPr>
      <w:rFonts w:ascii="Times New Roman" w:eastAsia="Times New Roman" w:hAnsi="Times New Roman" w:cs="Times New Roman"/>
      <w:b/>
      <w:bCs/>
      <w:sz w:val="20"/>
      <w:szCs w:val="20"/>
    </w:rPr>
  </w:style>
  <w:style w:type="paragraph" w:styleId="Revision">
    <w:name w:val="Revision"/>
    <w:hidden/>
    <w:uiPriority w:val="99"/>
    <w:semiHidden/>
    <w:rsid w:val="0029494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262">
      <w:bodyDiv w:val="1"/>
      <w:marLeft w:val="0"/>
      <w:marRight w:val="0"/>
      <w:marTop w:val="0"/>
      <w:marBottom w:val="0"/>
      <w:divBdr>
        <w:top w:val="none" w:sz="0" w:space="0" w:color="auto"/>
        <w:left w:val="none" w:sz="0" w:space="0" w:color="auto"/>
        <w:bottom w:val="none" w:sz="0" w:space="0" w:color="auto"/>
        <w:right w:val="none" w:sz="0" w:space="0" w:color="auto"/>
      </w:divBdr>
    </w:div>
    <w:div w:id="45300065">
      <w:bodyDiv w:val="1"/>
      <w:marLeft w:val="0"/>
      <w:marRight w:val="0"/>
      <w:marTop w:val="0"/>
      <w:marBottom w:val="0"/>
      <w:divBdr>
        <w:top w:val="none" w:sz="0" w:space="0" w:color="auto"/>
        <w:left w:val="none" w:sz="0" w:space="0" w:color="auto"/>
        <w:bottom w:val="none" w:sz="0" w:space="0" w:color="auto"/>
        <w:right w:val="none" w:sz="0" w:space="0" w:color="auto"/>
      </w:divBdr>
    </w:div>
    <w:div w:id="53429314">
      <w:bodyDiv w:val="1"/>
      <w:marLeft w:val="0"/>
      <w:marRight w:val="0"/>
      <w:marTop w:val="0"/>
      <w:marBottom w:val="0"/>
      <w:divBdr>
        <w:top w:val="none" w:sz="0" w:space="0" w:color="auto"/>
        <w:left w:val="none" w:sz="0" w:space="0" w:color="auto"/>
        <w:bottom w:val="none" w:sz="0" w:space="0" w:color="auto"/>
        <w:right w:val="none" w:sz="0" w:space="0" w:color="auto"/>
      </w:divBdr>
    </w:div>
    <w:div w:id="86384806">
      <w:bodyDiv w:val="1"/>
      <w:marLeft w:val="0"/>
      <w:marRight w:val="0"/>
      <w:marTop w:val="0"/>
      <w:marBottom w:val="0"/>
      <w:divBdr>
        <w:top w:val="none" w:sz="0" w:space="0" w:color="auto"/>
        <w:left w:val="none" w:sz="0" w:space="0" w:color="auto"/>
        <w:bottom w:val="none" w:sz="0" w:space="0" w:color="auto"/>
        <w:right w:val="none" w:sz="0" w:space="0" w:color="auto"/>
      </w:divBdr>
    </w:div>
    <w:div w:id="182865764">
      <w:bodyDiv w:val="1"/>
      <w:marLeft w:val="0"/>
      <w:marRight w:val="0"/>
      <w:marTop w:val="0"/>
      <w:marBottom w:val="0"/>
      <w:divBdr>
        <w:top w:val="none" w:sz="0" w:space="0" w:color="auto"/>
        <w:left w:val="none" w:sz="0" w:space="0" w:color="auto"/>
        <w:bottom w:val="none" w:sz="0" w:space="0" w:color="auto"/>
        <w:right w:val="none" w:sz="0" w:space="0" w:color="auto"/>
      </w:divBdr>
    </w:div>
    <w:div w:id="205486711">
      <w:bodyDiv w:val="1"/>
      <w:marLeft w:val="0"/>
      <w:marRight w:val="0"/>
      <w:marTop w:val="0"/>
      <w:marBottom w:val="0"/>
      <w:divBdr>
        <w:top w:val="none" w:sz="0" w:space="0" w:color="auto"/>
        <w:left w:val="none" w:sz="0" w:space="0" w:color="auto"/>
        <w:bottom w:val="none" w:sz="0" w:space="0" w:color="auto"/>
        <w:right w:val="none" w:sz="0" w:space="0" w:color="auto"/>
      </w:divBdr>
    </w:div>
    <w:div w:id="253325078">
      <w:bodyDiv w:val="1"/>
      <w:marLeft w:val="0"/>
      <w:marRight w:val="0"/>
      <w:marTop w:val="0"/>
      <w:marBottom w:val="0"/>
      <w:divBdr>
        <w:top w:val="none" w:sz="0" w:space="0" w:color="auto"/>
        <w:left w:val="none" w:sz="0" w:space="0" w:color="auto"/>
        <w:bottom w:val="none" w:sz="0" w:space="0" w:color="auto"/>
        <w:right w:val="none" w:sz="0" w:space="0" w:color="auto"/>
      </w:divBdr>
    </w:div>
    <w:div w:id="488441823">
      <w:bodyDiv w:val="1"/>
      <w:marLeft w:val="0"/>
      <w:marRight w:val="0"/>
      <w:marTop w:val="0"/>
      <w:marBottom w:val="0"/>
      <w:divBdr>
        <w:top w:val="none" w:sz="0" w:space="0" w:color="auto"/>
        <w:left w:val="none" w:sz="0" w:space="0" w:color="auto"/>
        <w:bottom w:val="none" w:sz="0" w:space="0" w:color="auto"/>
        <w:right w:val="none" w:sz="0" w:space="0" w:color="auto"/>
      </w:divBdr>
    </w:div>
    <w:div w:id="804542881">
      <w:bodyDiv w:val="1"/>
      <w:marLeft w:val="0"/>
      <w:marRight w:val="0"/>
      <w:marTop w:val="0"/>
      <w:marBottom w:val="0"/>
      <w:divBdr>
        <w:top w:val="none" w:sz="0" w:space="0" w:color="auto"/>
        <w:left w:val="none" w:sz="0" w:space="0" w:color="auto"/>
        <w:bottom w:val="none" w:sz="0" w:space="0" w:color="auto"/>
        <w:right w:val="none" w:sz="0" w:space="0" w:color="auto"/>
      </w:divBdr>
    </w:div>
    <w:div w:id="895746385">
      <w:bodyDiv w:val="1"/>
      <w:marLeft w:val="0"/>
      <w:marRight w:val="0"/>
      <w:marTop w:val="0"/>
      <w:marBottom w:val="0"/>
      <w:divBdr>
        <w:top w:val="none" w:sz="0" w:space="0" w:color="auto"/>
        <w:left w:val="none" w:sz="0" w:space="0" w:color="auto"/>
        <w:bottom w:val="none" w:sz="0" w:space="0" w:color="auto"/>
        <w:right w:val="none" w:sz="0" w:space="0" w:color="auto"/>
      </w:divBdr>
    </w:div>
    <w:div w:id="957102795">
      <w:bodyDiv w:val="1"/>
      <w:marLeft w:val="0"/>
      <w:marRight w:val="0"/>
      <w:marTop w:val="0"/>
      <w:marBottom w:val="0"/>
      <w:divBdr>
        <w:top w:val="none" w:sz="0" w:space="0" w:color="auto"/>
        <w:left w:val="none" w:sz="0" w:space="0" w:color="auto"/>
        <w:bottom w:val="none" w:sz="0" w:space="0" w:color="auto"/>
        <w:right w:val="none" w:sz="0" w:space="0" w:color="auto"/>
      </w:divBdr>
    </w:div>
    <w:div w:id="975110210">
      <w:bodyDiv w:val="1"/>
      <w:marLeft w:val="0"/>
      <w:marRight w:val="0"/>
      <w:marTop w:val="0"/>
      <w:marBottom w:val="0"/>
      <w:divBdr>
        <w:top w:val="none" w:sz="0" w:space="0" w:color="auto"/>
        <w:left w:val="none" w:sz="0" w:space="0" w:color="auto"/>
        <w:bottom w:val="none" w:sz="0" w:space="0" w:color="auto"/>
        <w:right w:val="none" w:sz="0" w:space="0" w:color="auto"/>
      </w:divBdr>
    </w:div>
    <w:div w:id="1110471861">
      <w:bodyDiv w:val="1"/>
      <w:marLeft w:val="0"/>
      <w:marRight w:val="0"/>
      <w:marTop w:val="0"/>
      <w:marBottom w:val="0"/>
      <w:divBdr>
        <w:top w:val="none" w:sz="0" w:space="0" w:color="auto"/>
        <w:left w:val="none" w:sz="0" w:space="0" w:color="auto"/>
        <w:bottom w:val="none" w:sz="0" w:space="0" w:color="auto"/>
        <w:right w:val="none" w:sz="0" w:space="0" w:color="auto"/>
      </w:divBdr>
    </w:div>
    <w:div w:id="1261907837">
      <w:bodyDiv w:val="1"/>
      <w:marLeft w:val="0"/>
      <w:marRight w:val="0"/>
      <w:marTop w:val="0"/>
      <w:marBottom w:val="0"/>
      <w:divBdr>
        <w:top w:val="none" w:sz="0" w:space="0" w:color="auto"/>
        <w:left w:val="none" w:sz="0" w:space="0" w:color="auto"/>
        <w:bottom w:val="none" w:sz="0" w:space="0" w:color="auto"/>
        <w:right w:val="none" w:sz="0" w:space="0" w:color="auto"/>
      </w:divBdr>
    </w:div>
    <w:div w:id="1301611636">
      <w:bodyDiv w:val="1"/>
      <w:marLeft w:val="0"/>
      <w:marRight w:val="0"/>
      <w:marTop w:val="0"/>
      <w:marBottom w:val="0"/>
      <w:divBdr>
        <w:top w:val="none" w:sz="0" w:space="0" w:color="auto"/>
        <w:left w:val="none" w:sz="0" w:space="0" w:color="auto"/>
        <w:bottom w:val="none" w:sz="0" w:space="0" w:color="auto"/>
        <w:right w:val="none" w:sz="0" w:space="0" w:color="auto"/>
      </w:divBdr>
    </w:div>
    <w:div w:id="1362632335">
      <w:bodyDiv w:val="1"/>
      <w:marLeft w:val="0"/>
      <w:marRight w:val="0"/>
      <w:marTop w:val="0"/>
      <w:marBottom w:val="0"/>
      <w:divBdr>
        <w:top w:val="none" w:sz="0" w:space="0" w:color="auto"/>
        <w:left w:val="none" w:sz="0" w:space="0" w:color="auto"/>
        <w:bottom w:val="none" w:sz="0" w:space="0" w:color="auto"/>
        <w:right w:val="none" w:sz="0" w:space="0" w:color="auto"/>
      </w:divBdr>
      <w:divsChild>
        <w:div w:id="1033458686">
          <w:marLeft w:val="0"/>
          <w:marRight w:val="0"/>
          <w:marTop w:val="0"/>
          <w:marBottom w:val="0"/>
          <w:divBdr>
            <w:top w:val="none" w:sz="0" w:space="0" w:color="auto"/>
            <w:left w:val="none" w:sz="0" w:space="0" w:color="auto"/>
            <w:bottom w:val="none" w:sz="0" w:space="0" w:color="auto"/>
            <w:right w:val="none" w:sz="0" w:space="0" w:color="auto"/>
          </w:divBdr>
          <w:divsChild>
            <w:div w:id="1773625349">
              <w:marLeft w:val="0"/>
              <w:marRight w:val="0"/>
              <w:marTop w:val="0"/>
              <w:marBottom w:val="0"/>
              <w:divBdr>
                <w:top w:val="none" w:sz="0" w:space="0" w:color="auto"/>
                <w:left w:val="none" w:sz="0" w:space="0" w:color="auto"/>
                <w:bottom w:val="none" w:sz="0" w:space="0" w:color="auto"/>
                <w:right w:val="none" w:sz="0" w:space="0" w:color="auto"/>
              </w:divBdr>
              <w:divsChild>
                <w:div w:id="5287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63491">
      <w:bodyDiv w:val="1"/>
      <w:marLeft w:val="0"/>
      <w:marRight w:val="0"/>
      <w:marTop w:val="0"/>
      <w:marBottom w:val="0"/>
      <w:divBdr>
        <w:top w:val="none" w:sz="0" w:space="0" w:color="auto"/>
        <w:left w:val="none" w:sz="0" w:space="0" w:color="auto"/>
        <w:bottom w:val="none" w:sz="0" w:space="0" w:color="auto"/>
        <w:right w:val="none" w:sz="0" w:space="0" w:color="auto"/>
      </w:divBdr>
    </w:div>
    <w:div w:id="1462844169">
      <w:bodyDiv w:val="1"/>
      <w:marLeft w:val="0"/>
      <w:marRight w:val="0"/>
      <w:marTop w:val="0"/>
      <w:marBottom w:val="0"/>
      <w:divBdr>
        <w:top w:val="none" w:sz="0" w:space="0" w:color="auto"/>
        <w:left w:val="none" w:sz="0" w:space="0" w:color="auto"/>
        <w:bottom w:val="none" w:sz="0" w:space="0" w:color="auto"/>
        <w:right w:val="none" w:sz="0" w:space="0" w:color="auto"/>
      </w:divBdr>
    </w:div>
    <w:div w:id="1481069145">
      <w:bodyDiv w:val="1"/>
      <w:marLeft w:val="0"/>
      <w:marRight w:val="0"/>
      <w:marTop w:val="0"/>
      <w:marBottom w:val="0"/>
      <w:divBdr>
        <w:top w:val="none" w:sz="0" w:space="0" w:color="auto"/>
        <w:left w:val="none" w:sz="0" w:space="0" w:color="auto"/>
        <w:bottom w:val="none" w:sz="0" w:space="0" w:color="auto"/>
        <w:right w:val="none" w:sz="0" w:space="0" w:color="auto"/>
      </w:divBdr>
    </w:div>
    <w:div w:id="1484391188">
      <w:bodyDiv w:val="1"/>
      <w:marLeft w:val="0"/>
      <w:marRight w:val="0"/>
      <w:marTop w:val="0"/>
      <w:marBottom w:val="0"/>
      <w:divBdr>
        <w:top w:val="none" w:sz="0" w:space="0" w:color="auto"/>
        <w:left w:val="none" w:sz="0" w:space="0" w:color="auto"/>
        <w:bottom w:val="none" w:sz="0" w:space="0" w:color="auto"/>
        <w:right w:val="none" w:sz="0" w:space="0" w:color="auto"/>
      </w:divBdr>
    </w:div>
    <w:div w:id="1490751765">
      <w:bodyDiv w:val="1"/>
      <w:marLeft w:val="0"/>
      <w:marRight w:val="0"/>
      <w:marTop w:val="0"/>
      <w:marBottom w:val="0"/>
      <w:divBdr>
        <w:top w:val="none" w:sz="0" w:space="0" w:color="auto"/>
        <w:left w:val="none" w:sz="0" w:space="0" w:color="auto"/>
        <w:bottom w:val="none" w:sz="0" w:space="0" w:color="auto"/>
        <w:right w:val="none" w:sz="0" w:space="0" w:color="auto"/>
      </w:divBdr>
    </w:div>
    <w:div w:id="1493982163">
      <w:bodyDiv w:val="1"/>
      <w:marLeft w:val="0"/>
      <w:marRight w:val="0"/>
      <w:marTop w:val="0"/>
      <w:marBottom w:val="0"/>
      <w:divBdr>
        <w:top w:val="none" w:sz="0" w:space="0" w:color="auto"/>
        <w:left w:val="none" w:sz="0" w:space="0" w:color="auto"/>
        <w:bottom w:val="none" w:sz="0" w:space="0" w:color="auto"/>
        <w:right w:val="none" w:sz="0" w:space="0" w:color="auto"/>
      </w:divBdr>
    </w:div>
    <w:div w:id="1511605094">
      <w:bodyDiv w:val="1"/>
      <w:marLeft w:val="0"/>
      <w:marRight w:val="0"/>
      <w:marTop w:val="0"/>
      <w:marBottom w:val="0"/>
      <w:divBdr>
        <w:top w:val="none" w:sz="0" w:space="0" w:color="auto"/>
        <w:left w:val="none" w:sz="0" w:space="0" w:color="auto"/>
        <w:bottom w:val="none" w:sz="0" w:space="0" w:color="auto"/>
        <w:right w:val="none" w:sz="0" w:space="0" w:color="auto"/>
      </w:divBdr>
    </w:div>
    <w:div w:id="1534731558">
      <w:bodyDiv w:val="1"/>
      <w:marLeft w:val="0"/>
      <w:marRight w:val="0"/>
      <w:marTop w:val="0"/>
      <w:marBottom w:val="0"/>
      <w:divBdr>
        <w:top w:val="none" w:sz="0" w:space="0" w:color="auto"/>
        <w:left w:val="none" w:sz="0" w:space="0" w:color="auto"/>
        <w:bottom w:val="none" w:sz="0" w:space="0" w:color="auto"/>
        <w:right w:val="none" w:sz="0" w:space="0" w:color="auto"/>
      </w:divBdr>
    </w:div>
    <w:div w:id="1668747304">
      <w:bodyDiv w:val="1"/>
      <w:marLeft w:val="0"/>
      <w:marRight w:val="0"/>
      <w:marTop w:val="0"/>
      <w:marBottom w:val="0"/>
      <w:divBdr>
        <w:top w:val="none" w:sz="0" w:space="0" w:color="auto"/>
        <w:left w:val="none" w:sz="0" w:space="0" w:color="auto"/>
        <w:bottom w:val="none" w:sz="0" w:space="0" w:color="auto"/>
        <w:right w:val="none" w:sz="0" w:space="0" w:color="auto"/>
      </w:divBdr>
    </w:div>
    <w:div w:id="1680965529">
      <w:bodyDiv w:val="1"/>
      <w:marLeft w:val="0"/>
      <w:marRight w:val="0"/>
      <w:marTop w:val="0"/>
      <w:marBottom w:val="0"/>
      <w:divBdr>
        <w:top w:val="none" w:sz="0" w:space="0" w:color="auto"/>
        <w:left w:val="none" w:sz="0" w:space="0" w:color="auto"/>
        <w:bottom w:val="none" w:sz="0" w:space="0" w:color="auto"/>
        <w:right w:val="none" w:sz="0" w:space="0" w:color="auto"/>
      </w:divBdr>
      <w:divsChild>
        <w:div w:id="1483473359">
          <w:marLeft w:val="0"/>
          <w:marRight w:val="0"/>
          <w:marTop w:val="0"/>
          <w:marBottom w:val="0"/>
          <w:divBdr>
            <w:top w:val="none" w:sz="0" w:space="0" w:color="auto"/>
            <w:left w:val="none" w:sz="0" w:space="0" w:color="auto"/>
            <w:bottom w:val="none" w:sz="0" w:space="0" w:color="auto"/>
            <w:right w:val="none" w:sz="0" w:space="0" w:color="auto"/>
          </w:divBdr>
          <w:divsChild>
            <w:div w:id="322856429">
              <w:marLeft w:val="0"/>
              <w:marRight w:val="0"/>
              <w:marTop w:val="0"/>
              <w:marBottom w:val="0"/>
              <w:divBdr>
                <w:top w:val="none" w:sz="0" w:space="0" w:color="auto"/>
                <w:left w:val="none" w:sz="0" w:space="0" w:color="auto"/>
                <w:bottom w:val="none" w:sz="0" w:space="0" w:color="auto"/>
                <w:right w:val="none" w:sz="0" w:space="0" w:color="auto"/>
              </w:divBdr>
              <w:divsChild>
                <w:div w:id="766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4728">
      <w:bodyDiv w:val="1"/>
      <w:marLeft w:val="0"/>
      <w:marRight w:val="0"/>
      <w:marTop w:val="0"/>
      <w:marBottom w:val="0"/>
      <w:divBdr>
        <w:top w:val="none" w:sz="0" w:space="0" w:color="auto"/>
        <w:left w:val="none" w:sz="0" w:space="0" w:color="auto"/>
        <w:bottom w:val="none" w:sz="0" w:space="0" w:color="auto"/>
        <w:right w:val="none" w:sz="0" w:space="0" w:color="auto"/>
      </w:divBdr>
    </w:div>
    <w:div w:id="1761020493">
      <w:bodyDiv w:val="1"/>
      <w:marLeft w:val="0"/>
      <w:marRight w:val="0"/>
      <w:marTop w:val="0"/>
      <w:marBottom w:val="0"/>
      <w:divBdr>
        <w:top w:val="none" w:sz="0" w:space="0" w:color="auto"/>
        <w:left w:val="none" w:sz="0" w:space="0" w:color="auto"/>
        <w:bottom w:val="none" w:sz="0" w:space="0" w:color="auto"/>
        <w:right w:val="none" w:sz="0" w:space="0" w:color="auto"/>
      </w:divBdr>
      <w:divsChild>
        <w:div w:id="1364676379">
          <w:marLeft w:val="0"/>
          <w:marRight w:val="0"/>
          <w:marTop w:val="0"/>
          <w:marBottom w:val="0"/>
          <w:divBdr>
            <w:top w:val="none" w:sz="0" w:space="0" w:color="auto"/>
            <w:left w:val="none" w:sz="0" w:space="0" w:color="auto"/>
            <w:bottom w:val="none" w:sz="0" w:space="0" w:color="auto"/>
            <w:right w:val="none" w:sz="0" w:space="0" w:color="auto"/>
          </w:divBdr>
          <w:divsChild>
            <w:div w:id="1999114827">
              <w:marLeft w:val="0"/>
              <w:marRight w:val="0"/>
              <w:marTop w:val="0"/>
              <w:marBottom w:val="0"/>
              <w:divBdr>
                <w:top w:val="none" w:sz="0" w:space="0" w:color="auto"/>
                <w:left w:val="none" w:sz="0" w:space="0" w:color="auto"/>
                <w:bottom w:val="none" w:sz="0" w:space="0" w:color="auto"/>
                <w:right w:val="none" w:sz="0" w:space="0" w:color="auto"/>
              </w:divBdr>
              <w:divsChild>
                <w:div w:id="12440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2163">
      <w:bodyDiv w:val="1"/>
      <w:marLeft w:val="0"/>
      <w:marRight w:val="0"/>
      <w:marTop w:val="0"/>
      <w:marBottom w:val="0"/>
      <w:divBdr>
        <w:top w:val="none" w:sz="0" w:space="0" w:color="auto"/>
        <w:left w:val="none" w:sz="0" w:space="0" w:color="auto"/>
        <w:bottom w:val="none" w:sz="0" w:space="0" w:color="auto"/>
        <w:right w:val="none" w:sz="0" w:space="0" w:color="auto"/>
      </w:divBdr>
    </w:div>
    <w:div w:id="1855340445">
      <w:bodyDiv w:val="1"/>
      <w:marLeft w:val="0"/>
      <w:marRight w:val="0"/>
      <w:marTop w:val="0"/>
      <w:marBottom w:val="0"/>
      <w:divBdr>
        <w:top w:val="none" w:sz="0" w:space="0" w:color="auto"/>
        <w:left w:val="none" w:sz="0" w:space="0" w:color="auto"/>
        <w:bottom w:val="none" w:sz="0" w:space="0" w:color="auto"/>
        <w:right w:val="none" w:sz="0" w:space="0" w:color="auto"/>
      </w:divBdr>
    </w:div>
    <w:div w:id="1905749838">
      <w:bodyDiv w:val="1"/>
      <w:marLeft w:val="0"/>
      <w:marRight w:val="0"/>
      <w:marTop w:val="0"/>
      <w:marBottom w:val="0"/>
      <w:divBdr>
        <w:top w:val="none" w:sz="0" w:space="0" w:color="auto"/>
        <w:left w:val="none" w:sz="0" w:space="0" w:color="auto"/>
        <w:bottom w:val="none" w:sz="0" w:space="0" w:color="auto"/>
        <w:right w:val="none" w:sz="0" w:space="0" w:color="auto"/>
      </w:divBdr>
    </w:div>
    <w:div w:id="2021546674">
      <w:bodyDiv w:val="1"/>
      <w:marLeft w:val="0"/>
      <w:marRight w:val="0"/>
      <w:marTop w:val="0"/>
      <w:marBottom w:val="0"/>
      <w:divBdr>
        <w:top w:val="none" w:sz="0" w:space="0" w:color="auto"/>
        <w:left w:val="none" w:sz="0" w:space="0" w:color="auto"/>
        <w:bottom w:val="none" w:sz="0" w:space="0" w:color="auto"/>
        <w:right w:val="none" w:sz="0" w:space="0" w:color="auto"/>
      </w:divBdr>
    </w:div>
    <w:div w:id="21302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B840-5C10-4522-B839-130817CC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7327</Words>
  <Characters>41769</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1717710</vt:lpstr>
    </vt:vector>
  </TitlesOfParts>
  <Company>OHCHR</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1717710</dc:title>
  <dc:subject>CCPR/C/120/D/2237/2013</dc:subject>
  <dc:creator>Generic Pdf eng</dc:creator>
  <cp:keywords/>
  <dc:description/>
  <cp:lastModifiedBy>Sarah Willig</cp:lastModifiedBy>
  <cp:revision>2</cp:revision>
  <cp:lastPrinted>2017-09-14T10:11:00Z</cp:lastPrinted>
  <dcterms:created xsi:type="dcterms:W3CDTF">2019-01-02T20:23:00Z</dcterms:created>
  <dcterms:modified xsi:type="dcterms:W3CDTF">2019-01-02T20:23:00Z</dcterms:modified>
</cp:coreProperties>
</file>