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14:paraId="4CDDD134" w14:textId="77777777" w:rsidTr="00D20BB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330C9" w14:textId="77777777" w:rsidR="008C47AA" w:rsidRDefault="008C47AA" w:rsidP="0060328D">
            <w:pPr>
              <w:spacing w:line="20" w:lineRule="exact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83499E" w14:textId="77777777" w:rsidR="00A43F01" w:rsidRPr="00D20BB1" w:rsidRDefault="00A43F01" w:rsidP="00D20BB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20BB1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ABE786" w14:textId="77777777" w:rsidR="00A43F01" w:rsidRPr="006E4EE9" w:rsidRDefault="00B909BF" w:rsidP="008D1BA5">
            <w:pPr>
              <w:suppressAutoHyphens w:val="0"/>
              <w:spacing w:after="20"/>
              <w:jc w:val="right"/>
            </w:pPr>
            <w:r w:rsidRPr="00D20BB1">
              <w:rPr>
                <w:sz w:val="40"/>
              </w:rPr>
              <w:t>CAT</w:t>
            </w:r>
            <w:r>
              <w:t>/C/5</w:t>
            </w:r>
            <w:r w:rsidR="00811039">
              <w:t>6</w:t>
            </w:r>
            <w:r>
              <w:t>/D/</w:t>
            </w:r>
            <w:r w:rsidR="00811039">
              <w:t>643</w:t>
            </w:r>
            <w:r>
              <w:t>/2014</w:t>
            </w:r>
          </w:p>
        </w:tc>
      </w:tr>
      <w:tr w:rsidR="00A43F01" w14:paraId="2FDAAB53" w14:textId="77777777" w:rsidTr="00D20BB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AF8357" w14:textId="77777777" w:rsidR="00A43F01" w:rsidRDefault="00B0608D" w:rsidP="00D20BB1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5D12A39" wp14:editId="744DB59B">
                  <wp:extent cx="714375" cy="590550"/>
                  <wp:effectExtent l="0" t="0" r="9525" b="0"/>
                  <wp:docPr id="3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4E9D71" w14:textId="77777777" w:rsidR="003D3F18" w:rsidRDefault="00A43F01" w:rsidP="00F75877">
            <w:pPr>
              <w:spacing w:before="120" w:line="380" w:lineRule="exact"/>
            </w:pPr>
            <w:r w:rsidRPr="00D20BB1">
              <w:rPr>
                <w:b/>
                <w:sz w:val="34"/>
                <w:szCs w:val="40"/>
              </w:rPr>
              <w:t>Convention against Torture</w:t>
            </w:r>
            <w:r w:rsidRPr="00D20BB1">
              <w:rPr>
                <w:b/>
                <w:sz w:val="34"/>
                <w:szCs w:val="40"/>
              </w:rPr>
              <w:br/>
              <w:t>and Other Cruel, Inhuman</w:t>
            </w:r>
            <w:r w:rsidRPr="00D20BB1">
              <w:rPr>
                <w:b/>
                <w:sz w:val="34"/>
                <w:szCs w:val="40"/>
              </w:rPr>
              <w:br/>
              <w:t>or Degrading Treatment</w:t>
            </w:r>
            <w:r w:rsidRPr="00D20BB1"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FA9CD7" w14:textId="77777777" w:rsidR="00A43F01" w:rsidRDefault="00B909BF" w:rsidP="00D20BB1">
            <w:pPr>
              <w:suppressAutoHyphens w:val="0"/>
              <w:spacing w:before="240" w:line="240" w:lineRule="exact"/>
            </w:pPr>
            <w:r>
              <w:t xml:space="preserve">Distr.: </w:t>
            </w:r>
            <w:r w:rsidR="008D1BA5">
              <w:t>General</w:t>
            </w:r>
          </w:p>
          <w:p w14:paraId="2F5FC510" w14:textId="77777777" w:rsidR="00B909BF" w:rsidRDefault="0097236C" w:rsidP="0097236C">
            <w:pPr>
              <w:pStyle w:val="SingleTxtG"/>
              <w:ind w:left="0"/>
            </w:pPr>
            <w:r>
              <w:t>16</w:t>
            </w:r>
            <w:r w:rsidR="00C3509E">
              <w:t xml:space="preserve"> February 2016</w:t>
            </w:r>
          </w:p>
          <w:p w14:paraId="0817D24E" w14:textId="77777777" w:rsidR="00B909BF" w:rsidRDefault="00B909BF" w:rsidP="00D20BB1">
            <w:pPr>
              <w:suppressAutoHyphens w:val="0"/>
            </w:pPr>
            <w:r>
              <w:t xml:space="preserve">Original: </w:t>
            </w:r>
            <w:r w:rsidR="00811039">
              <w:t>English</w:t>
            </w:r>
          </w:p>
          <w:p w14:paraId="14EBA57F" w14:textId="77777777" w:rsidR="00275177" w:rsidRPr="00C07884" w:rsidRDefault="00275177" w:rsidP="00275177">
            <w:pPr>
              <w:spacing w:line="240" w:lineRule="exact"/>
            </w:pPr>
          </w:p>
          <w:p w14:paraId="2F38C497" w14:textId="77777777" w:rsidR="00B909BF" w:rsidRDefault="00B909BF" w:rsidP="00D20BB1">
            <w:pPr>
              <w:suppressAutoHyphens w:val="0"/>
            </w:pPr>
          </w:p>
        </w:tc>
      </w:tr>
    </w:tbl>
    <w:p w14:paraId="72EB5A27" w14:textId="77777777" w:rsidR="00B034A9" w:rsidRPr="00B034A9" w:rsidRDefault="00B034A9" w:rsidP="00B034A9">
      <w:pPr>
        <w:suppressAutoHyphens w:val="0"/>
        <w:autoSpaceDE w:val="0"/>
        <w:autoSpaceDN w:val="0"/>
        <w:adjustRightInd w:val="0"/>
        <w:spacing w:line="20" w:lineRule="exact"/>
        <w:rPr>
          <w:rFonts w:eastAsia="SimSun"/>
          <w:b/>
          <w:bCs/>
          <w:sz w:val="2"/>
          <w:szCs w:val="24"/>
          <w:lang w:eastAsia="en-GB"/>
        </w:rPr>
      </w:pPr>
      <w:r>
        <w:rPr>
          <w:rStyle w:val="CommentReference"/>
        </w:rPr>
        <w:commentReference w:id="1"/>
      </w:r>
    </w:p>
    <w:p w14:paraId="49EE838D" w14:textId="77777777" w:rsidR="00CE4645" w:rsidRDefault="00CE4645" w:rsidP="00CE4645">
      <w:pPr>
        <w:suppressAutoHyphens w:val="0"/>
        <w:autoSpaceDE w:val="0"/>
        <w:autoSpaceDN w:val="0"/>
        <w:adjustRightInd w:val="0"/>
        <w:spacing w:before="120" w:line="240" w:lineRule="auto"/>
        <w:rPr>
          <w:rFonts w:eastAsia="SimSun"/>
          <w:b/>
          <w:bCs/>
          <w:color w:val="000000"/>
          <w:sz w:val="24"/>
          <w:szCs w:val="24"/>
          <w:lang w:eastAsia="en-GB"/>
        </w:rPr>
      </w:pPr>
      <w:r>
        <w:rPr>
          <w:rFonts w:eastAsia="SimSun"/>
          <w:b/>
          <w:bCs/>
          <w:color w:val="000000"/>
          <w:sz w:val="24"/>
          <w:szCs w:val="24"/>
          <w:lang w:eastAsia="en-GB"/>
        </w:rPr>
        <w:t>Committee against Torture</w:t>
      </w:r>
    </w:p>
    <w:p w14:paraId="5E399BF3" w14:textId="77777777" w:rsidR="00625E23" w:rsidRPr="006767DB" w:rsidRDefault="00CE4645" w:rsidP="00CE4645">
      <w:pPr>
        <w:pStyle w:val="HChG"/>
      </w:pPr>
      <w:r>
        <w:tab/>
      </w:r>
      <w:r>
        <w:tab/>
      </w:r>
      <w:r w:rsidR="009F5B9C">
        <w:t>Communication</w:t>
      </w:r>
      <w:r w:rsidR="00625E23" w:rsidRPr="006767DB">
        <w:t xml:space="preserve"> No. 6</w:t>
      </w:r>
      <w:r w:rsidR="00E11451">
        <w:t>4</w:t>
      </w:r>
      <w:r w:rsidR="00056252">
        <w:t>3</w:t>
      </w:r>
      <w:r w:rsidR="00625E23" w:rsidRPr="006767DB">
        <w:t>/2014</w:t>
      </w:r>
    </w:p>
    <w:p w14:paraId="6320B069" w14:textId="77777777" w:rsidR="00625E23" w:rsidRPr="006767DB" w:rsidRDefault="00625E23" w:rsidP="00625E23">
      <w:pPr>
        <w:pStyle w:val="H1G"/>
      </w:pPr>
      <w:r>
        <w:tab/>
      </w:r>
      <w:r>
        <w:tab/>
      </w:r>
      <w:r w:rsidR="008D1BA5">
        <w:t>Decision adopted by the Committee at its fifty-sixth session (9</w:t>
      </w:r>
      <w:r w:rsidR="00284314">
        <w:t> </w:t>
      </w:r>
      <w:r w:rsidR="008D1BA5">
        <w:t>November-9 December 2015)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625E23" w14:paraId="6C080A77" w14:textId="77777777" w:rsidTr="00070277">
        <w:tc>
          <w:tcPr>
            <w:tcW w:w="3402" w:type="dxa"/>
            <w:shd w:val="clear" w:color="auto" w:fill="auto"/>
          </w:tcPr>
          <w:p w14:paraId="781CA500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Submitted by:</w:t>
            </w:r>
          </w:p>
        </w:tc>
        <w:tc>
          <w:tcPr>
            <w:tcW w:w="3969" w:type="dxa"/>
            <w:shd w:val="clear" w:color="auto" w:fill="auto"/>
          </w:tcPr>
          <w:p w14:paraId="7DF2F0AD" w14:textId="77777777" w:rsidR="00625E23" w:rsidRPr="000D1ED1" w:rsidRDefault="00625E23" w:rsidP="0097236C">
            <w:pPr>
              <w:pStyle w:val="SingleTxtG"/>
              <w:ind w:left="0" w:right="0"/>
              <w:jc w:val="left"/>
            </w:pPr>
            <w:r w:rsidRPr="00625E23">
              <w:t xml:space="preserve">Mr. </w:t>
            </w:r>
            <w:r w:rsidR="00056252">
              <w:t>U</w:t>
            </w:r>
            <w:r w:rsidR="005D1D45">
              <w:t>.</w:t>
            </w:r>
            <w:r w:rsidR="00D8286D">
              <w:t xml:space="preserve"> (represented by counsel, </w:t>
            </w:r>
            <w:r w:rsidR="00284314">
              <w:br/>
            </w:r>
            <w:r w:rsidR="00056252">
              <w:t>Nima Rostami</w:t>
            </w:r>
            <w:r w:rsidR="00D8286D">
              <w:t xml:space="preserve">) </w:t>
            </w:r>
          </w:p>
        </w:tc>
      </w:tr>
      <w:tr w:rsidR="00625E23" w14:paraId="131A8C55" w14:textId="77777777" w:rsidTr="00070277">
        <w:tc>
          <w:tcPr>
            <w:tcW w:w="3402" w:type="dxa"/>
            <w:shd w:val="clear" w:color="auto" w:fill="auto"/>
          </w:tcPr>
          <w:p w14:paraId="0B866D8C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Alleged victim:</w:t>
            </w:r>
          </w:p>
        </w:tc>
        <w:tc>
          <w:tcPr>
            <w:tcW w:w="3969" w:type="dxa"/>
            <w:shd w:val="clear" w:color="auto" w:fill="auto"/>
          </w:tcPr>
          <w:p w14:paraId="3F254024" w14:textId="77777777" w:rsidR="00625E23" w:rsidRDefault="00625E23" w:rsidP="00D20BB1">
            <w:pPr>
              <w:pStyle w:val="SingleTxtG"/>
              <w:ind w:left="0" w:right="0"/>
              <w:jc w:val="left"/>
            </w:pPr>
            <w:r w:rsidRPr="00625E23">
              <w:t>The complainant</w:t>
            </w:r>
          </w:p>
        </w:tc>
      </w:tr>
      <w:tr w:rsidR="00625E23" w14:paraId="56E6627C" w14:textId="77777777" w:rsidTr="00070277">
        <w:tc>
          <w:tcPr>
            <w:tcW w:w="3402" w:type="dxa"/>
            <w:shd w:val="clear" w:color="auto" w:fill="auto"/>
          </w:tcPr>
          <w:p w14:paraId="7C8657E4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State party:</w:t>
            </w:r>
          </w:p>
        </w:tc>
        <w:tc>
          <w:tcPr>
            <w:tcW w:w="3969" w:type="dxa"/>
            <w:shd w:val="clear" w:color="auto" w:fill="auto"/>
          </w:tcPr>
          <w:p w14:paraId="48E6BCD0" w14:textId="77777777" w:rsidR="00625E23" w:rsidRDefault="000619C9" w:rsidP="000619C9">
            <w:pPr>
              <w:pStyle w:val="SingleTxtG"/>
              <w:ind w:left="0" w:right="0"/>
              <w:jc w:val="left"/>
            </w:pPr>
            <w:r>
              <w:t>Sweden</w:t>
            </w:r>
          </w:p>
        </w:tc>
      </w:tr>
      <w:tr w:rsidR="00625E23" w14:paraId="5421B8D7" w14:textId="77777777" w:rsidTr="00070277">
        <w:tc>
          <w:tcPr>
            <w:tcW w:w="3402" w:type="dxa"/>
            <w:shd w:val="clear" w:color="auto" w:fill="auto"/>
          </w:tcPr>
          <w:p w14:paraId="5F5D109A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Date of complaint:</w:t>
            </w:r>
          </w:p>
        </w:tc>
        <w:tc>
          <w:tcPr>
            <w:tcW w:w="3969" w:type="dxa"/>
            <w:shd w:val="clear" w:color="auto" w:fill="auto"/>
          </w:tcPr>
          <w:p w14:paraId="1052D0D2" w14:textId="77777777" w:rsidR="00625E23" w:rsidRDefault="00056252" w:rsidP="000619C9">
            <w:pPr>
              <w:pStyle w:val="SingleTxtG"/>
              <w:ind w:left="0" w:right="0"/>
              <w:jc w:val="left"/>
            </w:pPr>
            <w:r>
              <w:t>5</w:t>
            </w:r>
            <w:r w:rsidR="000619C9">
              <w:t xml:space="preserve"> December</w:t>
            </w:r>
            <w:r w:rsidR="00625E23" w:rsidRPr="00625E23">
              <w:t xml:space="preserve"> 2014 (initial submission)</w:t>
            </w:r>
          </w:p>
        </w:tc>
      </w:tr>
      <w:tr w:rsidR="00625E23" w14:paraId="4772CE85" w14:textId="77777777" w:rsidTr="00070277">
        <w:tc>
          <w:tcPr>
            <w:tcW w:w="3402" w:type="dxa"/>
            <w:shd w:val="clear" w:color="auto" w:fill="auto"/>
          </w:tcPr>
          <w:p w14:paraId="2CBD04EC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Date of present decision: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A728C07" w14:textId="77777777" w:rsidR="00625E23" w:rsidRDefault="008D1BA5" w:rsidP="00056252">
            <w:pPr>
              <w:pStyle w:val="SingleTxtG"/>
              <w:ind w:left="0" w:right="0"/>
              <w:jc w:val="left"/>
            </w:pPr>
            <w:r>
              <w:t xml:space="preserve">23 </w:t>
            </w:r>
            <w:r w:rsidR="00056252">
              <w:t>November</w:t>
            </w:r>
            <w:r w:rsidR="00625E23" w:rsidRPr="00625E23">
              <w:t xml:space="preserve"> 2015</w:t>
            </w:r>
          </w:p>
        </w:tc>
      </w:tr>
      <w:tr w:rsidR="00625E23" w14:paraId="4858585D" w14:textId="77777777" w:rsidTr="00070277">
        <w:tc>
          <w:tcPr>
            <w:tcW w:w="3402" w:type="dxa"/>
            <w:shd w:val="clear" w:color="auto" w:fill="auto"/>
          </w:tcPr>
          <w:p w14:paraId="1A69A653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  <w:iCs/>
              </w:rPr>
              <w:t>Subject matter:</w:t>
            </w:r>
          </w:p>
        </w:tc>
        <w:tc>
          <w:tcPr>
            <w:tcW w:w="3969" w:type="dxa"/>
            <w:shd w:val="clear" w:color="auto" w:fill="auto"/>
          </w:tcPr>
          <w:p w14:paraId="621E881B" w14:textId="77777777" w:rsidR="00625E23" w:rsidRDefault="000619C9" w:rsidP="00056252">
            <w:pPr>
              <w:pStyle w:val="SingleTxtG"/>
              <w:ind w:left="0" w:right="0"/>
              <w:jc w:val="left"/>
            </w:pPr>
            <w:r>
              <w:t xml:space="preserve">Deportation to </w:t>
            </w:r>
            <w:r w:rsidR="00056252">
              <w:t>Uzbekistan</w:t>
            </w:r>
          </w:p>
        </w:tc>
      </w:tr>
      <w:tr w:rsidR="00625E23" w14:paraId="5C033CD7" w14:textId="77777777" w:rsidTr="00070277">
        <w:tc>
          <w:tcPr>
            <w:tcW w:w="3402" w:type="dxa"/>
            <w:shd w:val="clear" w:color="auto" w:fill="auto"/>
          </w:tcPr>
          <w:p w14:paraId="0042B87D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  <w:iCs/>
              </w:rPr>
            </w:pPr>
            <w:r w:rsidRPr="00D20BB1">
              <w:rPr>
                <w:i/>
                <w:iCs/>
              </w:rPr>
              <w:t>Procedural issues</w:t>
            </w:r>
            <w:r w:rsidRPr="00D20BB1">
              <w:rPr>
                <w:i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1AAC3894" w14:textId="77777777" w:rsidR="00625E23" w:rsidRDefault="007200BC" w:rsidP="000553F2">
            <w:pPr>
              <w:pStyle w:val="SingleTxtG"/>
              <w:ind w:left="0" w:right="0"/>
              <w:jc w:val="left"/>
            </w:pPr>
            <w:r w:rsidRPr="007200BC">
              <w:t xml:space="preserve">Examination by another procedure of international investigation or settlement </w:t>
            </w:r>
          </w:p>
        </w:tc>
      </w:tr>
      <w:tr w:rsidR="00625E23" w14:paraId="749D5C0C" w14:textId="77777777" w:rsidTr="00070277">
        <w:tc>
          <w:tcPr>
            <w:tcW w:w="3402" w:type="dxa"/>
            <w:shd w:val="clear" w:color="auto" w:fill="auto"/>
          </w:tcPr>
          <w:p w14:paraId="0341D95C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  <w:iCs/>
              </w:rPr>
            </w:pPr>
            <w:r w:rsidRPr="00D20BB1">
              <w:rPr>
                <w:i/>
                <w:iCs/>
              </w:rPr>
              <w:t>Substantive issues:</w:t>
            </w:r>
          </w:p>
        </w:tc>
        <w:tc>
          <w:tcPr>
            <w:tcW w:w="3969" w:type="dxa"/>
            <w:shd w:val="clear" w:color="auto" w:fill="auto"/>
          </w:tcPr>
          <w:p w14:paraId="103C4E87" w14:textId="77777777" w:rsidR="00625E23" w:rsidRDefault="000619C9" w:rsidP="0097236C">
            <w:pPr>
              <w:pStyle w:val="SingleTxtG"/>
              <w:ind w:left="0" w:right="0"/>
              <w:jc w:val="left"/>
            </w:pPr>
            <w:r w:rsidRPr="00237D10">
              <w:t>Risk of torture upon return to country of</w:t>
            </w:r>
            <w:r w:rsidR="00284314">
              <w:t> </w:t>
            </w:r>
            <w:r w:rsidRPr="00237D10">
              <w:t>origin</w:t>
            </w:r>
          </w:p>
        </w:tc>
      </w:tr>
      <w:tr w:rsidR="00625E23" w14:paraId="7A74B62B" w14:textId="77777777" w:rsidTr="00070277">
        <w:tc>
          <w:tcPr>
            <w:tcW w:w="3402" w:type="dxa"/>
            <w:shd w:val="clear" w:color="auto" w:fill="auto"/>
          </w:tcPr>
          <w:p w14:paraId="53E12262" w14:textId="77777777" w:rsidR="00625E23" w:rsidRPr="00D20BB1" w:rsidRDefault="00625E23" w:rsidP="00D20BB1">
            <w:pPr>
              <w:pStyle w:val="SingleTxtG"/>
              <w:spacing w:after="240"/>
              <w:ind w:left="0" w:right="0"/>
              <w:jc w:val="left"/>
              <w:rPr>
                <w:i/>
                <w:iCs/>
              </w:rPr>
            </w:pPr>
            <w:r w:rsidRPr="00D20BB1">
              <w:rPr>
                <w:i/>
                <w:iCs/>
              </w:rPr>
              <w:t>Articles of the Convention</w:t>
            </w:r>
            <w:r w:rsidRPr="00D20BB1">
              <w:rPr>
                <w:i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7EF0E456" w14:textId="77777777" w:rsidR="00625E23" w:rsidRDefault="000619C9" w:rsidP="000619C9">
            <w:pPr>
              <w:pStyle w:val="SingleTxtG"/>
              <w:spacing w:after="240"/>
              <w:ind w:left="0" w:right="0"/>
              <w:jc w:val="left"/>
            </w:pPr>
            <w:r>
              <w:t>3</w:t>
            </w:r>
          </w:p>
        </w:tc>
      </w:tr>
    </w:tbl>
    <w:p w14:paraId="6A7D846F" w14:textId="77777777" w:rsidR="00625E23" w:rsidRDefault="00625E23" w:rsidP="00625E23">
      <w:pPr>
        <w:pStyle w:val="HChG"/>
      </w:pPr>
      <w:r w:rsidRPr="00D20BB1">
        <w:rPr>
          <w:rFonts w:eastAsia="SimSun"/>
        </w:rPr>
        <w:br w:type="page"/>
      </w:r>
      <w:r>
        <w:lastRenderedPageBreak/>
        <w:t>Annex</w:t>
      </w:r>
    </w:p>
    <w:p w14:paraId="6C4E770E" w14:textId="77777777" w:rsidR="00625E23" w:rsidRDefault="00625E23" w:rsidP="007446B1">
      <w:pPr>
        <w:pStyle w:val="HChG"/>
      </w:pPr>
      <w:r>
        <w:tab/>
      </w:r>
      <w:r>
        <w:tab/>
      </w:r>
      <w:r w:rsidR="007446B1" w:rsidRPr="007446B1">
        <w:t>Decision of the Committee against Torture under article 22 of the Convention against Torture and Other Cruel, Inhuman or Degrading Treatment or Punishment (fifty-</w:t>
      </w:r>
      <w:r w:rsidR="00056252">
        <w:t>sixth</w:t>
      </w:r>
      <w:r w:rsidR="007446B1" w:rsidRPr="007446B1">
        <w:t xml:space="preserve"> session)</w:t>
      </w:r>
    </w:p>
    <w:p w14:paraId="193A4109" w14:textId="77777777" w:rsidR="00625E23" w:rsidRDefault="00625E23" w:rsidP="00625E23">
      <w:pPr>
        <w:pStyle w:val="SingleTxtG"/>
      </w:pPr>
      <w:r>
        <w:t>concerning</w:t>
      </w:r>
    </w:p>
    <w:p w14:paraId="6ADDADF0" w14:textId="77777777" w:rsidR="00625E23" w:rsidRPr="0062441F" w:rsidRDefault="00625E23" w:rsidP="007446B1">
      <w:pPr>
        <w:pStyle w:val="H1G"/>
      </w:pPr>
      <w:r>
        <w:tab/>
      </w:r>
      <w:r>
        <w:tab/>
      </w:r>
      <w:r w:rsidR="00047959">
        <w:t>Complaint</w:t>
      </w:r>
      <w:r>
        <w:t xml:space="preserve"> No. </w:t>
      </w:r>
      <w:r w:rsidR="007446B1" w:rsidRPr="007446B1">
        <w:t>6</w:t>
      </w:r>
      <w:r w:rsidR="00056252">
        <w:t>43</w:t>
      </w:r>
      <w:r w:rsidR="000619C9">
        <w:t>/</w:t>
      </w:r>
      <w:r w:rsidR="007446B1" w:rsidRPr="007446B1">
        <w:t>2014</w:t>
      </w:r>
      <w:r w:rsidR="008D1BA5" w:rsidRPr="00070277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="00284314">
        <w:rPr>
          <w:b w:val="0"/>
          <w:bCs/>
          <w:sz w:val="20"/>
        </w:rPr>
        <w:t xml:space="preserve"> 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69"/>
      </w:tblGrid>
      <w:tr w:rsidR="00625E23" w14:paraId="2E430F6E" w14:textId="77777777" w:rsidTr="00070277">
        <w:tc>
          <w:tcPr>
            <w:tcW w:w="3402" w:type="dxa"/>
            <w:shd w:val="clear" w:color="auto" w:fill="auto"/>
          </w:tcPr>
          <w:p w14:paraId="5566CED1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Submitted by:</w:t>
            </w:r>
          </w:p>
        </w:tc>
        <w:tc>
          <w:tcPr>
            <w:tcW w:w="3969" w:type="dxa"/>
            <w:shd w:val="clear" w:color="auto" w:fill="auto"/>
          </w:tcPr>
          <w:p w14:paraId="641900DD" w14:textId="77777777" w:rsidR="00625E23" w:rsidRPr="000D1ED1" w:rsidRDefault="007446B1" w:rsidP="0097236C">
            <w:pPr>
              <w:pStyle w:val="SingleTxtG"/>
              <w:ind w:left="0" w:right="0"/>
              <w:jc w:val="left"/>
            </w:pPr>
            <w:r w:rsidRPr="007446B1">
              <w:t xml:space="preserve">Mr. </w:t>
            </w:r>
            <w:r w:rsidR="00B416F8">
              <w:t>U</w:t>
            </w:r>
            <w:r w:rsidR="005D1D45">
              <w:t>.</w:t>
            </w:r>
            <w:r w:rsidR="00B86383">
              <w:t xml:space="preserve"> </w:t>
            </w:r>
            <w:r w:rsidR="00D8286D">
              <w:t xml:space="preserve">(represented by counsel, </w:t>
            </w:r>
            <w:r w:rsidR="00284314">
              <w:br/>
            </w:r>
            <w:r w:rsidR="00056252">
              <w:t>Nima Rostami</w:t>
            </w:r>
            <w:r w:rsidR="00D8286D">
              <w:t>)</w:t>
            </w:r>
          </w:p>
        </w:tc>
      </w:tr>
      <w:tr w:rsidR="00625E23" w14:paraId="136A834A" w14:textId="77777777" w:rsidTr="00070277">
        <w:tc>
          <w:tcPr>
            <w:tcW w:w="3402" w:type="dxa"/>
            <w:shd w:val="clear" w:color="auto" w:fill="auto"/>
          </w:tcPr>
          <w:p w14:paraId="5DB3AD13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Alleged victim:</w:t>
            </w:r>
          </w:p>
        </w:tc>
        <w:tc>
          <w:tcPr>
            <w:tcW w:w="3969" w:type="dxa"/>
            <w:shd w:val="clear" w:color="auto" w:fill="auto"/>
          </w:tcPr>
          <w:p w14:paraId="5103A1FF" w14:textId="77777777" w:rsidR="00625E23" w:rsidRDefault="007446B1" w:rsidP="00D20BB1">
            <w:pPr>
              <w:pStyle w:val="SingleTxtG"/>
              <w:ind w:left="0" w:right="0"/>
              <w:jc w:val="left"/>
            </w:pPr>
            <w:r w:rsidRPr="007446B1">
              <w:t>The complainant</w:t>
            </w:r>
          </w:p>
        </w:tc>
      </w:tr>
      <w:tr w:rsidR="00625E23" w14:paraId="08CCB37C" w14:textId="77777777" w:rsidTr="00070277">
        <w:tc>
          <w:tcPr>
            <w:tcW w:w="3402" w:type="dxa"/>
            <w:shd w:val="clear" w:color="auto" w:fill="auto"/>
          </w:tcPr>
          <w:p w14:paraId="783B6494" w14:textId="77777777" w:rsidR="00625E23" w:rsidRPr="00D20BB1" w:rsidRDefault="00625E23" w:rsidP="00D20BB1">
            <w:pPr>
              <w:pStyle w:val="SingleTxtG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>State party:</w:t>
            </w:r>
          </w:p>
        </w:tc>
        <w:tc>
          <w:tcPr>
            <w:tcW w:w="3969" w:type="dxa"/>
            <w:shd w:val="clear" w:color="auto" w:fill="auto"/>
          </w:tcPr>
          <w:p w14:paraId="198E7289" w14:textId="77777777" w:rsidR="00625E23" w:rsidRDefault="000619C9" w:rsidP="000619C9">
            <w:pPr>
              <w:pStyle w:val="SingleTxtG"/>
              <w:ind w:left="0" w:right="0"/>
              <w:jc w:val="left"/>
            </w:pPr>
            <w:r>
              <w:t>Sweden</w:t>
            </w:r>
          </w:p>
        </w:tc>
      </w:tr>
      <w:tr w:rsidR="00625E23" w14:paraId="7CD6345A" w14:textId="77777777" w:rsidTr="00070277">
        <w:tc>
          <w:tcPr>
            <w:tcW w:w="3402" w:type="dxa"/>
            <w:shd w:val="clear" w:color="auto" w:fill="auto"/>
          </w:tcPr>
          <w:p w14:paraId="300E5AFD" w14:textId="77777777" w:rsidR="00625E23" w:rsidRPr="00D20BB1" w:rsidRDefault="00625E23" w:rsidP="00D20BB1">
            <w:pPr>
              <w:pStyle w:val="SingleTxtG"/>
              <w:spacing w:after="240"/>
              <w:ind w:left="0" w:right="0"/>
              <w:jc w:val="left"/>
              <w:rPr>
                <w:i/>
              </w:rPr>
            </w:pPr>
            <w:r w:rsidRPr="00D20BB1">
              <w:rPr>
                <w:i/>
              </w:rPr>
              <w:t xml:space="preserve">Date of </w:t>
            </w:r>
            <w:r w:rsidR="0084327C" w:rsidRPr="00D20BB1">
              <w:rPr>
                <w:i/>
              </w:rPr>
              <w:t>complaint</w:t>
            </w:r>
            <w:r w:rsidRPr="00D20BB1">
              <w:rPr>
                <w:i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31C56591" w14:textId="77777777" w:rsidR="00625E23" w:rsidRDefault="00056252" w:rsidP="000619C9">
            <w:pPr>
              <w:pStyle w:val="SingleTxtG"/>
              <w:spacing w:after="240"/>
              <w:ind w:left="0" w:right="0"/>
              <w:jc w:val="left"/>
            </w:pPr>
            <w:r>
              <w:t>5</w:t>
            </w:r>
            <w:r w:rsidR="000619C9">
              <w:t xml:space="preserve"> December 2014</w:t>
            </w:r>
            <w:r w:rsidR="007446B1" w:rsidRPr="007446B1">
              <w:t xml:space="preserve"> (initial submission)</w:t>
            </w:r>
          </w:p>
        </w:tc>
      </w:tr>
    </w:tbl>
    <w:p w14:paraId="40A3683E" w14:textId="77777777" w:rsidR="007446B1" w:rsidRDefault="007446B1" w:rsidP="00DF19FA">
      <w:pPr>
        <w:pStyle w:val="SingleTxtG"/>
      </w:pPr>
      <w:r>
        <w:tab/>
      </w:r>
      <w:r w:rsidRPr="007446B1">
        <w:rPr>
          <w:i/>
          <w:iCs/>
        </w:rPr>
        <w:t>The Committee against Torture</w:t>
      </w:r>
      <w:r>
        <w:t xml:space="preserve">, established under article 17 of the Convention against Torture and Other Cruel, Inhuman or Degrading </w:t>
      </w:r>
      <w:r w:rsidRPr="00DF19FA">
        <w:t>Treatment</w:t>
      </w:r>
      <w:r>
        <w:t xml:space="preserve"> or Punishment,</w:t>
      </w:r>
    </w:p>
    <w:p w14:paraId="57E2DCA0" w14:textId="77777777" w:rsidR="007446B1" w:rsidRDefault="007446B1" w:rsidP="007446B1">
      <w:pPr>
        <w:pStyle w:val="SingleTxtG"/>
      </w:pPr>
      <w:r>
        <w:tab/>
      </w:r>
      <w:r w:rsidRPr="000F748D">
        <w:rPr>
          <w:i/>
          <w:iCs/>
        </w:rPr>
        <w:t>Meeting</w:t>
      </w:r>
      <w:r>
        <w:t xml:space="preserve"> on </w:t>
      </w:r>
      <w:r w:rsidR="008D1BA5">
        <w:t xml:space="preserve">23 </w:t>
      </w:r>
      <w:r w:rsidR="00056252">
        <w:t>November</w:t>
      </w:r>
      <w:r>
        <w:t xml:space="preserve"> 2015,</w:t>
      </w:r>
    </w:p>
    <w:p w14:paraId="3536D89E" w14:textId="77777777" w:rsidR="007446B1" w:rsidRDefault="007446B1">
      <w:pPr>
        <w:pStyle w:val="SingleTxtG"/>
      </w:pPr>
      <w:r>
        <w:tab/>
      </w:r>
      <w:r w:rsidRPr="000F748D">
        <w:rPr>
          <w:i/>
          <w:iCs/>
        </w:rPr>
        <w:t>Having concluded</w:t>
      </w:r>
      <w:r>
        <w:t xml:space="preserve"> its consideration of </w:t>
      </w:r>
      <w:r w:rsidR="00EB3C12">
        <w:t xml:space="preserve">the admissibility of </w:t>
      </w:r>
      <w:r w:rsidR="00047959">
        <w:t>complaint</w:t>
      </w:r>
      <w:r w:rsidR="003048FF">
        <w:t xml:space="preserve"> </w:t>
      </w:r>
      <w:r>
        <w:t>No. 6</w:t>
      </w:r>
      <w:r w:rsidR="000619C9">
        <w:t>4</w:t>
      </w:r>
      <w:r w:rsidR="00056252">
        <w:t>3</w:t>
      </w:r>
      <w:r w:rsidR="000619C9">
        <w:t>/2</w:t>
      </w:r>
      <w:r>
        <w:t xml:space="preserve">014, submitted to </w:t>
      </w:r>
      <w:r w:rsidR="0052620A">
        <w:t>it</w:t>
      </w:r>
      <w:r>
        <w:t xml:space="preserve"> by Mr. </w:t>
      </w:r>
      <w:r w:rsidR="00056252">
        <w:t>U</w:t>
      </w:r>
      <w:r w:rsidR="005D1D45">
        <w:t>.</w:t>
      </w:r>
      <w:r w:rsidR="00A70E8B">
        <w:t xml:space="preserve"> </w:t>
      </w:r>
      <w:r>
        <w:t>under article 22 of the Convention,</w:t>
      </w:r>
    </w:p>
    <w:p w14:paraId="1420EDDB" w14:textId="77777777" w:rsidR="007446B1" w:rsidRDefault="007446B1" w:rsidP="00355C1D">
      <w:pPr>
        <w:pStyle w:val="SingleTxtG"/>
      </w:pPr>
      <w:r>
        <w:tab/>
      </w:r>
      <w:r w:rsidRPr="000F748D">
        <w:rPr>
          <w:i/>
          <w:iCs/>
        </w:rPr>
        <w:t>Having taken into account</w:t>
      </w:r>
      <w:r>
        <w:t xml:space="preserve"> all information made available to it by the</w:t>
      </w:r>
      <w:r w:rsidR="00355C1D">
        <w:t xml:space="preserve"> </w:t>
      </w:r>
      <w:r>
        <w:t>complainant</w:t>
      </w:r>
      <w:r w:rsidR="0052620A">
        <w:t>, his counsel</w:t>
      </w:r>
      <w:r>
        <w:t xml:space="preserve"> and the State party,</w:t>
      </w:r>
    </w:p>
    <w:p w14:paraId="4E51B6D6" w14:textId="77777777" w:rsidR="007446B1" w:rsidRDefault="007446B1" w:rsidP="007446B1">
      <w:pPr>
        <w:pStyle w:val="SingleTxtG"/>
      </w:pPr>
      <w:r>
        <w:tab/>
      </w:r>
      <w:r w:rsidRPr="000F748D">
        <w:rPr>
          <w:i/>
          <w:iCs/>
        </w:rPr>
        <w:t>Adopts</w:t>
      </w:r>
      <w:r>
        <w:t xml:space="preserve"> the following: </w:t>
      </w:r>
    </w:p>
    <w:p w14:paraId="2FE00623" w14:textId="77777777" w:rsidR="00BC0104" w:rsidRPr="0096111B" w:rsidRDefault="00BC0104">
      <w:pPr>
        <w:pStyle w:val="H1G"/>
      </w:pPr>
      <w:r>
        <w:tab/>
      </w:r>
      <w:r>
        <w:tab/>
      </w:r>
      <w:r w:rsidRPr="0096111B">
        <w:t>Decision under article 22</w:t>
      </w:r>
      <w:r w:rsidR="00792431">
        <w:t xml:space="preserve"> (7)</w:t>
      </w:r>
      <w:r w:rsidRPr="0096111B">
        <w:t xml:space="preserve"> of the Con</w:t>
      </w:r>
      <w:r w:rsidR="004840AF">
        <w:t>vention</w:t>
      </w:r>
    </w:p>
    <w:p w14:paraId="405830C0" w14:textId="77777777" w:rsidR="00A70E8B" w:rsidRPr="00A84A99" w:rsidRDefault="00BC0104">
      <w:pPr>
        <w:pStyle w:val="SingleTxtG"/>
      </w:pPr>
      <w:r w:rsidRPr="0096111B">
        <w:t>1.1</w:t>
      </w:r>
      <w:r w:rsidRPr="0096111B">
        <w:tab/>
        <w:t xml:space="preserve">The </w:t>
      </w:r>
      <w:r w:rsidR="00047959">
        <w:t>complain</w:t>
      </w:r>
      <w:r w:rsidR="00084F2F">
        <w:t>an</w:t>
      </w:r>
      <w:r w:rsidR="00047959">
        <w:t>t</w:t>
      </w:r>
      <w:r w:rsidRPr="0096111B">
        <w:t xml:space="preserve"> is</w:t>
      </w:r>
      <w:r w:rsidR="00047959">
        <w:t xml:space="preserve"> </w:t>
      </w:r>
      <w:r w:rsidRPr="0096111B">
        <w:t>Mr.</w:t>
      </w:r>
      <w:r w:rsidR="00A70E8B" w:rsidRPr="00A70E8B">
        <w:t xml:space="preserve"> </w:t>
      </w:r>
      <w:r w:rsidR="00056252">
        <w:t>U</w:t>
      </w:r>
      <w:r w:rsidR="005D1D45">
        <w:t>.</w:t>
      </w:r>
      <w:r w:rsidR="00056252">
        <w:t>, an Uzbek</w:t>
      </w:r>
      <w:r w:rsidR="00A70E8B">
        <w:t xml:space="preserve"> national, born in 19</w:t>
      </w:r>
      <w:r w:rsidR="00056252">
        <w:t>82</w:t>
      </w:r>
      <w:r w:rsidR="00A70E8B">
        <w:t>. He</w:t>
      </w:r>
      <w:r w:rsidR="00A70E8B" w:rsidRPr="00A84A99">
        <w:t xml:space="preserve"> claims that h</w:t>
      </w:r>
      <w:r w:rsidR="00A70E8B">
        <w:t>is</w:t>
      </w:r>
      <w:r w:rsidR="00A70E8B" w:rsidRPr="00A84A99">
        <w:t xml:space="preserve"> deportation to </w:t>
      </w:r>
      <w:r w:rsidR="00056252">
        <w:t>Uzbekistan</w:t>
      </w:r>
      <w:r w:rsidR="00A70E8B">
        <w:t xml:space="preserve"> </w:t>
      </w:r>
      <w:r w:rsidR="00A70E8B" w:rsidRPr="00A84A99">
        <w:t xml:space="preserve">would constitute a violation by </w:t>
      </w:r>
      <w:r w:rsidR="00A70E8B">
        <w:t>Sweden</w:t>
      </w:r>
      <w:r w:rsidR="00A70E8B" w:rsidRPr="00A84A99">
        <w:t xml:space="preserve"> of article 3 of the Convention. The complainant is represented by counsel.</w:t>
      </w:r>
    </w:p>
    <w:p w14:paraId="12530CE5" w14:textId="77777777" w:rsidR="00A70E8B" w:rsidRDefault="00A70E8B">
      <w:pPr>
        <w:pStyle w:val="SingleTxtG"/>
      </w:pPr>
      <w:r w:rsidRPr="007B3D4C">
        <w:t>1.2</w:t>
      </w:r>
      <w:r w:rsidRPr="007B3D4C">
        <w:tab/>
      </w:r>
      <w:r>
        <w:rPr>
          <w:lang w:val="en-US"/>
        </w:rPr>
        <w:t xml:space="preserve">On </w:t>
      </w:r>
      <w:r w:rsidR="00056252">
        <w:rPr>
          <w:lang w:val="en-US"/>
        </w:rPr>
        <w:t>14 January</w:t>
      </w:r>
      <w:r>
        <w:rPr>
          <w:lang w:val="en-US"/>
        </w:rPr>
        <w:t xml:space="preserve"> 2014, </w:t>
      </w:r>
      <w:r>
        <w:t xml:space="preserve">the Committee, acting through its Rapporteur on new complaints and interim measures, requested the State party to refrain from expelling the complainant while his complaint was being </w:t>
      </w:r>
      <w:r w:rsidRPr="001716B6">
        <w:t>considered</w:t>
      </w:r>
      <w:r w:rsidRPr="00D501B3">
        <w:t xml:space="preserve">. </w:t>
      </w:r>
      <w:r w:rsidR="009E4F77" w:rsidRPr="009462A3">
        <w:t>The State party complied with the Committee’s request.</w:t>
      </w:r>
    </w:p>
    <w:p w14:paraId="17226A30" w14:textId="77777777" w:rsidR="00BC0104" w:rsidRPr="0096111B" w:rsidRDefault="00BC0104" w:rsidP="00BC0104">
      <w:pPr>
        <w:pStyle w:val="SingleTxtG"/>
      </w:pPr>
      <w:r w:rsidRPr="0096111B">
        <w:t>1.</w:t>
      </w:r>
      <w:r w:rsidR="00A70E8B">
        <w:t>3</w:t>
      </w:r>
      <w:r w:rsidRPr="0096111B">
        <w:tab/>
        <w:t xml:space="preserve">On </w:t>
      </w:r>
      <w:r w:rsidR="00D4202B">
        <w:t>27 March</w:t>
      </w:r>
      <w:r w:rsidR="00A70E8B">
        <w:t xml:space="preserve"> </w:t>
      </w:r>
      <w:r w:rsidRPr="0096111B">
        <w:t>2015, at the request of the State party, the Committee, acting through its</w:t>
      </w:r>
      <w:r w:rsidR="009D7B7D">
        <w:t xml:space="preserve"> </w:t>
      </w:r>
      <w:r w:rsidRPr="0096111B">
        <w:t>Rapporteur on new com</w:t>
      </w:r>
      <w:r w:rsidR="00A70E8B">
        <w:t>plaints</w:t>
      </w:r>
      <w:r w:rsidRPr="0096111B">
        <w:t xml:space="preserve"> and interim measures, decided to examine the admissibility of the </w:t>
      </w:r>
      <w:r w:rsidR="00047959">
        <w:t>complaint</w:t>
      </w:r>
      <w:r w:rsidRPr="0096111B">
        <w:t xml:space="preserve"> separately from the merits. </w:t>
      </w:r>
    </w:p>
    <w:p w14:paraId="1E50615F" w14:textId="77777777" w:rsidR="000619C9" w:rsidRPr="008656F2" w:rsidRDefault="000619C9" w:rsidP="00E53B3A">
      <w:pPr>
        <w:pStyle w:val="H23G"/>
      </w:pPr>
      <w:r>
        <w:lastRenderedPageBreak/>
        <w:tab/>
      </w:r>
      <w:r w:rsidR="00BB0CD5">
        <w:tab/>
      </w:r>
      <w:r w:rsidR="00792431">
        <w:t>F</w:t>
      </w:r>
      <w:r w:rsidRPr="00835F3F">
        <w:t>acts as presented by the complainant</w:t>
      </w:r>
    </w:p>
    <w:p w14:paraId="0CB43A41" w14:textId="77777777" w:rsidR="0044415E" w:rsidRDefault="000619C9">
      <w:pPr>
        <w:pStyle w:val="SingleTxtG"/>
        <w:rPr>
          <w:lang w:val="en-US"/>
        </w:rPr>
      </w:pPr>
      <w:r w:rsidRPr="008656F2">
        <w:t>2.1</w:t>
      </w:r>
      <w:r w:rsidRPr="008656F2">
        <w:tab/>
      </w:r>
      <w:r w:rsidR="0044415E">
        <w:rPr>
          <w:lang w:val="en-US"/>
        </w:rPr>
        <w:t>The complainant</w:t>
      </w:r>
      <w:r w:rsidR="0044415E" w:rsidRPr="00EE4925">
        <w:rPr>
          <w:lang w:val="en-US"/>
        </w:rPr>
        <w:t xml:space="preserve"> is from Tashkent</w:t>
      </w:r>
      <w:r w:rsidR="00B416F8">
        <w:rPr>
          <w:lang w:val="en-US"/>
        </w:rPr>
        <w:t>, Uzbekistan</w:t>
      </w:r>
      <w:r w:rsidR="0044415E" w:rsidRPr="00EE4925">
        <w:rPr>
          <w:lang w:val="en-US"/>
        </w:rPr>
        <w:t xml:space="preserve">. He is a devout Muslim and </w:t>
      </w:r>
      <w:r w:rsidR="0044415E" w:rsidRPr="002452D6">
        <w:rPr>
          <w:lang w:val="en-US"/>
        </w:rPr>
        <w:t xml:space="preserve">prays five times a day. On a number of occasions, </w:t>
      </w:r>
      <w:r w:rsidR="0044415E">
        <w:rPr>
          <w:lang w:val="en-US"/>
        </w:rPr>
        <w:t>he</w:t>
      </w:r>
      <w:r w:rsidR="0044415E" w:rsidRPr="002452D6">
        <w:rPr>
          <w:lang w:val="en-US"/>
        </w:rPr>
        <w:t xml:space="preserve"> </w:t>
      </w:r>
      <w:r w:rsidR="00711B96">
        <w:rPr>
          <w:lang w:val="en-US"/>
        </w:rPr>
        <w:t>had been</w:t>
      </w:r>
      <w:r w:rsidR="0044415E" w:rsidRPr="002452D6">
        <w:rPr>
          <w:lang w:val="en-US"/>
        </w:rPr>
        <w:t xml:space="preserve"> stopped by police who urged him to shave off his beard. He had previously worked as a driver in the military</w:t>
      </w:r>
      <w:r w:rsidR="00792431">
        <w:rPr>
          <w:lang w:val="en-US"/>
        </w:rPr>
        <w:t>,</w:t>
      </w:r>
      <w:r w:rsidR="0044415E" w:rsidRPr="002452D6">
        <w:rPr>
          <w:lang w:val="en-US"/>
        </w:rPr>
        <w:t xml:space="preserve"> participated in the events </w:t>
      </w:r>
      <w:r w:rsidR="0044415E">
        <w:rPr>
          <w:lang w:val="en-US"/>
        </w:rPr>
        <w:t>of</w:t>
      </w:r>
      <w:r w:rsidR="0044415E" w:rsidRPr="002452D6">
        <w:rPr>
          <w:lang w:val="en-US"/>
        </w:rPr>
        <w:t xml:space="preserve"> 2005</w:t>
      </w:r>
      <w:r w:rsidR="0044415E">
        <w:rPr>
          <w:lang w:val="en-US"/>
        </w:rPr>
        <w:t xml:space="preserve"> </w:t>
      </w:r>
      <w:r w:rsidR="0044415E" w:rsidRPr="002452D6">
        <w:rPr>
          <w:lang w:val="en-US"/>
        </w:rPr>
        <w:t xml:space="preserve">in </w:t>
      </w:r>
      <w:r w:rsidR="008E13C0">
        <w:rPr>
          <w:lang w:val="en-US"/>
        </w:rPr>
        <w:t>Andijan</w:t>
      </w:r>
      <w:r w:rsidR="000E38B8">
        <w:rPr>
          <w:lang w:val="en-US"/>
        </w:rPr>
        <w:t xml:space="preserve">, </w:t>
      </w:r>
      <w:r w:rsidR="0089489C">
        <w:rPr>
          <w:lang w:val="en-US"/>
        </w:rPr>
        <w:t>and</w:t>
      </w:r>
      <w:r w:rsidR="000E38B8">
        <w:rPr>
          <w:lang w:val="en-US"/>
        </w:rPr>
        <w:t xml:space="preserve"> worked for the </w:t>
      </w:r>
      <w:r w:rsidR="0089489C">
        <w:rPr>
          <w:lang w:val="en-US"/>
        </w:rPr>
        <w:t>G</w:t>
      </w:r>
      <w:r w:rsidR="000E38B8">
        <w:rPr>
          <w:lang w:val="en-US"/>
        </w:rPr>
        <w:t>overnment</w:t>
      </w:r>
      <w:r w:rsidR="0044415E">
        <w:rPr>
          <w:lang w:val="en-US"/>
        </w:rPr>
        <w:t xml:space="preserve">. </w:t>
      </w:r>
    </w:p>
    <w:p w14:paraId="792B80B0" w14:textId="77777777" w:rsidR="0044415E" w:rsidRDefault="0044415E" w:rsidP="00070277">
      <w:pPr>
        <w:pStyle w:val="SingleTxtG"/>
        <w:rPr>
          <w:lang w:val="en-US"/>
        </w:rPr>
      </w:pPr>
      <w:r w:rsidRPr="002452D6">
        <w:rPr>
          <w:lang w:val="en-US"/>
        </w:rPr>
        <w:t>2.2</w:t>
      </w:r>
      <w:r w:rsidR="005D1D45">
        <w:rPr>
          <w:lang w:val="en-US"/>
        </w:rPr>
        <w:tab/>
      </w:r>
      <w:r w:rsidRPr="002452D6">
        <w:rPr>
          <w:lang w:val="en-US"/>
        </w:rPr>
        <w:t>On 30</w:t>
      </w:r>
      <w:r w:rsidRPr="00EE4925">
        <w:rPr>
          <w:lang w:val="en-US"/>
        </w:rPr>
        <w:t xml:space="preserve"> April 2013, </w:t>
      </w:r>
      <w:r>
        <w:rPr>
          <w:lang w:val="en-US"/>
        </w:rPr>
        <w:t>the complainant</w:t>
      </w:r>
      <w:r w:rsidRPr="00EE4925">
        <w:rPr>
          <w:lang w:val="en-US"/>
        </w:rPr>
        <w:t xml:space="preserve"> was stopped by</w:t>
      </w:r>
      <w:r>
        <w:rPr>
          <w:lang w:val="en-US"/>
        </w:rPr>
        <w:t xml:space="preserve"> two</w:t>
      </w:r>
      <w:r w:rsidRPr="00EE4925">
        <w:rPr>
          <w:lang w:val="en-US"/>
        </w:rPr>
        <w:t xml:space="preserve"> police </w:t>
      </w:r>
      <w:r>
        <w:rPr>
          <w:lang w:val="en-US"/>
        </w:rPr>
        <w:t>officers on his way home from a</w:t>
      </w:r>
      <w:r w:rsidRPr="00EE4925">
        <w:rPr>
          <w:lang w:val="en-US"/>
        </w:rPr>
        <w:t xml:space="preserve"> mosque. </w:t>
      </w:r>
      <w:r>
        <w:rPr>
          <w:lang w:val="en-US"/>
        </w:rPr>
        <w:t>He was questioned because he had</w:t>
      </w:r>
      <w:r w:rsidRPr="00EE4925">
        <w:rPr>
          <w:lang w:val="en-US"/>
        </w:rPr>
        <w:t xml:space="preserve"> religious attributes</w:t>
      </w:r>
      <w:r>
        <w:rPr>
          <w:lang w:val="en-US"/>
        </w:rPr>
        <w:t xml:space="preserve"> on him</w:t>
      </w:r>
      <w:r w:rsidRPr="00EE4925">
        <w:rPr>
          <w:lang w:val="en-US"/>
        </w:rPr>
        <w:t xml:space="preserve">. </w:t>
      </w:r>
      <w:r>
        <w:rPr>
          <w:lang w:val="en-US"/>
        </w:rPr>
        <w:t>As</w:t>
      </w:r>
      <w:r w:rsidRPr="00EE4925">
        <w:rPr>
          <w:lang w:val="en-US"/>
        </w:rPr>
        <w:t xml:space="preserve"> he could not </w:t>
      </w:r>
      <w:r>
        <w:rPr>
          <w:lang w:val="en-US"/>
        </w:rPr>
        <w:t>show</w:t>
      </w:r>
      <w:r w:rsidRPr="00EE4925">
        <w:rPr>
          <w:lang w:val="en-US"/>
        </w:rPr>
        <w:t xml:space="preserve"> his passport</w:t>
      </w:r>
      <w:r>
        <w:rPr>
          <w:lang w:val="en-US"/>
        </w:rPr>
        <w:t>,</w:t>
      </w:r>
      <w:r w:rsidRPr="00EE4925">
        <w:rPr>
          <w:lang w:val="en-US"/>
        </w:rPr>
        <w:t xml:space="preserve"> </w:t>
      </w:r>
      <w:r>
        <w:rPr>
          <w:lang w:val="en-US"/>
        </w:rPr>
        <w:t>he was taken to a police car. In the car</w:t>
      </w:r>
      <w:r w:rsidR="00F4469F">
        <w:rPr>
          <w:lang w:val="en-US"/>
        </w:rPr>
        <w:t>,</w:t>
      </w:r>
      <w:r>
        <w:rPr>
          <w:lang w:val="en-US"/>
        </w:rPr>
        <w:t xml:space="preserve"> he </w:t>
      </w:r>
      <w:r w:rsidR="00F4469F">
        <w:rPr>
          <w:lang w:val="en-US"/>
        </w:rPr>
        <w:t xml:space="preserve">became </w:t>
      </w:r>
      <w:r>
        <w:rPr>
          <w:lang w:val="en-US"/>
        </w:rPr>
        <w:t xml:space="preserve">agitated and started to criticize the </w:t>
      </w:r>
      <w:r w:rsidR="00F4469F">
        <w:rPr>
          <w:lang w:val="en-US"/>
        </w:rPr>
        <w:t>G</w:t>
      </w:r>
      <w:r>
        <w:rPr>
          <w:lang w:val="en-US"/>
        </w:rPr>
        <w:t>overnment and the ruling regime</w:t>
      </w:r>
      <w:r w:rsidRPr="00EE4925">
        <w:rPr>
          <w:lang w:val="en-US"/>
        </w:rPr>
        <w:t>. The polic</w:t>
      </w:r>
      <w:r>
        <w:rPr>
          <w:lang w:val="en-US"/>
        </w:rPr>
        <w:t>e officers</w:t>
      </w:r>
      <w:r w:rsidRPr="00EE4925">
        <w:rPr>
          <w:lang w:val="en-US"/>
        </w:rPr>
        <w:t xml:space="preserve"> became violent and</w:t>
      </w:r>
      <w:r>
        <w:rPr>
          <w:lang w:val="en-US"/>
        </w:rPr>
        <w:t>,</w:t>
      </w:r>
      <w:r w:rsidRPr="00EE4925">
        <w:rPr>
          <w:lang w:val="en-US"/>
        </w:rPr>
        <w:t xml:space="preserve"> in self-defen</w:t>
      </w:r>
      <w:r w:rsidR="00F4469F">
        <w:rPr>
          <w:lang w:val="en-US"/>
        </w:rPr>
        <w:t>c</w:t>
      </w:r>
      <w:r w:rsidRPr="00EE4925">
        <w:rPr>
          <w:lang w:val="en-US"/>
        </w:rPr>
        <w:t xml:space="preserve">e, </w:t>
      </w:r>
      <w:r>
        <w:rPr>
          <w:lang w:val="en-US"/>
        </w:rPr>
        <w:t xml:space="preserve">the </w:t>
      </w:r>
      <w:r w:rsidRPr="002452D6">
        <w:rPr>
          <w:lang w:val="en-US"/>
        </w:rPr>
        <w:t>complainant beat them and fled</w:t>
      </w:r>
      <w:r w:rsidR="005D1D45">
        <w:rPr>
          <w:lang w:val="en-US"/>
        </w:rPr>
        <w:t>.</w:t>
      </w:r>
    </w:p>
    <w:p w14:paraId="14F4DF2B" w14:textId="77777777" w:rsidR="0044415E" w:rsidRPr="00070277" w:rsidRDefault="0044415E">
      <w:pPr>
        <w:pStyle w:val="SingleTxtG"/>
      </w:pPr>
      <w:r w:rsidRPr="002452D6">
        <w:rPr>
          <w:lang w:val="en-US"/>
        </w:rPr>
        <w:t>2.3</w:t>
      </w:r>
      <w:r w:rsidR="005D1D45">
        <w:rPr>
          <w:lang w:val="en-US"/>
        </w:rPr>
        <w:tab/>
      </w:r>
      <w:r w:rsidRPr="002452D6">
        <w:rPr>
          <w:lang w:val="en-US"/>
        </w:rPr>
        <w:t xml:space="preserve">On 1 May 2013, </w:t>
      </w:r>
      <w:r w:rsidR="00450FDE">
        <w:rPr>
          <w:lang w:val="en-US"/>
        </w:rPr>
        <w:t>t</w:t>
      </w:r>
      <w:r w:rsidRPr="002452D6">
        <w:rPr>
          <w:lang w:val="en-US"/>
        </w:rPr>
        <w:t>he</w:t>
      </w:r>
      <w:r w:rsidR="00450FDE">
        <w:rPr>
          <w:lang w:val="en-US"/>
        </w:rPr>
        <w:t xml:space="preserve"> complainant</w:t>
      </w:r>
      <w:r w:rsidRPr="002452D6">
        <w:rPr>
          <w:lang w:val="en-US"/>
        </w:rPr>
        <w:t xml:space="preserve"> left the country illegally and travelled to </w:t>
      </w:r>
      <w:r>
        <w:rPr>
          <w:lang w:val="en-US"/>
        </w:rPr>
        <w:t>Sweden</w:t>
      </w:r>
      <w:r w:rsidRPr="002452D6">
        <w:rPr>
          <w:lang w:val="en-US"/>
        </w:rPr>
        <w:t>.</w:t>
      </w:r>
      <w:r>
        <w:rPr>
          <w:lang w:val="en-US"/>
        </w:rPr>
        <w:t xml:space="preserve"> He arrived in Sweden on 12 May 2013 and applied for asylum</w:t>
      </w:r>
      <w:r w:rsidR="00711B96">
        <w:rPr>
          <w:lang w:val="en-US"/>
        </w:rPr>
        <w:t xml:space="preserve"> on the same</w:t>
      </w:r>
      <w:r w:rsidR="00B416F8">
        <w:rPr>
          <w:lang w:val="en-US"/>
        </w:rPr>
        <w:t xml:space="preserve"> day</w:t>
      </w:r>
      <w:r>
        <w:rPr>
          <w:lang w:val="en-US"/>
        </w:rPr>
        <w:t xml:space="preserve">. On 27 September 2013, the Swedish Migration Board rejected his application </w:t>
      </w:r>
      <w:r w:rsidR="00F4469F">
        <w:rPr>
          <w:lang w:val="en-US"/>
        </w:rPr>
        <w:t>because</w:t>
      </w:r>
      <w:r>
        <w:rPr>
          <w:lang w:val="en-US"/>
        </w:rPr>
        <w:t xml:space="preserve"> it considered that the complainant’s story lacked credibility. On an unspecified date, the complainant appealed the Board’s negative decision</w:t>
      </w:r>
      <w:r w:rsidR="00E53B3A">
        <w:rPr>
          <w:lang w:val="en-US"/>
        </w:rPr>
        <w:t>. The appeal</w:t>
      </w:r>
      <w:r>
        <w:rPr>
          <w:lang w:val="en-US"/>
        </w:rPr>
        <w:t xml:space="preserve"> was dismissed by the Migration Court on 4 February 2014. </w:t>
      </w:r>
      <w:r w:rsidR="00711B96">
        <w:rPr>
          <w:lang w:val="en-US"/>
        </w:rPr>
        <w:t xml:space="preserve">On an unspecified date, the complainant applied for </w:t>
      </w:r>
      <w:r w:rsidR="00E51384">
        <w:rPr>
          <w:lang w:val="en-US"/>
        </w:rPr>
        <w:t>leave to appeal</w:t>
      </w:r>
      <w:r w:rsidR="00E53B3A">
        <w:rPr>
          <w:lang w:val="en-US"/>
        </w:rPr>
        <w:t xml:space="preserve"> the Migration Court decision</w:t>
      </w:r>
      <w:r w:rsidR="00F4469F">
        <w:rPr>
          <w:lang w:val="en-US"/>
        </w:rPr>
        <w:t xml:space="preserve">, </w:t>
      </w:r>
      <w:r w:rsidR="00E53B3A">
        <w:rPr>
          <w:lang w:val="en-US"/>
        </w:rPr>
        <w:t>which</w:t>
      </w:r>
      <w:r w:rsidR="00E51384">
        <w:rPr>
          <w:lang w:val="en-US"/>
        </w:rPr>
        <w:t xml:space="preserve"> was denied by the </w:t>
      </w:r>
      <w:r>
        <w:rPr>
          <w:lang w:val="en-US"/>
        </w:rPr>
        <w:t>Migration Court of Appeal on 7 March 2014.</w:t>
      </w:r>
      <w:r w:rsidRPr="002452D6">
        <w:rPr>
          <w:lang w:val="en-US"/>
        </w:rPr>
        <w:t xml:space="preserve"> </w:t>
      </w:r>
    </w:p>
    <w:p w14:paraId="11223896" w14:textId="77777777" w:rsidR="0044415E" w:rsidRDefault="0044415E">
      <w:pPr>
        <w:pStyle w:val="SingleTxtG"/>
        <w:rPr>
          <w:lang w:val="en-US"/>
        </w:rPr>
      </w:pPr>
      <w:r>
        <w:rPr>
          <w:lang w:val="en-US"/>
        </w:rPr>
        <w:t>2.4</w:t>
      </w:r>
      <w:r w:rsidR="00450FDE">
        <w:rPr>
          <w:lang w:val="en-US"/>
        </w:rPr>
        <w:tab/>
      </w:r>
      <w:r>
        <w:rPr>
          <w:lang w:val="en-US"/>
        </w:rPr>
        <w:t>On 2 October 2014, the complainant married a Ukrainian woman in a Muslim</w:t>
      </w:r>
      <w:r w:rsidR="00792431">
        <w:rPr>
          <w:lang w:val="en-US"/>
        </w:rPr>
        <w:t xml:space="preserve"> </w:t>
      </w:r>
      <w:r>
        <w:rPr>
          <w:lang w:val="en-US"/>
        </w:rPr>
        <w:t>religious ceremony</w:t>
      </w:r>
      <w:r w:rsidR="00792431">
        <w:rPr>
          <w:lang w:val="en-US"/>
        </w:rPr>
        <w:t>. She</w:t>
      </w:r>
      <w:r w:rsidR="00033D99">
        <w:rPr>
          <w:lang w:val="en-US"/>
        </w:rPr>
        <w:t xml:space="preserve"> also </w:t>
      </w:r>
      <w:r w:rsidR="00792431">
        <w:rPr>
          <w:lang w:val="en-US"/>
        </w:rPr>
        <w:t xml:space="preserve">had </w:t>
      </w:r>
      <w:r w:rsidR="00033D99">
        <w:rPr>
          <w:lang w:val="en-US"/>
        </w:rPr>
        <w:t>ongoing asylum proceedings before the Swedish migration authorities</w:t>
      </w:r>
      <w:r>
        <w:rPr>
          <w:lang w:val="en-US"/>
        </w:rPr>
        <w:t>.</w:t>
      </w:r>
      <w:r w:rsidR="00136EB7">
        <w:rPr>
          <w:lang w:val="en-US"/>
        </w:rPr>
        <w:t xml:space="preserve"> On an unspecified date, the complainant was detained by the </w:t>
      </w:r>
      <w:r w:rsidR="00B416F8">
        <w:rPr>
          <w:lang w:val="en-US"/>
        </w:rPr>
        <w:t xml:space="preserve">Swedish </w:t>
      </w:r>
      <w:r w:rsidR="00136EB7">
        <w:rPr>
          <w:lang w:val="en-US"/>
        </w:rPr>
        <w:t>migration authorities.</w:t>
      </w:r>
    </w:p>
    <w:p w14:paraId="68E17C4D" w14:textId="77777777" w:rsidR="0044415E" w:rsidRPr="00070277" w:rsidRDefault="0044415E" w:rsidP="0097236C">
      <w:pPr>
        <w:pStyle w:val="SingleTxtG"/>
      </w:pPr>
      <w:r>
        <w:rPr>
          <w:lang w:val="en-US"/>
        </w:rPr>
        <w:t>2.5</w:t>
      </w:r>
      <w:r w:rsidR="00450FDE">
        <w:rPr>
          <w:lang w:val="en-US"/>
        </w:rPr>
        <w:tab/>
      </w:r>
      <w:r w:rsidR="00136EB7">
        <w:rPr>
          <w:lang w:val="en-US"/>
        </w:rPr>
        <w:t xml:space="preserve">On 19 November 2014, the complainant applied for </w:t>
      </w:r>
      <w:r w:rsidR="00B416F8">
        <w:rPr>
          <w:lang w:val="en-US"/>
        </w:rPr>
        <w:t xml:space="preserve">a </w:t>
      </w:r>
      <w:r w:rsidR="00136EB7">
        <w:rPr>
          <w:lang w:val="en-US"/>
        </w:rPr>
        <w:t xml:space="preserve">“suspension and stay of execution” and presented new circumstances before the Swedish Migration Board. He </w:t>
      </w:r>
      <w:r w:rsidR="00450FDE">
        <w:rPr>
          <w:lang w:val="en-US"/>
        </w:rPr>
        <w:t xml:space="preserve">submitted </w:t>
      </w:r>
      <w:r w:rsidR="00136EB7">
        <w:rPr>
          <w:lang w:val="en-US"/>
        </w:rPr>
        <w:t>that he</w:t>
      </w:r>
      <w:r>
        <w:rPr>
          <w:lang w:val="en-US"/>
        </w:rPr>
        <w:t xml:space="preserve"> </w:t>
      </w:r>
      <w:r w:rsidRPr="002452D6">
        <w:rPr>
          <w:lang w:val="en-US"/>
        </w:rPr>
        <w:t>ha</w:t>
      </w:r>
      <w:r w:rsidR="00136EB7">
        <w:rPr>
          <w:lang w:val="en-US"/>
        </w:rPr>
        <w:t>d</w:t>
      </w:r>
      <w:r w:rsidRPr="002452D6">
        <w:rPr>
          <w:lang w:val="en-US"/>
        </w:rPr>
        <w:t xml:space="preserve"> been in contact with his </w:t>
      </w:r>
      <w:r w:rsidR="00136EB7">
        <w:rPr>
          <w:lang w:val="en-US"/>
        </w:rPr>
        <w:t>mother</w:t>
      </w:r>
      <w:r w:rsidRPr="002452D6">
        <w:rPr>
          <w:lang w:val="en-US"/>
        </w:rPr>
        <w:t xml:space="preserve"> in Uzbekistan and was told</w:t>
      </w:r>
      <w:r>
        <w:rPr>
          <w:lang w:val="en-US"/>
        </w:rPr>
        <w:t xml:space="preserve"> that his father and brothers had been questioned by the police </w:t>
      </w:r>
      <w:r w:rsidRPr="00944E5F">
        <w:rPr>
          <w:lang w:val="en-US"/>
        </w:rPr>
        <w:t xml:space="preserve">about </w:t>
      </w:r>
      <w:r>
        <w:rPr>
          <w:lang w:val="en-US"/>
        </w:rPr>
        <w:t>his</w:t>
      </w:r>
      <w:r w:rsidRPr="00944E5F">
        <w:rPr>
          <w:lang w:val="en-US"/>
        </w:rPr>
        <w:t xml:space="preserve"> whereabouts and that he was going to be arrested if he return</w:t>
      </w:r>
      <w:r w:rsidR="00F4469F">
        <w:rPr>
          <w:lang w:val="en-US"/>
        </w:rPr>
        <w:t>ed</w:t>
      </w:r>
      <w:r w:rsidRPr="00944E5F">
        <w:rPr>
          <w:lang w:val="en-US"/>
        </w:rPr>
        <w:t xml:space="preserve">. </w:t>
      </w:r>
      <w:r w:rsidR="00B416F8">
        <w:rPr>
          <w:lang w:val="en-US"/>
        </w:rPr>
        <w:t>The complainant submits that t</w:t>
      </w:r>
      <w:r w:rsidRPr="00944E5F">
        <w:rPr>
          <w:lang w:val="en-US"/>
        </w:rPr>
        <w:t xml:space="preserve">he reason </w:t>
      </w:r>
      <w:r>
        <w:rPr>
          <w:lang w:val="en-US"/>
        </w:rPr>
        <w:t xml:space="preserve">why the police </w:t>
      </w:r>
      <w:r w:rsidR="00136EB7">
        <w:rPr>
          <w:lang w:val="en-US"/>
        </w:rPr>
        <w:t>were</w:t>
      </w:r>
      <w:r>
        <w:rPr>
          <w:lang w:val="en-US"/>
        </w:rPr>
        <w:t xml:space="preserve"> still looking for </w:t>
      </w:r>
      <w:r w:rsidR="00B416F8">
        <w:rPr>
          <w:lang w:val="en-US"/>
        </w:rPr>
        <w:t>him</w:t>
      </w:r>
      <w:r>
        <w:rPr>
          <w:lang w:val="en-US"/>
        </w:rPr>
        <w:t xml:space="preserve"> </w:t>
      </w:r>
      <w:r w:rsidR="00136EB7">
        <w:rPr>
          <w:lang w:val="en-US"/>
        </w:rPr>
        <w:t>was</w:t>
      </w:r>
      <w:r>
        <w:rPr>
          <w:lang w:val="en-US"/>
        </w:rPr>
        <w:t xml:space="preserve"> because he had criticized the </w:t>
      </w:r>
      <w:r w:rsidR="002B140B">
        <w:rPr>
          <w:lang w:val="en-US"/>
        </w:rPr>
        <w:t>P</w:t>
      </w:r>
      <w:r>
        <w:rPr>
          <w:lang w:val="en-US"/>
        </w:rPr>
        <w:t>resident of Uzbekistan and his</w:t>
      </w:r>
      <w:r w:rsidRPr="00944E5F">
        <w:rPr>
          <w:lang w:val="en-US"/>
        </w:rPr>
        <w:t xml:space="preserve"> regime </w:t>
      </w:r>
      <w:r>
        <w:rPr>
          <w:lang w:val="en-US"/>
        </w:rPr>
        <w:t xml:space="preserve">on </w:t>
      </w:r>
      <w:r w:rsidR="00F4469F">
        <w:rPr>
          <w:lang w:val="en-US"/>
        </w:rPr>
        <w:t>the I</w:t>
      </w:r>
      <w:r>
        <w:rPr>
          <w:lang w:val="en-US"/>
        </w:rPr>
        <w:t>nternet</w:t>
      </w:r>
      <w:r w:rsidRPr="00944E5F">
        <w:rPr>
          <w:lang w:val="en-US"/>
        </w:rPr>
        <w:t xml:space="preserve">. </w:t>
      </w:r>
      <w:r>
        <w:rPr>
          <w:lang w:val="en-US"/>
        </w:rPr>
        <w:t>He had posted a critic</w:t>
      </w:r>
      <w:r w:rsidR="00F4469F">
        <w:rPr>
          <w:lang w:val="en-US"/>
        </w:rPr>
        <w:t>al</w:t>
      </w:r>
      <w:r>
        <w:rPr>
          <w:lang w:val="en-US"/>
        </w:rPr>
        <w:t xml:space="preserve"> video on YouTube in support of </w:t>
      </w:r>
      <w:r w:rsidR="00450FDE">
        <w:rPr>
          <w:lang w:val="en-US"/>
        </w:rPr>
        <w:t>a</w:t>
      </w:r>
      <w:r>
        <w:rPr>
          <w:lang w:val="en-US"/>
        </w:rPr>
        <w:t xml:space="preserve"> person</w:t>
      </w:r>
      <w:r w:rsidRPr="00944E5F">
        <w:rPr>
          <w:lang w:val="en-US"/>
        </w:rPr>
        <w:t xml:space="preserve"> who </w:t>
      </w:r>
      <w:r>
        <w:rPr>
          <w:lang w:val="en-US"/>
        </w:rPr>
        <w:t>oppose</w:t>
      </w:r>
      <w:r w:rsidR="00450FDE">
        <w:rPr>
          <w:lang w:val="en-US"/>
        </w:rPr>
        <w:t>d</w:t>
      </w:r>
      <w:r>
        <w:rPr>
          <w:lang w:val="en-US"/>
        </w:rPr>
        <w:t xml:space="preserve"> the </w:t>
      </w:r>
      <w:r w:rsidR="00F4469F">
        <w:rPr>
          <w:lang w:val="en-US"/>
        </w:rPr>
        <w:t>P</w:t>
      </w:r>
      <w:r>
        <w:rPr>
          <w:lang w:val="en-US"/>
        </w:rPr>
        <w:t xml:space="preserve">resident’s regime. </w:t>
      </w:r>
      <w:r w:rsidR="00136EB7">
        <w:rPr>
          <w:lang w:val="en-US"/>
        </w:rPr>
        <w:t>On 27 November 2014, the Migration Court rejected the complainant’s application and concluded that the information presented by him was not “new”.</w:t>
      </w:r>
      <w:r w:rsidR="00033D99">
        <w:rPr>
          <w:lang w:val="en-US"/>
        </w:rPr>
        <w:t xml:space="preserve"> </w:t>
      </w:r>
      <w:r>
        <w:rPr>
          <w:lang w:val="en-US"/>
        </w:rPr>
        <w:t xml:space="preserve">On an unspecified date, the complainant </w:t>
      </w:r>
      <w:r w:rsidR="00450FDE">
        <w:rPr>
          <w:lang w:val="en-US"/>
        </w:rPr>
        <w:t>filed an application</w:t>
      </w:r>
      <w:r>
        <w:rPr>
          <w:lang w:val="en-US"/>
        </w:rPr>
        <w:t xml:space="preserve"> to the Migration Court of Appeal for leave to appeal, </w:t>
      </w:r>
      <w:r w:rsidR="002B140B">
        <w:rPr>
          <w:lang w:val="en-US"/>
        </w:rPr>
        <w:t>which</w:t>
      </w:r>
      <w:r w:rsidR="0097236C">
        <w:rPr>
          <w:lang w:val="en-US"/>
        </w:rPr>
        <w:t xml:space="preserve"> </w:t>
      </w:r>
      <w:r>
        <w:rPr>
          <w:lang w:val="en-US"/>
        </w:rPr>
        <w:t>was dismissed by the Court on 5 December 2014.</w:t>
      </w:r>
    </w:p>
    <w:p w14:paraId="2D6A7D73" w14:textId="77777777" w:rsidR="00F75877" w:rsidRDefault="00FC6D73" w:rsidP="0097236C">
      <w:pPr>
        <w:pStyle w:val="SingleTxtG"/>
      </w:pPr>
      <w:r>
        <w:t>2.6</w:t>
      </w:r>
      <w:r w:rsidR="004E18AA">
        <w:tab/>
      </w:r>
      <w:r w:rsidR="00D53AD6">
        <w:t xml:space="preserve">On </w:t>
      </w:r>
      <w:r w:rsidR="00DC2F9C">
        <w:t>11 December</w:t>
      </w:r>
      <w:r w:rsidR="000E7368">
        <w:t xml:space="preserve"> 2014, </w:t>
      </w:r>
      <w:r w:rsidR="00D53AD6">
        <w:t xml:space="preserve">the complainant </w:t>
      </w:r>
      <w:r w:rsidR="00DC2F9C">
        <w:t xml:space="preserve">submitted that </w:t>
      </w:r>
      <w:r>
        <w:t xml:space="preserve">he had </w:t>
      </w:r>
      <w:r w:rsidR="00D53AD6">
        <w:t xml:space="preserve">lodged an application and </w:t>
      </w:r>
      <w:r w:rsidR="0097236C">
        <w:t xml:space="preserve">a </w:t>
      </w:r>
      <w:r w:rsidR="00D53AD6">
        <w:t xml:space="preserve">request for interim measures before the European Court of Human Rights </w:t>
      </w:r>
      <w:r>
        <w:t>on 26 November 2014</w:t>
      </w:r>
      <w:r w:rsidR="00D53AD6">
        <w:t>.</w:t>
      </w:r>
      <w:r w:rsidR="00C2055D">
        <w:t xml:space="preserve"> On </w:t>
      </w:r>
      <w:r w:rsidR="009462A3">
        <w:t xml:space="preserve">27 </w:t>
      </w:r>
      <w:r w:rsidR="00C2055D">
        <w:t xml:space="preserve">November 2014, the </w:t>
      </w:r>
      <w:r w:rsidR="00F4469F">
        <w:t>Court</w:t>
      </w:r>
      <w:r w:rsidR="00C2055D">
        <w:t xml:space="preserve"> rejected the complainant’s request for interim measures</w:t>
      </w:r>
      <w:r w:rsidR="0097236C">
        <w:t xml:space="preserve">, </w:t>
      </w:r>
      <w:r w:rsidR="00C2055D">
        <w:t>stat</w:t>
      </w:r>
      <w:r w:rsidR="0097236C">
        <w:t>ing that</w:t>
      </w:r>
      <w:r w:rsidR="00C2055D">
        <w:t xml:space="preserve">: </w:t>
      </w:r>
    </w:p>
    <w:p w14:paraId="695B78B2" w14:textId="77777777" w:rsidR="00F75877" w:rsidRDefault="00F75877" w:rsidP="00070277">
      <w:pPr>
        <w:pStyle w:val="SingleTxtG"/>
        <w:ind w:left="1800"/>
      </w:pPr>
      <w:r>
        <w:t>I</w:t>
      </w:r>
      <w:r w:rsidR="00C2055D" w:rsidRPr="00070277">
        <w:rPr>
          <w:iCs/>
        </w:rPr>
        <w:t>n addition, in the light of all the material in its possession, and in so far as the matters complained of were within its competence, the Court</w:t>
      </w:r>
      <w:r w:rsidR="00FC6D73" w:rsidRPr="00070277">
        <w:rPr>
          <w:iCs/>
        </w:rPr>
        <w:t xml:space="preserve"> (…)</w:t>
      </w:r>
      <w:r w:rsidR="00C2055D" w:rsidRPr="00070277">
        <w:rPr>
          <w:iCs/>
        </w:rPr>
        <w:t>, sitting in a single-judge formation, found that they did not disclose any appearance of violation of the rights and freedoms set out in the Convention or its Protocols and declared your application inadmissible</w:t>
      </w:r>
      <w:r w:rsidR="00C2055D">
        <w:t>.</w:t>
      </w:r>
      <w:r w:rsidR="00E2044E">
        <w:t xml:space="preserve"> </w:t>
      </w:r>
    </w:p>
    <w:p w14:paraId="75322F49" w14:textId="77777777" w:rsidR="00085EC2" w:rsidRPr="0040133A" w:rsidRDefault="00FC6D73" w:rsidP="00070277">
      <w:pPr>
        <w:pStyle w:val="SingleTxtG"/>
        <w:ind w:left="1170"/>
      </w:pPr>
      <w:r>
        <w:t xml:space="preserve">In this connection, the complainant notes that the </w:t>
      </w:r>
      <w:r w:rsidR="00F4469F">
        <w:t>Court</w:t>
      </w:r>
      <w:r>
        <w:t xml:space="preserve"> did not examine his case in substance. He also notes that he </w:t>
      </w:r>
      <w:r w:rsidR="00B416F8">
        <w:t xml:space="preserve">had </w:t>
      </w:r>
      <w:r>
        <w:t xml:space="preserve">approached the </w:t>
      </w:r>
      <w:r w:rsidR="00F4469F">
        <w:t xml:space="preserve">Court </w:t>
      </w:r>
      <w:r>
        <w:t xml:space="preserve">with his application and request for interim measures </w:t>
      </w:r>
      <w:r w:rsidR="00B416F8">
        <w:t xml:space="preserve">before </w:t>
      </w:r>
      <w:r w:rsidR="00AA482C">
        <w:t xml:space="preserve">having </w:t>
      </w:r>
      <w:r w:rsidR="00B416F8">
        <w:t>exhaust</w:t>
      </w:r>
      <w:r w:rsidR="00AA482C">
        <w:t>ed</w:t>
      </w:r>
      <w:r w:rsidR="00B416F8">
        <w:t xml:space="preserve"> </w:t>
      </w:r>
      <w:r w:rsidR="005A767E">
        <w:t>domestic remedies</w:t>
      </w:r>
      <w:r w:rsidR="00B416F8">
        <w:t>,</w:t>
      </w:r>
      <w:r w:rsidR="005A767E">
        <w:t xml:space="preserve"> as </w:t>
      </w:r>
      <w:r>
        <w:t xml:space="preserve">the </w:t>
      </w:r>
      <w:r w:rsidR="002B140B">
        <w:t xml:space="preserve">Swedish </w:t>
      </w:r>
      <w:r>
        <w:lastRenderedPageBreak/>
        <w:t>Migration Court and the Migration Court of Appeal had not yet examined the new circumstances</w:t>
      </w:r>
      <w:r w:rsidR="00065F80">
        <w:t xml:space="preserve"> presented</w:t>
      </w:r>
      <w:r>
        <w:t>.</w:t>
      </w:r>
      <w:r w:rsidR="00E724AC">
        <w:rPr>
          <w:rStyle w:val="FootnoteReference"/>
        </w:rPr>
        <w:footnoteReference w:id="2"/>
      </w:r>
    </w:p>
    <w:p w14:paraId="214CEF91" w14:textId="77777777" w:rsidR="000619C9" w:rsidRPr="008656F2" w:rsidRDefault="00BB0CD5" w:rsidP="00BB0CD5">
      <w:pPr>
        <w:pStyle w:val="H23G"/>
      </w:pPr>
      <w:r>
        <w:tab/>
      </w:r>
      <w:r w:rsidR="000619C9">
        <w:tab/>
      </w:r>
      <w:r w:rsidR="000619C9" w:rsidRPr="00E6496D">
        <w:t xml:space="preserve">The </w:t>
      </w:r>
      <w:r w:rsidR="000619C9" w:rsidRPr="008656F2">
        <w:t>complaint</w:t>
      </w:r>
    </w:p>
    <w:p w14:paraId="1F8F64D2" w14:textId="77777777" w:rsidR="00C51979" w:rsidRPr="0040133A" w:rsidRDefault="000619C9">
      <w:pPr>
        <w:pStyle w:val="SingleTxtG"/>
      </w:pPr>
      <w:r w:rsidRPr="00172823">
        <w:t>3.</w:t>
      </w:r>
      <w:r w:rsidR="00C51979">
        <w:t xml:space="preserve">1 </w:t>
      </w:r>
      <w:r w:rsidR="00C51979">
        <w:tab/>
      </w:r>
      <w:r w:rsidR="00C51979" w:rsidRPr="00C51979">
        <w:t xml:space="preserve">The complainant </w:t>
      </w:r>
      <w:r w:rsidR="00D4098F">
        <w:t xml:space="preserve">submits </w:t>
      </w:r>
      <w:r w:rsidR="00C51979" w:rsidRPr="00C51979">
        <w:t>that</w:t>
      </w:r>
      <w:r w:rsidR="00F4469F">
        <w:t>,</w:t>
      </w:r>
      <w:r w:rsidR="00C51979" w:rsidRPr="00C51979">
        <w:t xml:space="preserve"> by forcibly returning him</w:t>
      </w:r>
      <w:r w:rsidR="00795472">
        <w:t xml:space="preserve"> </w:t>
      </w:r>
      <w:r w:rsidR="00F4469F">
        <w:t xml:space="preserve">to </w:t>
      </w:r>
      <w:r w:rsidR="00795472">
        <w:t>Uzbekistan</w:t>
      </w:r>
      <w:r w:rsidR="00C51979" w:rsidRPr="00C51979">
        <w:t>,</w:t>
      </w:r>
      <w:r w:rsidR="0074167E">
        <w:t xml:space="preserve"> </w:t>
      </w:r>
      <w:r w:rsidR="00C51979" w:rsidRPr="00C51979">
        <w:t>the State party would breach its obligations under article 3 of the Convention. His re</w:t>
      </w:r>
      <w:r w:rsidR="00C51979">
        <w:t>moval</w:t>
      </w:r>
      <w:r w:rsidR="00C51979" w:rsidRPr="00C51979">
        <w:t xml:space="preserve"> would expose him to persecution, torture and inhumane treatment by local authorities</w:t>
      </w:r>
      <w:r w:rsidR="00C51979">
        <w:t>.</w:t>
      </w:r>
      <w:r w:rsidR="00C51979" w:rsidRPr="00C51979">
        <w:t xml:space="preserve"> </w:t>
      </w:r>
      <w:r w:rsidR="00795472">
        <w:t>In this regard, t</w:t>
      </w:r>
      <w:r w:rsidRPr="00A85284">
        <w:t>he complainant point</w:t>
      </w:r>
      <w:r w:rsidR="00C51979">
        <w:t>s</w:t>
      </w:r>
      <w:r w:rsidRPr="00A85284">
        <w:t xml:space="preserve"> out that the gen</w:t>
      </w:r>
      <w:r w:rsidR="00795472">
        <w:t>eral human rights situation in Uzbekistan</w:t>
      </w:r>
      <w:r w:rsidRPr="00A85284">
        <w:t xml:space="preserve"> is such that the use of torture and other cruel and inhuman treatment is widespread. </w:t>
      </w:r>
    </w:p>
    <w:p w14:paraId="5B1B8948" w14:textId="77777777" w:rsidR="000D4AF2" w:rsidRDefault="00795472">
      <w:pPr>
        <w:pStyle w:val="SingleTxtG"/>
      </w:pPr>
      <w:r>
        <w:t>3.2</w:t>
      </w:r>
      <w:r w:rsidR="000D4AF2">
        <w:tab/>
      </w:r>
      <w:r>
        <w:t>The complainant also claims that</w:t>
      </w:r>
      <w:r w:rsidR="00F4469F">
        <w:t>,</w:t>
      </w:r>
      <w:r>
        <w:t xml:space="preserve"> s</w:t>
      </w:r>
      <w:r w:rsidR="000D4AF2">
        <w:t xml:space="preserve">hould </w:t>
      </w:r>
      <w:r>
        <w:t>he</w:t>
      </w:r>
      <w:r w:rsidR="000D4AF2">
        <w:t xml:space="preserve"> be deported, he </w:t>
      </w:r>
      <w:r>
        <w:t>might</w:t>
      </w:r>
      <w:r w:rsidR="000D4AF2">
        <w:t xml:space="preserve"> be separated from his wife </w:t>
      </w:r>
      <w:r>
        <w:t>for a prolonged</w:t>
      </w:r>
      <w:r w:rsidR="009676A9">
        <w:t xml:space="preserve"> period of</w:t>
      </w:r>
      <w:r>
        <w:t xml:space="preserve"> time</w:t>
      </w:r>
      <w:r w:rsidR="000D4AF2">
        <w:t>. In addition, he claims that his health condition has been deterio</w:t>
      </w:r>
      <w:r w:rsidR="00D85B1C">
        <w:t xml:space="preserve">rating. </w:t>
      </w:r>
    </w:p>
    <w:p w14:paraId="4A6E6373" w14:textId="77777777" w:rsidR="000619C9" w:rsidRDefault="000619C9" w:rsidP="00BB0CD5">
      <w:pPr>
        <w:pStyle w:val="H23G"/>
      </w:pPr>
      <w:r>
        <w:tab/>
      </w:r>
      <w:r w:rsidR="00BB0CD5">
        <w:tab/>
      </w:r>
      <w:r w:rsidRPr="00E6496D">
        <w:t>State party’s observations on admissibility</w:t>
      </w:r>
    </w:p>
    <w:p w14:paraId="07EA19E2" w14:textId="77777777" w:rsidR="007D2164" w:rsidRDefault="000619C9">
      <w:pPr>
        <w:pStyle w:val="SingleTxtG"/>
        <w:rPr>
          <w:rStyle w:val="SingleTxtGChar"/>
          <w:lang w:eastAsia="en-US"/>
        </w:rPr>
      </w:pPr>
      <w:r w:rsidRPr="00CF732B">
        <w:rPr>
          <w:rStyle w:val="SingleTxtGChar"/>
        </w:rPr>
        <w:t xml:space="preserve">4.1 </w:t>
      </w:r>
      <w:r w:rsidRPr="00CF732B">
        <w:rPr>
          <w:rStyle w:val="SingleTxtGChar"/>
        </w:rPr>
        <w:tab/>
        <w:t xml:space="preserve">By </w:t>
      </w:r>
      <w:r w:rsidR="00F4469F">
        <w:rPr>
          <w:rStyle w:val="SingleTxtGChar"/>
        </w:rPr>
        <w:t xml:space="preserve">a </w:t>
      </w:r>
      <w:r w:rsidRPr="00CF732B">
        <w:rPr>
          <w:rStyle w:val="SingleTxtGChar"/>
        </w:rPr>
        <w:t xml:space="preserve">note verbale of </w:t>
      </w:r>
      <w:r w:rsidR="00E623F9">
        <w:rPr>
          <w:rStyle w:val="SingleTxtGChar"/>
        </w:rPr>
        <w:t>2 February 2015</w:t>
      </w:r>
      <w:r w:rsidRPr="00CF732B">
        <w:rPr>
          <w:rStyle w:val="SingleTxtGChar"/>
        </w:rPr>
        <w:t>, the State party</w:t>
      </w:r>
      <w:r w:rsidR="007D2164">
        <w:rPr>
          <w:rStyle w:val="SingleTxtGChar"/>
        </w:rPr>
        <w:t xml:space="preserve"> objected </w:t>
      </w:r>
      <w:r w:rsidR="00454E25">
        <w:rPr>
          <w:rStyle w:val="SingleTxtGChar"/>
        </w:rPr>
        <w:t xml:space="preserve">to </w:t>
      </w:r>
      <w:r w:rsidR="007D2164">
        <w:rPr>
          <w:rStyle w:val="SingleTxtGChar"/>
        </w:rPr>
        <w:t xml:space="preserve">the admissibility of the </w:t>
      </w:r>
      <w:r w:rsidR="00047959">
        <w:rPr>
          <w:rStyle w:val="SingleTxtGChar"/>
        </w:rPr>
        <w:t>complaint</w:t>
      </w:r>
      <w:r w:rsidR="007D2164">
        <w:rPr>
          <w:rStyle w:val="SingleTxtGChar"/>
        </w:rPr>
        <w:t xml:space="preserve"> pursuant to article 22</w:t>
      </w:r>
      <w:r w:rsidR="009676A9">
        <w:rPr>
          <w:rStyle w:val="SingleTxtGChar"/>
        </w:rPr>
        <w:t xml:space="preserve"> (5) (a)</w:t>
      </w:r>
      <w:r w:rsidR="007D2164">
        <w:rPr>
          <w:rStyle w:val="SingleTxtGChar"/>
        </w:rPr>
        <w:t xml:space="preserve"> of the Convention </w:t>
      </w:r>
      <w:r w:rsidR="00064DF1">
        <w:rPr>
          <w:rStyle w:val="SingleTxtGChar"/>
        </w:rPr>
        <w:t xml:space="preserve">and maintained that </w:t>
      </w:r>
      <w:r w:rsidR="007D2164">
        <w:rPr>
          <w:rStyle w:val="SingleTxtGChar"/>
        </w:rPr>
        <w:t>the same matter ha</w:t>
      </w:r>
      <w:r w:rsidR="00064DF1">
        <w:rPr>
          <w:rStyle w:val="SingleTxtGChar"/>
        </w:rPr>
        <w:t>d</w:t>
      </w:r>
      <w:r w:rsidR="007D2164">
        <w:rPr>
          <w:rStyle w:val="SingleTxtGChar"/>
        </w:rPr>
        <w:t xml:space="preserve"> already been examined by the </w:t>
      </w:r>
      <w:r w:rsidR="00F4469F">
        <w:rPr>
          <w:rStyle w:val="SingleTxtGChar"/>
        </w:rPr>
        <w:t>European Court of Human Rights</w:t>
      </w:r>
      <w:r w:rsidR="007D2164">
        <w:rPr>
          <w:rStyle w:val="SingleTxtGChar"/>
        </w:rPr>
        <w:t>.</w:t>
      </w:r>
    </w:p>
    <w:p w14:paraId="3AEFA42E" w14:textId="77777777" w:rsidR="007D2164" w:rsidRDefault="007D2164" w:rsidP="00F75877">
      <w:pPr>
        <w:pStyle w:val="SingleTxtG"/>
        <w:rPr>
          <w:rStyle w:val="SingleTxtGChar"/>
          <w:lang w:eastAsia="en-US"/>
        </w:rPr>
      </w:pPr>
      <w:r>
        <w:rPr>
          <w:rStyle w:val="SingleTxtGChar"/>
        </w:rPr>
        <w:t xml:space="preserve">4.2 </w:t>
      </w:r>
      <w:r>
        <w:rPr>
          <w:rStyle w:val="SingleTxtGChar"/>
        </w:rPr>
        <w:tab/>
        <w:t xml:space="preserve">The State party points out that the complainant lodged an application before the </w:t>
      </w:r>
      <w:r w:rsidR="00F75877">
        <w:rPr>
          <w:rStyle w:val="SingleTxtGChar"/>
        </w:rPr>
        <w:t xml:space="preserve">European </w:t>
      </w:r>
      <w:r w:rsidR="00B43385">
        <w:rPr>
          <w:rStyle w:val="SingleTxtGChar"/>
        </w:rPr>
        <w:t>Court</w:t>
      </w:r>
      <w:r w:rsidR="00E1156B">
        <w:rPr>
          <w:rStyle w:val="SingleTxtGChar"/>
        </w:rPr>
        <w:t>,</w:t>
      </w:r>
      <w:r w:rsidR="00B43385">
        <w:rPr>
          <w:rStyle w:val="SingleTxtGChar"/>
        </w:rPr>
        <w:t xml:space="preserve"> </w:t>
      </w:r>
      <w:r>
        <w:rPr>
          <w:rStyle w:val="SingleTxtGChar"/>
        </w:rPr>
        <w:t xml:space="preserve">in which he </w:t>
      </w:r>
      <w:r w:rsidR="00E71559">
        <w:rPr>
          <w:rStyle w:val="SingleTxtGChar"/>
        </w:rPr>
        <w:t>noted</w:t>
      </w:r>
      <w:r>
        <w:rPr>
          <w:rStyle w:val="SingleTxtGChar"/>
        </w:rPr>
        <w:t xml:space="preserve"> the alleged risk he would be subjected to if returned to </w:t>
      </w:r>
      <w:r w:rsidR="00B30182">
        <w:rPr>
          <w:rStyle w:val="SingleTxtGChar"/>
        </w:rPr>
        <w:t>Uzbekistan</w:t>
      </w:r>
      <w:r>
        <w:rPr>
          <w:rStyle w:val="SingleTxtGChar"/>
        </w:rPr>
        <w:t>. It maintain</w:t>
      </w:r>
      <w:r w:rsidR="0074167E">
        <w:rPr>
          <w:rStyle w:val="SingleTxtGChar"/>
        </w:rPr>
        <w:t>s</w:t>
      </w:r>
      <w:r>
        <w:rPr>
          <w:rStyle w:val="SingleTxtGChar"/>
        </w:rPr>
        <w:t xml:space="preserve"> that his application before the </w:t>
      </w:r>
      <w:r w:rsidR="00E71559">
        <w:rPr>
          <w:rStyle w:val="SingleTxtGChar"/>
        </w:rPr>
        <w:t xml:space="preserve">Court </w:t>
      </w:r>
      <w:r>
        <w:rPr>
          <w:rStyle w:val="SingleTxtGChar"/>
        </w:rPr>
        <w:t xml:space="preserve">and his </w:t>
      </w:r>
      <w:r w:rsidR="00047959">
        <w:rPr>
          <w:rStyle w:val="SingleTxtGChar"/>
        </w:rPr>
        <w:t>complaint</w:t>
      </w:r>
      <w:r>
        <w:rPr>
          <w:rStyle w:val="SingleTxtGChar"/>
        </w:rPr>
        <w:t xml:space="preserve"> before the Committee refer to the same parties, same facts and same substantive rights.</w:t>
      </w:r>
      <w:r w:rsidR="005A46CB">
        <w:rPr>
          <w:rStyle w:val="SingleTxtGChar"/>
        </w:rPr>
        <w:t xml:space="preserve"> In other words, the present communication </w:t>
      </w:r>
      <w:r w:rsidR="00E71559">
        <w:rPr>
          <w:rStyle w:val="SingleTxtGChar"/>
        </w:rPr>
        <w:t xml:space="preserve">concerns </w:t>
      </w:r>
      <w:r w:rsidR="005A46CB">
        <w:rPr>
          <w:rStyle w:val="SingleTxtGChar"/>
        </w:rPr>
        <w:t xml:space="preserve">the same matter as the complaint lodged by the complainant to the </w:t>
      </w:r>
      <w:r w:rsidR="00E71559">
        <w:rPr>
          <w:rStyle w:val="SingleTxtGChar"/>
        </w:rPr>
        <w:t>Court</w:t>
      </w:r>
      <w:r w:rsidR="005A46CB">
        <w:rPr>
          <w:rStyle w:val="SingleTxtGChar"/>
        </w:rPr>
        <w:t>.</w:t>
      </w:r>
      <w:r w:rsidR="00694005">
        <w:rPr>
          <w:rStyle w:val="FootnoteReference"/>
        </w:rPr>
        <w:footnoteReference w:id="3"/>
      </w:r>
      <w:r>
        <w:rPr>
          <w:rStyle w:val="SingleTxtGChar"/>
        </w:rPr>
        <w:t xml:space="preserve"> </w:t>
      </w:r>
    </w:p>
    <w:p w14:paraId="167A5194" w14:textId="77777777" w:rsidR="007D2164" w:rsidRDefault="007D2164" w:rsidP="00B43133">
      <w:pPr>
        <w:pStyle w:val="SingleTxtG"/>
        <w:rPr>
          <w:rStyle w:val="SingleTxtGChar"/>
          <w:lang w:eastAsia="en-US"/>
        </w:rPr>
      </w:pPr>
      <w:r>
        <w:rPr>
          <w:rStyle w:val="SingleTxtGChar"/>
        </w:rPr>
        <w:t xml:space="preserve">4.3 </w:t>
      </w:r>
      <w:r>
        <w:rPr>
          <w:rStyle w:val="SingleTxtGChar"/>
        </w:rPr>
        <w:tab/>
      </w:r>
      <w:r w:rsidR="00064DF1">
        <w:rPr>
          <w:rStyle w:val="SingleTxtGChar"/>
        </w:rPr>
        <w:t>The State party notes</w:t>
      </w:r>
      <w:r w:rsidR="00037EAA">
        <w:rPr>
          <w:rStyle w:val="SingleTxtGChar"/>
        </w:rPr>
        <w:t xml:space="preserve"> that the </w:t>
      </w:r>
      <w:r w:rsidR="00F75877">
        <w:rPr>
          <w:rStyle w:val="SingleTxtGChar"/>
        </w:rPr>
        <w:t xml:space="preserve">European </w:t>
      </w:r>
      <w:r w:rsidR="00E71559">
        <w:rPr>
          <w:rStyle w:val="SingleTxtGChar"/>
        </w:rPr>
        <w:t xml:space="preserve">Court </w:t>
      </w:r>
      <w:r w:rsidR="00037EAA">
        <w:rPr>
          <w:rStyle w:val="SingleTxtGChar"/>
        </w:rPr>
        <w:t xml:space="preserve">declared his application inadmissible </w:t>
      </w:r>
      <w:r w:rsidR="00E71559">
        <w:rPr>
          <w:rStyle w:val="SingleTxtGChar"/>
        </w:rPr>
        <w:t xml:space="preserve">because </w:t>
      </w:r>
      <w:r w:rsidR="00037EAA">
        <w:rPr>
          <w:rStyle w:val="SingleTxtGChar"/>
        </w:rPr>
        <w:t xml:space="preserve">it did not disclose any violation of the Convention </w:t>
      </w:r>
      <w:r w:rsidR="00E71559">
        <w:rPr>
          <w:rStyle w:val="SingleTxtGChar"/>
        </w:rPr>
        <w:t xml:space="preserve">for the Protection </w:t>
      </w:r>
      <w:r w:rsidR="00037EAA">
        <w:rPr>
          <w:rStyle w:val="SingleTxtGChar"/>
        </w:rPr>
        <w:t>of Human Right</w:t>
      </w:r>
      <w:r w:rsidR="005A46CB">
        <w:rPr>
          <w:rStyle w:val="SingleTxtGChar"/>
        </w:rPr>
        <w:t xml:space="preserve">s </w:t>
      </w:r>
      <w:r w:rsidR="00E71559">
        <w:rPr>
          <w:rStyle w:val="SingleTxtGChar"/>
        </w:rPr>
        <w:t xml:space="preserve">and Fundamental Freedoms </w:t>
      </w:r>
      <w:r w:rsidR="005A46CB">
        <w:rPr>
          <w:rStyle w:val="SingleTxtGChar"/>
        </w:rPr>
        <w:t>or its Protocol</w:t>
      </w:r>
      <w:r w:rsidR="00037EAA">
        <w:rPr>
          <w:rStyle w:val="SingleTxtGChar"/>
        </w:rPr>
        <w:t>s. Against this background</w:t>
      </w:r>
      <w:r w:rsidR="00B30182">
        <w:rPr>
          <w:rStyle w:val="SingleTxtGChar"/>
        </w:rPr>
        <w:t xml:space="preserve"> and contrary to the complainant’s </w:t>
      </w:r>
      <w:r w:rsidR="005A46CB">
        <w:rPr>
          <w:rStyle w:val="SingleTxtGChar"/>
        </w:rPr>
        <w:t>view</w:t>
      </w:r>
      <w:r w:rsidR="00037EAA">
        <w:rPr>
          <w:rStyle w:val="SingleTxtGChar"/>
        </w:rPr>
        <w:t xml:space="preserve">, </w:t>
      </w:r>
      <w:r w:rsidR="00F1033B">
        <w:rPr>
          <w:rStyle w:val="SingleTxtGChar"/>
        </w:rPr>
        <w:t>the State party holds that the</w:t>
      </w:r>
      <w:r w:rsidR="005A46CB">
        <w:rPr>
          <w:rStyle w:val="SingleTxtGChar"/>
        </w:rPr>
        <w:t xml:space="preserve"> word</w:t>
      </w:r>
      <w:r w:rsidR="00F1033B">
        <w:rPr>
          <w:rStyle w:val="SingleTxtGChar"/>
        </w:rPr>
        <w:t xml:space="preserve">ing of the decision by the </w:t>
      </w:r>
      <w:r w:rsidR="00E71559">
        <w:rPr>
          <w:rStyle w:val="SingleTxtGChar"/>
        </w:rPr>
        <w:t xml:space="preserve">Court </w:t>
      </w:r>
      <w:r w:rsidR="005A46CB">
        <w:rPr>
          <w:rStyle w:val="SingleTxtGChar"/>
        </w:rPr>
        <w:t>strongly indicates that the complainant’s application was declared</w:t>
      </w:r>
      <w:r w:rsidR="001574E7">
        <w:rPr>
          <w:rStyle w:val="SingleTxtGChar"/>
        </w:rPr>
        <w:t xml:space="preserve"> inadmissible for reasons related to the substance of his application, rather than on purely procedural grounds. Accordingly, it must be considered that the </w:t>
      </w:r>
      <w:r w:rsidR="00E71559">
        <w:rPr>
          <w:rStyle w:val="SingleTxtGChar"/>
        </w:rPr>
        <w:t xml:space="preserve">Court </w:t>
      </w:r>
      <w:r w:rsidR="001574E7">
        <w:rPr>
          <w:rStyle w:val="SingleTxtGChar"/>
        </w:rPr>
        <w:t>has examined the complainant’s application within the meaning of article 22</w:t>
      </w:r>
      <w:r w:rsidR="009676A9">
        <w:rPr>
          <w:rStyle w:val="SingleTxtGChar"/>
        </w:rPr>
        <w:t xml:space="preserve"> (5) (a)</w:t>
      </w:r>
      <w:r w:rsidR="001574E7">
        <w:rPr>
          <w:rStyle w:val="SingleTxtGChar"/>
        </w:rPr>
        <w:t xml:space="preserve"> of the Convention.</w:t>
      </w:r>
      <w:r w:rsidR="00694005">
        <w:rPr>
          <w:rStyle w:val="FootnoteReference"/>
        </w:rPr>
        <w:footnoteReference w:id="4"/>
      </w:r>
      <w:r w:rsidR="009D7B7D">
        <w:rPr>
          <w:rStyle w:val="SingleTxtGChar"/>
        </w:rPr>
        <w:t xml:space="preserve"> </w:t>
      </w:r>
      <w:r w:rsidR="001574E7">
        <w:rPr>
          <w:rStyle w:val="SingleTxtGChar"/>
        </w:rPr>
        <w:t xml:space="preserve">Should the Committee consider that the </w:t>
      </w:r>
      <w:r w:rsidR="00FE342C">
        <w:rPr>
          <w:rStyle w:val="SingleTxtGChar"/>
        </w:rPr>
        <w:t xml:space="preserve">Court’s </w:t>
      </w:r>
      <w:r w:rsidR="001574E7">
        <w:rPr>
          <w:rStyle w:val="SingleTxtGChar"/>
        </w:rPr>
        <w:t xml:space="preserve">decision is </w:t>
      </w:r>
      <w:r w:rsidR="00064DF1">
        <w:rPr>
          <w:rStyle w:val="SingleTxtGChar"/>
        </w:rPr>
        <w:t>unclear</w:t>
      </w:r>
      <w:r w:rsidR="00F75877">
        <w:rPr>
          <w:rStyle w:val="SingleTxtGChar"/>
        </w:rPr>
        <w:t>,</w:t>
      </w:r>
      <w:r w:rsidR="001574E7">
        <w:rPr>
          <w:rStyle w:val="SingleTxtGChar"/>
        </w:rPr>
        <w:t xml:space="preserve"> the State party invites it to contact the Court in order to clarify th</w:t>
      </w:r>
      <w:r w:rsidR="00E1156B">
        <w:rPr>
          <w:rStyle w:val="SingleTxtGChar"/>
        </w:rPr>
        <w:t>e</w:t>
      </w:r>
      <w:r w:rsidR="001574E7">
        <w:rPr>
          <w:rStyle w:val="SingleTxtGChar"/>
        </w:rPr>
        <w:t xml:space="preserve"> issue. </w:t>
      </w:r>
    </w:p>
    <w:p w14:paraId="6D985E93" w14:textId="77777777" w:rsidR="00283C9F" w:rsidRDefault="002E2915">
      <w:pPr>
        <w:pStyle w:val="SingleTxtG"/>
        <w:rPr>
          <w:rStyle w:val="SingleTxtGChar"/>
          <w:lang w:eastAsia="en-US"/>
        </w:rPr>
      </w:pPr>
      <w:r>
        <w:rPr>
          <w:rStyle w:val="SingleTxtGChar"/>
        </w:rPr>
        <w:t xml:space="preserve">4.4 </w:t>
      </w:r>
      <w:r>
        <w:rPr>
          <w:rStyle w:val="SingleTxtGChar"/>
        </w:rPr>
        <w:tab/>
        <w:t>Should the Committee consider the complaint to be admissible under article 22</w:t>
      </w:r>
      <w:r w:rsidR="009676A9">
        <w:rPr>
          <w:rStyle w:val="SingleTxtGChar"/>
        </w:rPr>
        <w:t xml:space="preserve"> (5) (a) of the Convention</w:t>
      </w:r>
      <w:r>
        <w:rPr>
          <w:rStyle w:val="SingleTxtGChar"/>
        </w:rPr>
        <w:t xml:space="preserve">, the State party maintains </w:t>
      </w:r>
      <w:r w:rsidR="00881687">
        <w:rPr>
          <w:rStyle w:val="SingleTxtGChar"/>
        </w:rPr>
        <w:t>that it would like to have an opportunity to further elaborate on the question whether the communication could be considered</w:t>
      </w:r>
      <w:r>
        <w:rPr>
          <w:rStyle w:val="SingleTxtGChar"/>
        </w:rPr>
        <w:t xml:space="preserve"> manifestly ill-founded</w:t>
      </w:r>
      <w:r w:rsidR="00881687">
        <w:rPr>
          <w:rStyle w:val="SingleTxtGChar"/>
        </w:rPr>
        <w:t xml:space="preserve"> under rule 113 (b) of the Committee’s rules of procedure</w:t>
      </w:r>
      <w:r>
        <w:rPr>
          <w:rStyle w:val="SingleTxtGChar"/>
        </w:rPr>
        <w:t xml:space="preserve">. </w:t>
      </w:r>
    </w:p>
    <w:p w14:paraId="09711602" w14:textId="77777777" w:rsidR="00283C9F" w:rsidRPr="00D40465" w:rsidRDefault="00BB0CD5" w:rsidP="00BB0CD5">
      <w:pPr>
        <w:pStyle w:val="H23G"/>
      </w:pPr>
      <w:r>
        <w:tab/>
      </w:r>
      <w:r>
        <w:tab/>
      </w:r>
      <w:r w:rsidR="00283C9F" w:rsidRPr="00D40465">
        <w:t>Complainant’s comments on the State party’s observations on admissibility</w:t>
      </w:r>
    </w:p>
    <w:p w14:paraId="5265EDB8" w14:textId="77777777" w:rsidR="00283C9F" w:rsidRPr="00BB0CD5" w:rsidRDefault="000619C9">
      <w:pPr>
        <w:pStyle w:val="SingleTxtG"/>
      </w:pPr>
      <w:r w:rsidRPr="00283C9F">
        <w:rPr>
          <w:rStyle w:val="SingleTxtGChar"/>
        </w:rPr>
        <w:t>5.1</w:t>
      </w:r>
      <w:r w:rsidRPr="00283C9F">
        <w:rPr>
          <w:rStyle w:val="SingleTxtGChar"/>
        </w:rPr>
        <w:tab/>
      </w:r>
      <w:r w:rsidR="002E2915" w:rsidRPr="00283C9F">
        <w:rPr>
          <w:rStyle w:val="SingleTxtGChar"/>
        </w:rPr>
        <w:t xml:space="preserve">On </w:t>
      </w:r>
      <w:r w:rsidR="003E7B34" w:rsidRPr="00283C9F">
        <w:rPr>
          <w:rStyle w:val="SingleTxtGChar"/>
        </w:rPr>
        <w:t>6</w:t>
      </w:r>
      <w:r w:rsidR="00FD5532" w:rsidRPr="00283C9F">
        <w:rPr>
          <w:rStyle w:val="SingleTxtGChar"/>
        </w:rPr>
        <w:t xml:space="preserve"> March 2015</w:t>
      </w:r>
      <w:r w:rsidRPr="00283C9F">
        <w:rPr>
          <w:rStyle w:val="SingleTxtGChar"/>
        </w:rPr>
        <w:t>, the complainant submit</w:t>
      </w:r>
      <w:r w:rsidR="002E2915" w:rsidRPr="00283C9F">
        <w:rPr>
          <w:rStyle w:val="SingleTxtGChar"/>
        </w:rPr>
        <w:t>ted</w:t>
      </w:r>
      <w:r w:rsidRPr="00283C9F">
        <w:rPr>
          <w:rStyle w:val="SingleTxtGChar"/>
        </w:rPr>
        <w:t xml:space="preserve"> </w:t>
      </w:r>
      <w:r w:rsidR="002E2915" w:rsidRPr="00283C9F">
        <w:rPr>
          <w:rStyle w:val="SingleTxtGChar"/>
        </w:rPr>
        <w:t xml:space="preserve">his comments on </w:t>
      </w:r>
      <w:r w:rsidRPr="00283C9F">
        <w:t xml:space="preserve">the State party’s </w:t>
      </w:r>
      <w:r w:rsidR="002E2915" w:rsidRPr="00283C9F">
        <w:t xml:space="preserve">observations. </w:t>
      </w:r>
      <w:r w:rsidR="00150EF6" w:rsidRPr="00283C9F">
        <w:t xml:space="preserve">He </w:t>
      </w:r>
      <w:r w:rsidR="00283C9F">
        <w:rPr>
          <w:lang w:eastAsia="en-GB"/>
        </w:rPr>
        <w:t>confirmed</w:t>
      </w:r>
      <w:r w:rsidR="00283C9F" w:rsidRPr="00283C9F">
        <w:rPr>
          <w:lang w:eastAsia="en-GB"/>
        </w:rPr>
        <w:t xml:space="preserve"> that he had applied to the </w:t>
      </w:r>
      <w:r w:rsidR="009811B0">
        <w:rPr>
          <w:lang w:eastAsia="en-GB"/>
        </w:rPr>
        <w:t>European Court of Human Rights</w:t>
      </w:r>
      <w:r w:rsidR="009811B0" w:rsidRPr="00283C9F">
        <w:rPr>
          <w:lang w:eastAsia="en-GB"/>
        </w:rPr>
        <w:t xml:space="preserve"> </w:t>
      </w:r>
      <w:r w:rsidR="00283C9F" w:rsidRPr="00283C9F">
        <w:rPr>
          <w:lang w:eastAsia="en-GB"/>
        </w:rPr>
        <w:t xml:space="preserve">and had requested </w:t>
      </w:r>
      <w:r w:rsidR="009811B0">
        <w:rPr>
          <w:lang w:eastAsia="en-GB"/>
        </w:rPr>
        <w:t>a</w:t>
      </w:r>
      <w:r w:rsidR="009811B0" w:rsidRPr="00283C9F">
        <w:rPr>
          <w:lang w:eastAsia="en-GB"/>
        </w:rPr>
        <w:t xml:space="preserve"> </w:t>
      </w:r>
      <w:r w:rsidR="00283C9F" w:rsidRPr="00283C9F">
        <w:rPr>
          <w:lang w:eastAsia="en-GB"/>
        </w:rPr>
        <w:t xml:space="preserve">stop </w:t>
      </w:r>
      <w:r w:rsidR="009811B0">
        <w:rPr>
          <w:lang w:eastAsia="en-GB"/>
        </w:rPr>
        <w:t xml:space="preserve">to </w:t>
      </w:r>
      <w:r w:rsidR="00283C9F" w:rsidRPr="00283C9F">
        <w:rPr>
          <w:lang w:eastAsia="en-GB"/>
        </w:rPr>
        <w:t xml:space="preserve">his deportation; however, on 27 November 2014, the </w:t>
      </w:r>
      <w:r w:rsidR="009811B0">
        <w:rPr>
          <w:lang w:eastAsia="en-GB"/>
        </w:rPr>
        <w:t>Court</w:t>
      </w:r>
      <w:r w:rsidR="009811B0" w:rsidRPr="00283C9F">
        <w:rPr>
          <w:lang w:eastAsia="en-GB"/>
        </w:rPr>
        <w:t xml:space="preserve"> </w:t>
      </w:r>
      <w:r w:rsidR="00283C9F" w:rsidRPr="00283C9F">
        <w:rPr>
          <w:lang w:eastAsia="en-GB"/>
        </w:rPr>
        <w:t xml:space="preserve">found </w:t>
      </w:r>
      <w:r w:rsidR="00283C9F" w:rsidRPr="00283C9F">
        <w:rPr>
          <w:lang w:eastAsia="en-GB"/>
        </w:rPr>
        <w:lastRenderedPageBreak/>
        <w:t xml:space="preserve">that the facts as presented by him did not disclose violations of the European Convention. He </w:t>
      </w:r>
      <w:r w:rsidR="00283C9F">
        <w:rPr>
          <w:lang w:eastAsia="en-GB"/>
        </w:rPr>
        <w:t>reiterate</w:t>
      </w:r>
      <w:r w:rsidR="00672EC6">
        <w:rPr>
          <w:lang w:eastAsia="en-GB"/>
        </w:rPr>
        <w:t>d</w:t>
      </w:r>
      <w:r w:rsidR="00283C9F">
        <w:rPr>
          <w:lang w:eastAsia="en-GB"/>
        </w:rPr>
        <w:t xml:space="preserve"> </w:t>
      </w:r>
      <w:r w:rsidR="00450FDE">
        <w:rPr>
          <w:lang w:eastAsia="en-GB"/>
        </w:rPr>
        <w:t xml:space="preserve">that the </w:t>
      </w:r>
      <w:r w:rsidR="009811B0">
        <w:rPr>
          <w:lang w:eastAsia="en-GB"/>
        </w:rPr>
        <w:t>Court</w:t>
      </w:r>
      <w:r w:rsidR="00450FDE">
        <w:rPr>
          <w:lang w:eastAsia="en-GB"/>
        </w:rPr>
        <w:t xml:space="preserve"> declared his application inadmissible and note</w:t>
      </w:r>
      <w:r w:rsidR="00672EC6">
        <w:rPr>
          <w:lang w:eastAsia="en-GB"/>
        </w:rPr>
        <w:t>d</w:t>
      </w:r>
      <w:r w:rsidR="00450FDE">
        <w:rPr>
          <w:lang w:eastAsia="en-GB"/>
        </w:rPr>
        <w:t xml:space="preserve"> </w:t>
      </w:r>
      <w:r w:rsidR="00283C9F">
        <w:rPr>
          <w:lang w:eastAsia="en-GB"/>
        </w:rPr>
        <w:t xml:space="preserve">the </w:t>
      </w:r>
      <w:r w:rsidR="009811B0">
        <w:rPr>
          <w:lang w:eastAsia="en-GB"/>
        </w:rPr>
        <w:t>Court’s</w:t>
      </w:r>
      <w:r w:rsidR="00283C9F">
        <w:rPr>
          <w:lang w:eastAsia="en-GB"/>
        </w:rPr>
        <w:t xml:space="preserve"> wording</w:t>
      </w:r>
      <w:r w:rsidR="002B2250">
        <w:rPr>
          <w:lang w:eastAsia="en-GB"/>
        </w:rPr>
        <w:t xml:space="preserve"> that</w:t>
      </w:r>
      <w:r w:rsidR="009811B0">
        <w:rPr>
          <w:lang w:eastAsia="en-GB"/>
        </w:rPr>
        <w:t>,</w:t>
      </w:r>
      <w:r w:rsidR="00283C9F" w:rsidRPr="00283C9F">
        <w:rPr>
          <w:lang w:eastAsia="en-GB"/>
        </w:rPr>
        <w:t xml:space="preserve"> in the light of all the material in its possession and in so far as the matters complained of were within its competence, the </w:t>
      </w:r>
      <w:r w:rsidR="009811B0">
        <w:rPr>
          <w:lang w:eastAsia="en-GB"/>
        </w:rPr>
        <w:t>C</w:t>
      </w:r>
      <w:r w:rsidR="00283C9F" w:rsidRPr="00283C9F">
        <w:rPr>
          <w:lang w:eastAsia="en-GB"/>
        </w:rPr>
        <w:t>ourt</w:t>
      </w:r>
      <w:r w:rsidR="00F1033B">
        <w:rPr>
          <w:lang w:eastAsia="en-GB"/>
        </w:rPr>
        <w:t>,</w:t>
      </w:r>
      <w:r w:rsidR="00283C9F">
        <w:rPr>
          <w:lang w:eastAsia="en-GB"/>
        </w:rPr>
        <w:t xml:space="preserve"> </w:t>
      </w:r>
      <w:r w:rsidR="00283C9F" w:rsidRPr="00283C9F">
        <w:rPr>
          <w:lang w:eastAsia="en-GB"/>
        </w:rPr>
        <w:t xml:space="preserve">sitting in a single-judge formation, found that they did not disclose any appearance of a violation of the rights and freedoms set out in the Convention or its Protocols and declared </w:t>
      </w:r>
      <w:r w:rsidR="00283C9F">
        <w:rPr>
          <w:lang w:eastAsia="en-GB"/>
        </w:rPr>
        <w:t xml:space="preserve">the complainant’s </w:t>
      </w:r>
      <w:r w:rsidR="00283C9F" w:rsidRPr="00283C9F">
        <w:rPr>
          <w:lang w:eastAsia="en-GB"/>
        </w:rPr>
        <w:t>application inadmissible.</w:t>
      </w:r>
      <w:r w:rsidR="00283C9F">
        <w:rPr>
          <w:lang w:eastAsia="en-GB"/>
        </w:rPr>
        <w:t xml:space="preserve"> </w:t>
      </w:r>
      <w:r w:rsidR="002B2250">
        <w:rPr>
          <w:lang w:eastAsia="en-GB"/>
        </w:rPr>
        <w:t>Accordingly</w:t>
      </w:r>
      <w:r w:rsidR="00283C9F" w:rsidRPr="00283C9F">
        <w:rPr>
          <w:lang w:eastAsia="en-GB"/>
        </w:rPr>
        <w:t>, the complainant maintain</w:t>
      </w:r>
      <w:r w:rsidR="00672EC6">
        <w:rPr>
          <w:lang w:eastAsia="en-GB"/>
        </w:rPr>
        <w:t>ed</w:t>
      </w:r>
      <w:r w:rsidR="00283C9F" w:rsidRPr="00283C9F">
        <w:rPr>
          <w:lang w:eastAsia="en-GB"/>
        </w:rPr>
        <w:t xml:space="preserve"> that it cannot be asserted that the </w:t>
      </w:r>
      <w:r w:rsidR="009811B0">
        <w:rPr>
          <w:lang w:eastAsia="en-GB"/>
        </w:rPr>
        <w:t>Court</w:t>
      </w:r>
      <w:r w:rsidR="00283C9F" w:rsidRPr="00283C9F">
        <w:rPr>
          <w:lang w:eastAsia="en-GB"/>
        </w:rPr>
        <w:t xml:space="preserve"> ha</w:t>
      </w:r>
      <w:r w:rsidR="00672EC6">
        <w:rPr>
          <w:lang w:eastAsia="en-GB"/>
        </w:rPr>
        <w:t>d</w:t>
      </w:r>
      <w:r w:rsidR="00283C9F" w:rsidRPr="00283C9F">
        <w:rPr>
          <w:lang w:eastAsia="en-GB"/>
        </w:rPr>
        <w:t xml:space="preserve"> examined his application in substance. Therefore, there are no obstacles </w:t>
      </w:r>
      <w:r w:rsidR="00672EC6">
        <w:rPr>
          <w:lang w:eastAsia="en-GB"/>
        </w:rPr>
        <w:t>to</w:t>
      </w:r>
      <w:r w:rsidR="00672EC6" w:rsidRPr="00283C9F">
        <w:rPr>
          <w:lang w:eastAsia="en-GB"/>
        </w:rPr>
        <w:t xml:space="preserve"> </w:t>
      </w:r>
      <w:r w:rsidR="00283C9F" w:rsidRPr="00283C9F">
        <w:rPr>
          <w:lang w:eastAsia="en-GB"/>
        </w:rPr>
        <w:t>the Committee</w:t>
      </w:r>
      <w:r w:rsidR="00672EC6">
        <w:rPr>
          <w:lang w:eastAsia="en-GB"/>
        </w:rPr>
        <w:t>’s</w:t>
      </w:r>
      <w:r w:rsidR="00283C9F" w:rsidRPr="00283C9F">
        <w:rPr>
          <w:lang w:eastAsia="en-GB"/>
        </w:rPr>
        <w:t xml:space="preserve"> examin</w:t>
      </w:r>
      <w:r w:rsidR="00672EC6">
        <w:rPr>
          <w:lang w:eastAsia="en-GB"/>
        </w:rPr>
        <w:t>ation of</w:t>
      </w:r>
      <w:r w:rsidR="00283C9F" w:rsidRPr="00283C9F">
        <w:rPr>
          <w:lang w:eastAsia="en-GB"/>
        </w:rPr>
        <w:t xml:space="preserve"> the present complaint on the merits</w:t>
      </w:r>
      <w:r w:rsidR="002B2250">
        <w:rPr>
          <w:lang w:eastAsia="en-GB"/>
        </w:rPr>
        <w:t xml:space="preserve">. </w:t>
      </w:r>
    </w:p>
    <w:p w14:paraId="2B5D7F04" w14:textId="77777777" w:rsidR="00BC0104" w:rsidRPr="00070277" w:rsidRDefault="004A409A">
      <w:pPr>
        <w:pStyle w:val="H23G"/>
      </w:pPr>
      <w:r>
        <w:tab/>
      </w:r>
      <w:r>
        <w:tab/>
      </w:r>
      <w:r w:rsidR="00BC0104" w:rsidRPr="00D40465">
        <w:t>Issues and proceedings before the Committee</w:t>
      </w:r>
    </w:p>
    <w:p w14:paraId="3CDE87C2" w14:textId="77777777" w:rsidR="00BC0104" w:rsidRPr="00D455E1" w:rsidRDefault="004A409A" w:rsidP="004A409A">
      <w:pPr>
        <w:pStyle w:val="H4G"/>
      </w:pPr>
      <w:r>
        <w:tab/>
      </w:r>
      <w:r>
        <w:tab/>
      </w:r>
      <w:r w:rsidR="00BC0104" w:rsidRPr="00D455E1">
        <w:t>Consideration of admissibility</w:t>
      </w:r>
    </w:p>
    <w:p w14:paraId="400AE602" w14:textId="77777777" w:rsidR="00473717" w:rsidRDefault="00473717">
      <w:pPr>
        <w:pStyle w:val="SingleTxtG"/>
      </w:pPr>
      <w:r>
        <w:t>6</w:t>
      </w:r>
      <w:r w:rsidRPr="00D455E1">
        <w:t>.1</w:t>
      </w:r>
      <w:r w:rsidRPr="00D455E1">
        <w:tab/>
        <w:t xml:space="preserve">Before considering any claim </w:t>
      </w:r>
      <w:r w:rsidR="00A735A6">
        <w:t>submitted</w:t>
      </w:r>
      <w:r w:rsidRPr="00D455E1">
        <w:t xml:space="preserve"> in a </w:t>
      </w:r>
      <w:r w:rsidR="00A735A6">
        <w:t>communication</w:t>
      </w:r>
      <w:r w:rsidRPr="00D455E1">
        <w:t xml:space="preserve">, the Committee must decide whether it is admissible under article 22 of the Convention. </w:t>
      </w:r>
    </w:p>
    <w:p w14:paraId="7D26ADF8" w14:textId="77777777" w:rsidR="00473717" w:rsidRDefault="00473717">
      <w:pPr>
        <w:pStyle w:val="SingleTxtG"/>
        <w:rPr>
          <w:bCs/>
        </w:rPr>
      </w:pPr>
      <w:r>
        <w:rPr>
          <w:bCs/>
        </w:rPr>
        <w:t>6</w:t>
      </w:r>
      <w:r w:rsidRPr="00DA41C2">
        <w:rPr>
          <w:bCs/>
        </w:rPr>
        <w:t xml:space="preserve">.2 </w:t>
      </w:r>
      <w:r>
        <w:rPr>
          <w:bCs/>
        </w:rPr>
        <w:tab/>
      </w:r>
      <w:r w:rsidRPr="00DA41C2">
        <w:rPr>
          <w:bCs/>
        </w:rPr>
        <w:t xml:space="preserve">The Committee </w:t>
      </w:r>
      <w:r>
        <w:rPr>
          <w:bCs/>
        </w:rPr>
        <w:t>takes note of the State party’s objection that the complaint should be declared inadmissible under article 22</w:t>
      </w:r>
      <w:r w:rsidR="002E47B1">
        <w:rPr>
          <w:bCs/>
        </w:rPr>
        <w:t xml:space="preserve"> (5) (a)</w:t>
      </w:r>
      <w:r>
        <w:rPr>
          <w:bCs/>
        </w:rPr>
        <w:t xml:space="preserve"> of the Convention </w:t>
      </w:r>
      <w:r w:rsidR="002B1EE0">
        <w:rPr>
          <w:bCs/>
        </w:rPr>
        <w:t xml:space="preserve">because </w:t>
      </w:r>
      <w:r>
        <w:rPr>
          <w:bCs/>
        </w:rPr>
        <w:t xml:space="preserve">the same matter was already examined by the European Court of Human Rights. The Committee also takes note of the complainant’s allegations that his application was not examined by the </w:t>
      </w:r>
      <w:r w:rsidR="002B1EE0">
        <w:rPr>
          <w:bCs/>
        </w:rPr>
        <w:t>Court because</w:t>
      </w:r>
      <w:r>
        <w:rPr>
          <w:bCs/>
        </w:rPr>
        <w:t xml:space="preserve"> its inadmissibility decision only stated that his application “did not disclose any appearance of violation” and that its limited reasoning does not allow the Committee to conclude that it </w:t>
      </w:r>
      <w:r w:rsidR="00F1033B">
        <w:rPr>
          <w:bCs/>
        </w:rPr>
        <w:t>considered</w:t>
      </w:r>
      <w:r>
        <w:rPr>
          <w:bCs/>
        </w:rPr>
        <w:t xml:space="preserve"> the merits of the case. </w:t>
      </w:r>
    </w:p>
    <w:p w14:paraId="4FECFBBA" w14:textId="77777777" w:rsidR="00473717" w:rsidRDefault="00473717" w:rsidP="00B43133">
      <w:pPr>
        <w:pStyle w:val="SingleTxtG"/>
        <w:rPr>
          <w:bCs/>
        </w:rPr>
      </w:pPr>
      <w:r>
        <w:rPr>
          <w:bCs/>
        </w:rPr>
        <w:t xml:space="preserve">6.3 </w:t>
      </w:r>
      <w:r>
        <w:rPr>
          <w:bCs/>
        </w:rPr>
        <w:tab/>
      </w:r>
      <w:r w:rsidRPr="00E80390">
        <w:rPr>
          <w:bCs/>
        </w:rPr>
        <w:t>The Committee recalls</w:t>
      </w:r>
      <w:r w:rsidRPr="00E80390">
        <w:rPr>
          <w:rStyle w:val="FootnoteReference"/>
          <w:bCs/>
        </w:rPr>
        <w:footnoteReference w:id="5"/>
      </w:r>
      <w:r w:rsidRPr="00E80390">
        <w:rPr>
          <w:bCs/>
        </w:rPr>
        <w:t xml:space="preserve"> </w:t>
      </w:r>
      <w:r>
        <w:rPr>
          <w:bCs/>
        </w:rPr>
        <w:t xml:space="preserve">its consistent jurisprudence </w:t>
      </w:r>
      <w:r w:rsidRPr="00E80390">
        <w:rPr>
          <w:bCs/>
        </w:rPr>
        <w:t xml:space="preserve">that it </w:t>
      </w:r>
      <w:r w:rsidR="00D16486">
        <w:rPr>
          <w:bCs/>
        </w:rPr>
        <w:t>will</w:t>
      </w:r>
      <w:r w:rsidR="00D16486" w:rsidRPr="00E80390">
        <w:rPr>
          <w:bCs/>
        </w:rPr>
        <w:t xml:space="preserve"> </w:t>
      </w:r>
      <w:r w:rsidRPr="00E80390">
        <w:rPr>
          <w:bCs/>
        </w:rPr>
        <w:t xml:space="preserve">not consider any </w:t>
      </w:r>
      <w:r>
        <w:rPr>
          <w:bCs/>
        </w:rPr>
        <w:t>complaint</w:t>
      </w:r>
      <w:r w:rsidRPr="00E80390">
        <w:rPr>
          <w:bCs/>
        </w:rPr>
        <w:t xml:space="preserve"> from an individual under article 22</w:t>
      </w:r>
      <w:r w:rsidR="002E47B1">
        <w:rPr>
          <w:bCs/>
        </w:rPr>
        <w:t xml:space="preserve"> (5) (a)</w:t>
      </w:r>
      <w:r w:rsidRPr="00E80390">
        <w:rPr>
          <w:bCs/>
        </w:rPr>
        <w:t xml:space="preserve"> of the Convention unless it has ascertained that the </w:t>
      </w:r>
      <w:r w:rsidRPr="00070277">
        <w:rPr>
          <w:bCs/>
        </w:rPr>
        <w:t>same matter has not been, and is not being</w:t>
      </w:r>
      <w:r w:rsidRPr="00E80390">
        <w:rPr>
          <w:bCs/>
        </w:rPr>
        <w:t xml:space="preserve">, </w:t>
      </w:r>
      <w:r w:rsidRPr="00070277">
        <w:rPr>
          <w:bCs/>
        </w:rPr>
        <w:t>examined</w:t>
      </w:r>
      <w:r w:rsidRPr="00E80390">
        <w:rPr>
          <w:bCs/>
        </w:rPr>
        <w:t xml:space="preserve"> under another procedure of international investigation or settlement</w:t>
      </w:r>
      <w:r>
        <w:rPr>
          <w:bCs/>
        </w:rPr>
        <w:t>.</w:t>
      </w:r>
      <w:r w:rsidRPr="00E80390">
        <w:rPr>
          <w:bCs/>
        </w:rPr>
        <w:t xml:space="preserve"> The Committee considers that a </w:t>
      </w:r>
      <w:r>
        <w:rPr>
          <w:bCs/>
        </w:rPr>
        <w:t>complaint</w:t>
      </w:r>
      <w:r w:rsidRPr="00E80390">
        <w:rPr>
          <w:bCs/>
        </w:rPr>
        <w:t xml:space="preserve"> has been, and is being examined</w:t>
      </w:r>
      <w:r w:rsidR="00D16486">
        <w:rPr>
          <w:bCs/>
        </w:rPr>
        <w:t>,</w:t>
      </w:r>
      <w:r w:rsidRPr="00E80390">
        <w:rPr>
          <w:bCs/>
        </w:rPr>
        <w:t xml:space="preserve"> by another procedure of international investigation or settlement if the examination </w:t>
      </w:r>
      <w:r w:rsidR="00D16486">
        <w:rPr>
          <w:bCs/>
        </w:rPr>
        <w:t xml:space="preserve">of a complaint </w:t>
      </w:r>
      <w:r w:rsidRPr="00E80390">
        <w:rPr>
          <w:bCs/>
        </w:rPr>
        <w:t xml:space="preserve">by </w:t>
      </w:r>
      <w:r w:rsidR="00D16486">
        <w:rPr>
          <w:bCs/>
        </w:rPr>
        <w:t>another</w:t>
      </w:r>
      <w:r w:rsidR="00D16486" w:rsidRPr="00E80390">
        <w:rPr>
          <w:bCs/>
        </w:rPr>
        <w:t xml:space="preserve"> </w:t>
      </w:r>
      <w:r w:rsidRPr="00E80390">
        <w:rPr>
          <w:bCs/>
        </w:rPr>
        <w:t>procedure relates</w:t>
      </w:r>
      <w:r w:rsidR="00D16486">
        <w:rPr>
          <w:bCs/>
        </w:rPr>
        <w:t xml:space="preserve"> or is </w:t>
      </w:r>
      <w:r w:rsidRPr="00E80390">
        <w:rPr>
          <w:bCs/>
        </w:rPr>
        <w:t xml:space="preserve">related to the </w:t>
      </w:r>
      <w:r>
        <w:rPr>
          <w:bCs/>
        </w:rPr>
        <w:t>“</w:t>
      </w:r>
      <w:r w:rsidRPr="00E80390">
        <w:rPr>
          <w:bCs/>
        </w:rPr>
        <w:t>same matter</w:t>
      </w:r>
      <w:r>
        <w:rPr>
          <w:bCs/>
        </w:rPr>
        <w:t>”</w:t>
      </w:r>
      <w:r w:rsidRPr="00E80390">
        <w:rPr>
          <w:bCs/>
        </w:rPr>
        <w:t xml:space="preserve"> within the meaning of article 22</w:t>
      </w:r>
      <w:r w:rsidR="00213C50">
        <w:rPr>
          <w:bCs/>
        </w:rPr>
        <w:t xml:space="preserve"> (5) (a)</w:t>
      </w:r>
      <w:r w:rsidR="00D16486">
        <w:rPr>
          <w:bCs/>
        </w:rPr>
        <w:t>,</w:t>
      </w:r>
      <w:r w:rsidRPr="00E80390">
        <w:rPr>
          <w:bCs/>
        </w:rPr>
        <w:t xml:space="preserve"> that </w:t>
      </w:r>
      <w:r w:rsidR="00D16486">
        <w:rPr>
          <w:bCs/>
        </w:rPr>
        <w:t xml:space="preserve">is, </w:t>
      </w:r>
      <w:r w:rsidRPr="00E80390">
        <w:rPr>
          <w:bCs/>
        </w:rPr>
        <w:t>the same parties, the same facts and the same substantive rights.</w:t>
      </w:r>
      <w:r>
        <w:rPr>
          <w:rStyle w:val="FootnoteReference"/>
          <w:bCs/>
        </w:rPr>
        <w:footnoteReference w:id="6"/>
      </w:r>
    </w:p>
    <w:p w14:paraId="5181F97E" w14:textId="77777777" w:rsidR="00473717" w:rsidRDefault="00473717" w:rsidP="003605F8">
      <w:pPr>
        <w:pStyle w:val="SingleTxtG"/>
        <w:rPr>
          <w:bCs/>
        </w:rPr>
      </w:pPr>
      <w:r>
        <w:rPr>
          <w:bCs/>
        </w:rPr>
        <w:t xml:space="preserve">6.4 </w:t>
      </w:r>
      <w:r>
        <w:rPr>
          <w:bCs/>
        </w:rPr>
        <w:tab/>
      </w:r>
      <w:r w:rsidRPr="00B43133">
        <w:rPr>
          <w:bCs/>
        </w:rPr>
        <w:t>The Committee observes</w:t>
      </w:r>
      <w:r>
        <w:rPr>
          <w:bCs/>
        </w:rPr>
        <w:t xml:space="preserve"> that the present complaint raises claims under article 3 of the Convention mainly in relation to the alleged risk of torture to which the complainant would be subjected if removed to </w:t>
      </w:r>
      <w:r w:rsidR="00B05746">
        <w:rPr>
          <w:bCs/>
        </w:rPr>
        <w:t>Uzbekistan</w:t>
      </w:r>
      <w:r>
        <w:rPr>
          <w:bCs/>
        </w:rPr>
        <w:t xml:space="preserve">. </w:t>
      </w:r>
      <w:r w:rsidR="003B2C66">
        <w:rPr>
          <w:bCs/>
        </w:rPr>
        <w:t xml:space="preserve">It </w:t>
      </w:r>
      <w:r w:rsidR="00580DF6">
        <w:rPr>
          <w:bCs/>
        </w:rPr>
        <w:t xml:space="preserve">also </w:t>
      </w:r>
      <w:r w:rsidR="003B2C66">
        <w:rPr>
          <w:bCs/>
        </w:rPr>
        <w:t>observes that</w:t>
      </w:r>
      <w:r w:rsidR="00580DF6">
        <w:rPr>
          <w:bCs/>
        </w:rPr>
        <w:t>,</w:t>
      </w:r>
      <w:r w:rsidR="00640F91">
        <w:rPr>
          <w:bCs/>
        </w:rPr>
        <w:t xml:space="preserve"> in his comments concerning the State party’s observations </w:t>
      </w:r>
      <w:r w:rsidR="004D70D9">
        <w:rPr>
          <w:bCs/>
        </w:rPr>
        <w:t>on</w:t>
      </w:r>
      <w:r w:rsidR="00640F91">
        <w:rPr>
          <w:bCs/>
        </w:rPr>
        <w:t xml:space="preserve"> admissibility,</w:t>
      </w:r>
      <w:r w:rsidR="003B2C66">
        <w:rPr>
          <w:bCs/>
        </w:rPr>
        <w:t xml:space="preserve"> the complainant </w:t>
      </w:r>
      <w:r w:rsidR="003B2C66">
        <w:rPr>
          <w:color w:val="000000"/>
          <w:lang w:eastAsia="en-GB"/>
        </w:rPr>
        <w:t>confirmed</w:t>
      </w:r>
      <w:r w:rsidR="003B2C66" w:rsidRPr="00283C9F">
        <w:rPr>
          <w:color w:val="000000"/>
          <w:lang w:eastAsia="en-GB"/>
        </w:rPr>
        <w:t xml:space="preserve"> that he had </w:t>
      </w:r>
      <w:r w:rsidR="003F69BC">
        <w:rPr>
          <w:color w:val="000000"/>
          <w:lang w:eastAsia="en-GB"/>
        </w:rPr>
        <w:t xml:space="preserve">also </w:t>
      </w:r>
      <w:r w:rsidR="003B2C66" w:rsidRPr="00283C9F">
        <w:rPr>
          <w:color w:val="000000"/>
          <w:lang w:eastAsia="en-GB"/>
        </w:rPr>
        <w:t xml:space="preserve">applied to the </w:t>
      </w:r>
      <w:r w:rsidR="00B43133">
        <w:rPr>
          <w:color w:val="000000"/>
          <w:lang w:eastAsia="en-GB"/>
        </w:rPr>
        <w:t xml:space="preserve">European </w:t>
      </w:r>
      <w:r w:rsidR="00580DF6">
        <w:rPr>
          <w:color w:val="000000"/>
          <w:lang w:eastAsia="en-GB"/>
        </w:rPr>
        <w:t>Court</w:t>
      </w:r>
      <w:r w:rsidR="00580DF6" w:rsidRPr="00283C9F">
        <w:rPr>
          <w:color w:val="000000"/>
          <w:lang w:eastAsia="en-GB"/>
        </w:rPr>
        <w:t xml:space="preserve"> </w:t>
      </w:r>
      <w:r w:rsidR="003B2C66" w:rsidRPr="00283C9F">
        <w:rPr>
          <w:color w:val="000000"/>
          <w:lang w:eastAsia="en-GB"/>
        </w:rPr>
        <w:t xml:space="preserve">and had requested </w:t>
      </w:r>
      <w:r w:rsidR="00580DF6">
        <w:rPr>
          <w:color w:val="000000"/>
          <w:lang w:eastAsia="en-GB"/>
        </w:rPr>
        <w:t>a</w:t>
      </w:r>
      <w:r w:rsidR="00580DF6" w:rsidRPr="00283C9F">
        <w:rPr>
          <w:color w:val="000000"/>
          <w:lang w:eastAsia="en-GB"/>
        </w:rPr>
        <w:t xml:space="preserve"> </w:t>
      </w:r>
      <w:r w:rsidR="003B2C66" w:rsidRPr="00283C9F">
        <w:rPr>
          <w:color w:val="000000"/>
          <w:lang w:eastAsia="en-GB"/>
        </w:rPr>
        <w:t xml:space="preserve">stop </w:t>
      </w:r>
      <w:r w:rsidR="00580DF6">
        <w:rPr>
          <w:color w:val="000000"/>
          <w:lang w:eastAsia="en-GB"/>
        </w:rPr>
        <w:t xml:space="preserve">to </w:t>
      </w:r>
      <w:r w:rsidR="003B2C66" w:rsidRPr="00283C9F">
        <w:rPr>
          <w:color w:val="000000"/>
          <w:lang w:eastAsia="en-GB"/>
        </w:rPr>
        <w:t xml:space="preserve">his </w:t>
      </w:r>
      <w:r w:rsidR="003B2C66">
        <w:rPr>
          <w:color w:val="000000"/>
          <w:lang w:eastAsia="en-GB"/>
        </w:rPr>
        <w:t>deportation t</w:t>
      </w:r>
      <w:r w:rsidR="003B2C66">
        <w:rPr>
          <w:bCs/>
        </w:rPr>
        <w:t xml:space="preserve">o Uzbekistan. </w:t>
      </w:r>
      <w:r>
        <w:rPr>
          <w:bCs/>
        </w:rPr>
        <w:t xml:space="preserve">Accordingly, in </w:t>
      </w:r>
      <w:r w:rsidR="004D70D9">
        <w:rPr>
          <w:bCs/>
        </w:rPr>
        <w:t xml:space="preserve">the </w:t>
      </w:r>
      <w:r>
        <w:rPr>
          <w:bCs/>
        </w:rPr>
        <w:t>light of the information contained in the case file, the Committee</w:t>
      </w:r>
      <w:r w:rsidRPr="00E80390">
        <w:rPr>
          <w:bCs/>
        </w:rPr>
        <w:t xml:space="preserve"> </w:t>
      </w:r>
      <w:r>
        <w:rPr>
          <w:bCs/>
        </w:rPr>
        <w:t xml:space="preserve">concludes </w:t>
      </w:r>
      <w:r w:rsidRPr="002245BE">
        <w:rPr>
          <w:bCs/>
        </w:rPr>
        <w:t xml:space="preserve">that </w:t>
      </w:r>
      <w:r w:rsidR="006E56E1">
        <w:rPr>
          <w:bCs/>
        </w:rPr>
        <w:t>the</w:t>
      </w:r>
      <w:r>
        <w:rPr>
          <w:bCs/>
        </w:rPr>
        <w:t xml:space="preserve"> a</w:t>
      </w:r>
      <w:r w:rsidRPr="002245BE">
        <w:rPr>
          <w:bCs/>
        </w:rPr>
        <w:t xml:space="preserve">pplication submitted </w:t>
      </w:r>
      <w:r w:rsidR="004D70D9">
        <w:rPr>
          <w:bCs/>
        </w:rPr>
        <w:t xml:space="preserve">by the complainant </w:t>
      </w:r>
      <w:r w:rsidRPr="002245BE">
        <w:rPr>
          <w:bCs/>
        </w:rPr>
        <w:t xml:space="preserve">to the </w:t>
      </w:r>
      <w:r w:rsidR="00B43133">
        <w:rPr>
          <w:bCs/>
        </w:rPr>
        <w:t xml:space="preserve">European </w:t>
      </w:r>
      <w:r w:rsidR="00580DF6">
        <w:rPr>
          <w:bCs/>
        </w:rPr>
        <w:t xml:space="preserve">Court </w:t>
      </w:r>
      <w:r>
        <w:rPr>
          <w:bCs/>
        </w:rPr>
        <w:t xml:space="preserve">on </w:t>
      </w:r>
      <w:r w:rsidR="00B05746">
        <w:rPr>
          <w:bCs/>
        </w:rPr>
        <w:t>26</w:t>
      </w:r>
      <w:r>
        <w:rPr>
          <w:bCs/>
        </w:rPr>
        <w:t xml:space="preserve"> November 2014 </w:t>
      </w:r>
      <w:r w:rsidRPr="002245BE">
        <w:rPr>
          <w:bCs/>
        </w:rPr>
        <w:t>concerned the same person, was based on the same facts and related to the same substantive rights as those invoked in the present com</w:t>
      </w:r>
      <w:r>
        <w:rPr>
          <w:bCs/>
        </w:rPr>
        <w:t>plaint</w:t>
      </w:r>
      <w:r w:rsidRPr="002245BE">
        <w:rPr>
          <w:bCs/>
        </w:rPr>
        <w:t xml:space="preserve">. </w:t>
      </w:r>
      <w:r>
        <w:rPr>
          <w:bCs/>
        </w:rPr>
        <w:t xml:space="preserve">The Committee therefore </w:t>
      </w:r>
      <w:r w:rsidR="006E56E1">
        <w:rPr>
          <w:bCs/>
        </w:rPr>
        <w:t>considers that the complainant’s</w:t>
      </w:r>
      <w:r>
        <w:rPr>
          <w:bCs/>
        </w:rPr>
        <w:t xml:space="preserve"> application </w:t>
      </w:r>
      <w:r w:rsidR="006E56E1">
        <w:rPr>
          <w:bCs/>
        </w:rPr>
        <w:t>was already examined by th</w:t>
      </w:r>
      <w:r w:rsidR="004D70D9">
        <w:rPr>
          <w:bCs/>
        </w:rPr>
        <w:t>at</w:t>
      </w:r>
      <w:r w:rsidR="006E56E1">
        <w:rPr>
          <w:bCs/>
        </w:rPr>
        <w:t xml:space="preserve"> international procedure</w:t>
      </w:r>
      <w:r>
        <w:rPr>
          <w:bCs/>
        </w:rPr>
        <w:t xml:space="preserve"> in the sense of article 22</w:t>
      </w:r>
      <w:r w:rsidR="00213C50">
        <w:rPr>
          <w:bCs/>
        </w:rPr>
        <w:t xml:space="preserve"> (5) (a)</w:t>
      </w:r>
      <w:r>
        <w:rPr>
          <w:bCs/>
        </w:rPr>
        <w:t xml:space="preserve"> of the Convention</w:t>
      </w:r>
      <w:r w:rsidR="006E56E1">
        <w:rPr>
          <w:bCs/>
        </w:rPr>
        <w:t xml:space="preserve">, and concludes that the present </w:t>
      </w:r>
      <w:r w:rsidR="00F34AE1">
        <w:rPr>
          <w:bCs/>
        </w:rPr>
        <w:t xml:space="preserve">communication </w:t>
      </w:r>
      <w:r w:rsidR="006E56E1">
        <w:rPr>
          <w:bCs/>
        </w:rPr>
        <w:t xml:space="preserve">is </w:t>
      </w:r>
      <w:r w:rsidR="006E56E1">
        <w:t xml:space="preserve">inadmissible </w:t>
      </w:r>
      <w:r w:rsidR="004D70D9">
        <w:t>under</w:t>
      </w:r>
      <w:r w:rsidR="006E56E1">
        <w:t xml:space="preserve"> article 22</w:t>
      </w:r>
      <w:r w:rsidR="00213C50">
        <w:t xml:space="preserve"> (5) (a)</w:t>
      </w:r>
      <w:r w:rsidR="006E56E1">
        <w:t xml:space="preserve"> of the Convention</w:t>
      </w:r>
      <w:r w:rsidR="006E56E1">
        <w:rPr>
          <w:bCs/>
        </w:rPr>
        <w:t>.</w:t>
      </w:r>
      <w:r>
        <w:rPr>
          <w:bCs/>
        </w:rPr>
        <w:t xml:space="preserve"> </w:t>
      </w:r>
    </w:p>
    <w:p w14:paraId="024D3856" w14:textId="77777777" w:rsidR="00473717" w:rsidRDefault="00473717">
      <w:pPr>
        <w:pStyle w:val="SingleTxtG"/>
        <w:rPr>
          <w:bCs/>
        </w:rPr>
      </w:pPr>
      <w:r>
        <w:rPr>
          <w:bCs/>
        </w:rPr>
        <w:lastRenderedPageBreak/>
        <w:t>6.</w:t>
      </w:r>
      <w:r w:rsidR="006E56E1">
        <w:rPr>
          <w:bCs/>
        </w:rPr>
        <w:t>5</w:t>
      </w:r>
      <w:r w:rsidRPr="00E80390">
        <w:rPr>
          <w:bCs/>
        </w:rPr>
        <w:t xml:space="preserve"> </w:t>
      </w:r>
      <w:r>
        <w:rPr>
          <w:bCs/>
        </w:rPr>
        <w:tab/>
      </w:r>
      <w:r w:rsidRPr="00E80390">
        <w:rPr>
          <w:bCs/>
        </w:rPr>
        <w:t>In view of the above, the Committee considers that the requirement of article 22</w:t>
      </w:r>
      <w:r w:rsidR="00417C3A">
        <w:rPr>
          <w:bCs/>
        </w:rPr>
        <w:t xml:space="preserve"> (5) (a)</w:t>
      </w:r>
      <w:r>
        <w:rPr>
          <w:bCs/>
        </w:rPr>
        <w:t xml:space="preserve"> of the Convention</w:t>
      </w:r>
      <w:r w:rsidRPr="00E80390">
        <w:rPr>
          <w:bCs/>
        </w:rPr>
        <w:t xml:space="preserve"> ha</w:t>
      </w:r>
      <w:r>
        <w:rPr>
          <w:bCs/>
        </w:rPr>
        <w:t>s</w:t>
      </w:r>
      <w:r w:rsidRPr="00E80390">
        <w:rPr>
          <w:bCs/>
        </w:rPr>
        <w:t xml:space="preserve"> not been met in the present case</w:t>
      </w:r>
      <w:r>
        <w:rPr>
          <w:bCs/>
        </w:rPr>
        <w:t>.</w:t>
      </w:r>
    </w:p>
    <w:p w14:paraId="6776DB62" w14:textId="77777777" w:rsidR="00473717" w:rsidRPr="00E80390" w:rsidRDefault="00473717" w:rsidP="00070277">
      <w:pPr>
        <w:pStyle w:val="SingleTxtG"/>
        <w:keepNext/>
        <w:rPr>
          <w:bCs/>
        </w:rPr>
      </w:pPr>
      <w:r>
        <w:rPr>
          <w:bCs/>
        </w:rPr>
        <w:t>7</w:t>
      </w:r>
      <w:r w:rsidRPr="00E80390">
        <w:rPr>
          <w:bCs/>
        </w:rPr>
        <w:t>.</w:t>
      </w:r>
      <w:r w:rsidRPr="00E80390">
        <w:rPr>
          <w:bCs/>
        </w:rPr>
        <w:tab/>
        <w:t xml:space="preserve">The Committee therefore decides: </w:t>
      </w:r>
    </w:p>
    <w:p w14:paraId="55CB3BE2" w14:textId="77777777" w:rsidR="00473717" w:rsidRPr="00E80390" w:rsidRDefault="00473717">
      <w:pPr>
        <w:pStyle w:val="SingleTxtG"/>
        <w:rPr>
          <w:bCs/>
        </w:rPr>
      </w:pPr>
      <w:r>
        <w:rPr>
          <w:bCs/>
        </w:rPr>
        <w:tab/>
      </w:r>
      <w:r w:rsidRPr="00E80390">
        <w:rPr>
          <w:bCs/>
        </w:rPr>
        <w:t>(a)</w:t>
      </w:r>
      <w:r w:rsidR="009D7B7D">
        <w:rPr>
          <w:bCs/>
        </w:rPr>
        <w:tab/>
      </w:r>
      <w:r w:rsidRPr="00E80390">
        <w:rPr>
          <w:bCs/>
        </w:rPr>
        <w:t xml:space="preserve">That the </w:t>
      </w:r>
      <w:r w:rsidR="005514E2">
        <w:rPr>
          <w:bCs/>
        </w:rPr>
        <w:t>communication</w:t>
      </w:r>
      <w:r w:rsidR="005514E2" w:rsidRPr="00E80390">
        <w:rPr>
          <w:bCs/>
        </w:rPr>
        <w:t xml:space="preserve"> </w:t>
      </w:r>
      <w:r w:rsidRPr="00E80390">
        <w:rPr>
          <w:bCs/>
        </w:rPr>
        <w:t>is inadmissible under article 22</w:t>
      </w:r>
      <w:r w:rsidR="008452CE">
        <w:rPr>
          <w:bCs/>
        </w:rPr>
        <w:t xml:space="preserve"> (5) (a)</w:t>
      </w:r>
      <w:r w:rsidRPr="00E80390">
        <w:rPr>
          <w:bCs/>
        </w:rPr>
        <w:t xml:space="preserve"> of the Convention;</w:t>
      </w:r>
    </w:p>
    <w:p w14:paraId="70C5328D" w14:textId="77777777" w:rsidR="00473717" w:rsidRDefault="00473717">
      <w:pPr>
        <w:pStyle w:val="SingleTxtG"/>
        <w:rPr>
          <w:bCs/>
        </w:rPr>
      </w:pPr>
      <w:r>
        <w:rPr>
          <w:bCs/>
        </w:rPr>
        <w:tab/>
      </w:r>
      <w:r w:rsidRPr="00E80390">
        <w:rPr>
          <w:bCs/>
        </w:rPr>
        <w:t>(b)</w:t>
      </w:r>
      <w:r w:rsidR="009D7B7D">
        <w:rPr>
          <w:bCs/>
        </w:rPr>
        <w:tab/>
      </w:r>
      <w:r w:rsidRPr="00E80390">
        <w:rPr>
          <w:bCs/>
        </w:rPr>
        <w:t>That th</w:t>
      </w:r>
      <w:r w:rsidR="005514E2">
        <w:rPr>
          <w:bCs/>
        </w:rPr>
        <w:t>e</w:t>
      </w:r>
      <w:r w:rsidRPr="00E80390">
        <w:rPr>
          <w:bCs/>
        </w:rPr>
        <w:t xml:space="preserve"> </w:t>
      </w:r>
      <w:r w:rsidR="005514E2">
        <w:rPr>
          <w:bCs/>
        </w:rPr>
        <w:t xml:space="preserve">present </w:t>
      </w:r>
      <w:r w:rsidRPr="00E80390">
        <w:rPr>
          <w:bCs/>
        </w:rPr>
        <w:t>decision shall be communicated to the complainant and to the State party.</w:t>
      </w:r>
    </w:p>
    <w:p w14:paraId="5831492D" w14:textId="77777777" w:rsidR="00116827" w:rsidRDefault="00473717" w:rsidP="000C6D66">
      <w:pPr>
        <w:pStyle w:val="SingleTxtG"/>
        <w:spacing w:before="240" w:after="0"/>
        <w:jc w:val="center"/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sectPr w:rsidR="00116827" w:rsidSect="00B034A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art" w:date="2016-02-16T15:14:00Z" w:initials="Start">
    <w:p w14:paraId="643CE089" w14:textId="77777777" w:rsidR="00B034A9" w:rsidRDefault="00B034A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NO&gt;&gt;N1602716E&lt;&lt;ODS JOB NO&gt;&gt;</w:t>
      </w:r>
    </w:p>
    <w:p w14:paraId="0E7ED0E6" w14:textId="77777777" w:rsidR="00B034A9" w:rsidRDefault="00B034A9">
      <w:pPr>
        <w:pStyle w:val="CommentText"/>
      </w:pPr>
      <w:r>
        <w:t>&lt;&lt;ODS DOC SYMBOL1&gt;&gt;CAT/C/56/D/643/2014&lt;&lt;ODS DOC SYMBOL1&gt;&gt;</w:t>
      </w:r>
    </w:p>
    <w:p w14:paraId="3220B4F6" w14:textId="77777777" w:rsidR="00B034A9" w:rsidRDefault="00B034A9">
      <w:pPr>
        <w:pStyle w:val="CommentText"/>
      </w:pPr>
      <w:r>
        <w:t>&lt;&lt;ODS DOC SYMBOL2&gt;&gt;&lt;&lt;ODS DOC SYMBOL2&gt;&gt;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0B4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5DA6" w14:textId="77777777" w:rsidR="001B562E" w:rsidRPr="008779DC" w:rsidRDefault="001B562E" w:rsidP="008779DC">
      <w:pPr>
        <w:pStyle w:val="Footer"/>
      </w:pPr>
    </w:p>
  </w:endnote>
  <w:endnote w:type="continuationSeparator" w:id="0">
    <w:p w14:paraId="4CAA526E" w14:textId="77777777" w:rsidR="001B562E" w:rsidRPr="008779DC" w:rsidRDefault="001B562E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B942" w14:textId="77777777" w:rsidR="00B909BF" w:rsidRPr="00B909BF" w:rsidRDefault="00B909BF" w:rsidP="00B909BF">
    <w:pPr>
      <w:pStyle w:val="Footer"/>
      <w:tabs>
        <w:tab w:val="right" w:pos="9598"/>
      </w:tabs>
    </w:pPr>
    <w:r w:rsidRPr="00B909BF">
      <w:rPr>
        <w:b/>
        <w:sz w:val="18"/>
      </w:rPr>
      <w:fldChar w:fldCharType="begin"/>
    </w:r>
    <w:r w:rsidRPr="00B909BF">
      <w:rPr>
        <w:b/>
        <w:sz w:val="18"/>
      </w:rPr>
      <w:instrText xml:space="preserve"> PAGE  \* MERGEFORMAT </w:instrText>
    </w:r>
    <w:r w:rsidRPr="00B909BF">
      <w:rPr>
        <w:b/>
        <w:sz w:val="18"/>
      </w:rPr>
      <w:fldChar w:fldCharType="separate"/>
    </w:r>
    <w:r w:rsidR="00BC199C">
      <w:rPr>
        <w:b/>
        <w:noProof/>
        <w:sz w:val="18"/>
      </w:rPr>
      <w:t>2</w:t>
    </w:r>
    <w:r w:rsidRPr="00B909BF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0DC9" w14:textId="77777777" w:rsidR="00B909BF" w:rsidRPr="00B909BF" w:rsidRDefault="00B909BF" w:rsidP="00B909BF">
    <w:pPr>
      <w:pStyle w:val="Footer"/>
      <w:tabs>
        <w:tab w:val="right" w:pos="9598"/>
      </w:tabs>
      <w:rPr>
        <w:b/>
        <w:sz w:val="18"/>
      </w:rPr>
    </w:pPr>
    <w:r>
      <w:tab/>
    </w:r>
    <w:r w:rsidRPr="00B909BF">
      <w:rPr>
        <w:b/>
        <w:sz w:val="18"/>
      </w:rPr>
      <w:fldChar w:fldCharType="begin"/>
    </w:r>
    <w:r w:rsidRPr="00B909BF">
      <w:rPr>
        <w:b/>
        <w:sz w:val="18"/>
      </w:rPr>
      <w:instrText xml:space="preserve"> PAGE  \* MERGEFORMAT </w:instrText>
    </w:r>
    <w:r w:rsidRPr="00B909BF">
      <w:rPr>
        <w:b/>
        <w:sz w:val="18"/>
      </w:rPr>
      <w:fldChar w:fldCharType="separate"/>
    </w:r>
    <w:r w:rsidR="00BC199C">
      <w:rPr>
        <w:b/>
        <w:noProof/>
        <w:sz w:val="18"/>
      </w:rPr>
      <w:t>3</w:t>
    </w:r>
    <w:r w:rsidRPr="00B909B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8"/>
      <w:gridCol w:w="4928"/>
    </w:tblGrid>
    <w:tr w:rsidR="00B034A9" w14:paraId="2A259DDE" w14:textId="77777777" w:rsidTr="00B034A9">
      <w:tc>
        <w:tcPr>
          <w:tcW w:w="3758" w:type="dxa"/>
          <w:shd w:val="clear" w:color="auto" w:fill="auto"/>
        </w:tcPr>
        <w:p w14:paraId="34E06FBE" w14:textId="77777777" w:rsidR="00B034A9" w:rsidRDefault="00B034A9" w:rsidP="00B034A9">
          <w:pPr>
            <w:pStyle w:val="Footer"/>
            <w:rPr>
              <w:sz w:val="20"/>
            </w:rPr>
          </w:pPr>
          <w:r>
            <w:rPr>
              <w:noProof/>
              <w:sz w:val="20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767E175" wp14:editId="07410978">
                <wp:simplePos x="0" y="0"/>
                <wp:positionH relativeFrom="column">
                  <wp:posOffset>5605145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2" name="Picture 2" descr="http://undocs.org/m2/QRCode2.ashx?DS=CAT/C/56/D/643/2014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AT/C/56/D/643/2014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GE.16-02180(E)</w:t>
          </w:r>
        </w:p>
        <w:p w14:paraId="212B8AD1" w14:textId="77777777" w:rsidR="00B034A9" w:rsidRPr="00B034A9" w:rsidRDefault="00B034A9" w:rsidP="00B034A9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*1602180*</w:t>
          </w:r>
        </w:p>
      </w:tc>
      <w:tc>
        <w:tcPr>
          <w:tcW w:w="4928" w:type="dxa"/>
          <w:shd w:val="clear" w:color="auto" w:fill="auto"/>
        </w:tcPr>
        <w:p w14:paraId="1E792FA5" w14:textId="77777777" w:rsidR="00B034A9" w:rsidRDefault="00B034A9" w:rsidP="00B034A9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6514EA67" wp14:editId="6E7158E4">
                <wp:extent cx="9296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607B9" w14:textId="77777777" w:rsidR="00B034A9" w:rsidRPr="00B034A9" w:rsidRDefault="00B034A9" w:rsidP="00B034A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D16F9" w14:textId="77777777" w:rsidR="001B562E" w:rsidRPr="008779DC" w:rsidRDefault="001B562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4ECD0B2D" w14:textId="77777777" w:rsidR="001B562E" w:rsidRPr="008779DC" w:rsidRDefault="001B562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0D6C1D1D" w14:textId="77777777" w:rsidR="008D1BA5" w:rsidRDefault="008D1BA5" w:rsidP="00284314">
      <w:pPr>
        <w:pStyle w:val="FootnoteText"/>
      </w:pPr>
      <w:r w:rsidRPr="0097236C">
        <w:rPr>
          <w:rStyle w:val="FootnoteReference"/>
          <w:sz w:val="20"/>
          <w:vertAlign w:val="baseline"/>
        </w:rPr>
        <w:tab/>
        <w:t>*</w:t>
      </w:r>
      <w:bookmarkStart w:id="2" w:name="OLE_LINK2"/>
      <w:bookmarkStart w:id="3" w:name="OLE_LINK1"/>
      <w:r w:rsidRPr="0097236C">
        <w:rPr>
          <w:rStyle w:val="FootnoteReference"/>
          <w:sz w:val="20"/>
          <w:vertAlign w:val="baseline"/>
        </w:rPr>
        <w:tab/>
      </w:r>
      <w:r>
        <w:t>The following members of the Committee participated in the consideration of the present communication:</w:t>
      </w:r>
      <w:bookmarkEnd w:id="2"/>
      <w:bookmarkEnd w:id="3"/>
      <w:r>
        <w:t xml:space="preserve"> Essadia Belmir, Alessio Bruni, Satyabhoosun Gupt Domah, Abdoulaye Gaye, Sapana Pradhan-Malla, </w:t>
      </w:r>
      <w:r>
        <w:rPr>
          <w:bCs/>
        </w:rPr>
        <w:t xml:space="preserve">Jens Modvig, George Tugushi and </w:t>
      </w:r>
      <w:r>
        <w:t>Kening Zhang.</w:t>
      </w:r>
    </w:p>
  </w:footnote>
  <w:footnote w:id="2">
    <w:p w14:paraId="07A5A5CC" w14:textId="77777777" w:rsidR="00E724AC" w:rsidRPr="008C47AA" w:rsidRDefault="00E724AC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  <w:t xml:space="preserve">See para. 2.5 above. </w:t>
      </w:r>
    </w:p>
  </w:footnote>
  <w:footnote w:id="3">
    <w:p w14:paraId="78D648CA" w14:textId="77777777" w:rsidR="00694005" w:rsidRPr="008C47AA" w:rsidRDefault="00694005" w:rsidP="00EC6F9B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037EAA">
        <w:t xml:space="preserve">The State party refers to </w:t>
      </w:r>
      <w:r>
        <w:t>communications</w:t>
      </w:r>
      <w:r w:rsidRPr="00037EAA">
        <w:t xml:space="preserve"> No. </w:t>
      </w:r>
      <w:r>
        <w:t xml:space="preserve">305/2006, </w:t>
      </w:r>
      <w:r w:rsidRPr="009462A3">
        <w:rPr>
          <w:i/>
        </w:rPr>
        <w:t>A.R.A. v. Sweden</w:t>
      </w:r>
      <w:r>
        <w:t xml:space="preserve">, decision adopted on 30 April 2007, paras. 6.1-6.2; and 140/1999, </w:t>
      </w:r>
      <w:r w:rsidRPr="009462A3">
        <w:rPr>
          <w:i/>
        </w:rPr>
        <w:t>A.G. v. Sweden</w:t>
      </w:r>
      <w:r>
        <w:t xml:space="preserve">, decision adopted on 2 May 2000, paras. </w:t>
      </w:r>
      <w:r w:rsidRPr="00BE327B">
        <w:rPr>
          <w:szCs w:val="18"/>
        </w:rPr>
        <w:t>6.2 an</w:t>
      </w:r>
      <w:r>
        <w:t>d 7.</w:t>
      </w:r>
      <w:r w:rsidR="009D7B7D">
        <w:t xml:space="preserve"> </w:t>
      </w:r>
    </w:p>
  </w:footnote>
  <w:footnote w:id="4">
    <w:p w14:paraId="4FB36ABD" w14:textId="77777777" w:rsidR="00694005" w:rsidRPr="008C47AA" w:rsidRDefault="00694005" w:rsidP="00AE0FEC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037EAA">
        <w:t xml:space="preserve">The State party refers to </w:t>
      </w:r>
      <w:r>
        <w:t>Human Rights Committee</w:t>
      </w:r>
      <w:r w:rsidR="00B43133">
        <w:t xml:space="preserve">, </w:t>
      </w:r>
      <w:r>
        <w:t>communication</w:t>
      </w:r>
      <w:r w:rsidR="00B43133">
        <w:t>s</w:t>
      </w:r>
      <w:r>
        <w:t xml:space="preserve"> No.</w:t>
      </w:r>
      <w:r w:rsidR="00530647">
        <w:t xml:space="preserve"> </w:t>
      </w:r>
      <w:r>
        <w:t xml:space="preserve">989/2001, </w:t>
      </w:r>
      <w:r w:rsidRPr="009462A3">
        <w:rPr>
          <w:i/>
        </w:rPr>
        <w:t>Kollar v. Austria</w:t>
      </w:r>
      <w:r>
        <w:t xml:space="preserve">, </w:t>
      </w:r>
      <w:r w:rsidR="00B43133">
        <w:t xml:space="preserve">decision of inadmissibility adopted on 30 July 2003, </w:t>
      </w:r>
      <w:r>
        <w:t>para. 8.4; and No.</w:t>
      </w:r>
      <w:r w:rsidR="0040133A">
        <w:t> </w:t>
      </w:r>
      <w:r>
        <w:t xml:space="preserve">584/1994, </w:t>
      </w:r>
      <w:r w:rsidRPr="009462A3">
        <w:rPr>
          <w:i/>
        </w:rPr>
        <w:t>Valentijn v. France</w:t>
      </w:r>
      <w:r w:rsidR="00B43133">
        <w:t xml:space="preserve">, decision of inadmissibility adopted on 22 July 1996, </w:t>
      </w:r>
      <w:r>
        <w:t xml:space="preserve">para. 5.2. </w:t>
      </w:r>
    </w:p>
  </w:footnote>
  <w:footnote w:id="5">
    <w:p w14:paraId="3112AA28" w14:textId="77777777" w:rsidR="00473717" w:rsidRPr="00A93BF8" w:rsidRDefault="00473717" w:rsidP="00070277">
      <w:pPr>
        <w:pStyle w:val="FootnoteText"/>
      </w:pPr>
      <w:r>
        <w:tab/>
      </w:r>
      <w:r w:rsidRPr="00A93BF8">
        <w:rPr>
          <w:rStyle w:val="FootnoteReference"/>
        </w:rPr>
        <w:footnoteRef/>
      </w:r>
      <w:r>
        <w:tab/>
      </w:r>
      <w:r w:rsidRPr="00A93BF8">
        <w:rPr>
          <w:rStyle w:val="FootnoteReference"/>
        </w:rPr>
        <w:t xml:space="preserve"> </w:t>
      </w:r>
      <w:r w:rsidRPr="00A93BF8">
        <w:t>See, for example, com</w:t>
      </w:r>
      <w:r w:rsidR="00450FDE">
        <w:t>munications</w:t>
      </w:r>
      <w:r w:rsidRPr="00A93BF8">
        <w:t xml:space="preserve"> No. 305/2006, </w:t>
      </w:r>
      <w:r w:rsidRPr="0019052A">
        <w:rPr>
          <w:i/>
        </w:rPr>
        <w:t>A.R.A. v. Sweden</w:t>
      </w:r>
      <w:r w:rsidRPr="00A93BF8">
        <w:t>, para</w:t>
      </w:r>
      <w:r>
        <w:t>.</w:t>
      </w:r>
      <w:r w:rsidR="00B05746">
        <w:t xml:space="preserve"> 6.1; and No.</w:t>
      </w:r>
      <w:r w:rsidR="00530647">
        <w:t xml:space="preserve"> </w:t>
      </w:r>
      <w:r w:rsidR="00B05746">
        <w:t xml:space="preserve">642/2014, </w:t>
      </w:r>
      <w:r w:rsidR="00B05746" w:rsidRPr="00070277">
        <w:rPr>
          <w:i/>
          <w:iCs/>
        </w:rPr>
        <w:t>M.T. v. Sweden</w:t>
      </w:r>
      <w:r w:rsidR="00B05746">
        <w:t xml:space="preserve">, </w:t>
      </w:r>
      <w:r w:rsidR="00E56CAE">
        <w:t>d</w:t>
      </w:r>
      <w:r w:rsidR="00B05746">
        <w:t xml:space="preserve">ecision </w:t>
      </w:r>
      <w:r w:rsidR="00E56CAE">
        <w:t xml:space="preserve">of inadmissibility </w:t>
      </w:r>
      <w:r w:rsidR="00B05746">
        <w:t>adopted on 7</w:t>
      </w:r>
      <w:r w:rsidR="0040133A">
        <w:t> </w:t>
      </w:r>
      <w:r w:rsidR="00B05746">
        <w:t>August 2015, para. 8.3.</w:t>
      </w:r>
      <w:r w:rsidR="009D7B7D">
        <w:t xml:space="preserve"> </w:t>
      </w:r>
    </w:p>
  </w:footnote>
  <w:footnote w:id="6">
    <w:p w14:paraId="34167DAC" w14:textId="77777777" w:rsidR="00473717" w:rsidRPr="00C562CA" w:rsidRDefault="00473717" w:rsidP="00070277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E20801">
        <w:t xml:space="preserve">See, for example, </w:t>
      </w:r>
      <w:r w:rsidRPr="00A93BF8">
        <w:t>com</w:t>
      </w:r>
      <w:r w:rsidR="00450FDE">
        <w:t>munications</w:t>
      </w:r>
      <w:r w:rsidRPr="00A93BF8">
        <w:t xml:space="preserve"> No. 247/2004, </w:t>
      </w:r>
      <w:r w:rsidRPr="0019052A">
        <w:rPr>
          <w:i/>
        </w:rPr>
        <w:t>A.A. v. Azerbaijan</w:t>
      </w:r>
      <w:r w:rsidRPr="00A93BF8">
        <w:t xml:space="preserve">, </w:t>
      </w:r>
      <w:r w:rsidR="00E56CAE">
        <w:t>d</w:t>
      </w:r>
      <w:r w:rsidRPr="00A93BF8">
        <w:t xml:space="preserve">ecision </w:t>
      </w:r>
      <w:r w:rsidR="00E56CAE">
        <w:t xml:space="preserve">of inadmissibility </w:t>
      </w:r>
      <w:r w:rsidRPr="00A93BF8">
        <w:t>adopted on 25 November 2005, paras</w:t>
      </w:r>
      <w:r>
        <w:t>.</w:t>
      </w:r>
      <w:r w:rsidRPr="00A93BF8">
        <w:t xml:space="preserve"> 6.</w:t>
      </w:r>
      <w:r w:rsidR="00B05746">
        <w:t>8;</w:t>
      </w:r>
      <w:r w:rsidR="009D7B7D">
        <w:t xml:space="preserve"> </w:t>
      </w:r>
      <w:r>
        <w:t xml:space="preserve">No. 479/2011, </w:t>
      </w:r>
      <w:r w:rsidRPr="009462A3">
        <w:rPr>
          <w:i/>
        </w:rPr>
        <w:t xml:space="preserve">E.E. v. </w:t>
      </w:r>
      <w:r w:rsidR="00EB1DBD" w:rsidRPr="009462A3">
        <w:rPr>
          <w:i/>
        </w:rPr>
        <w:t xml:space="preserve">the </w:t>
      </w:r>
      <w:r w:rsidRPr="009462A3">
        <w:rPr>
          <w:i/>
        </w:rPr>
        <w:t>Russian Federation</w:t>
      </w:r>
      <w:r>
        <w:t xml:space="preserve">, </w:t>
      </w:r>
      <w:r w:rsidR="00E56CAE">
        <w:t>d</w:t>
      </w:r>
      <w:r>
        <w:t xml:space="preserve">ecision </w:t>
      </w:r>
      <w:r w:rsidR="00E56CAE">
        <w:t xml:space="preserve">of inadmissibility </w:t>
      </w:r>
      <w:r>
        <w:t>ad</w:t>
      </w:r>
      <w:r w:rsidR="00B05746">
        <w:t>opted on 2</w:t>
      </w:r>
      <w:r w:rsidR="008A7C15">
        <w:t>4</w:t>
      </w:r>
      <w:r w:rsidR="00B05746">
        <w:t xml:space="preserve"> May 2013, para. 8.4; and No.</w:t>
      </w:r>
      <w:r w:rsidR="00530647">
        <w:t xml:space="preserve"> </w:t>
      </w:r>
      <w:r w:rsidR="00B05746">
        <w:t xml:space="preserve">642/2014, </w:t>
      </w:r>
      <w:r w:rsidR="00B05746" w:rsidRPr="00070277">
        <w:rPr>
          <w:i/>
          <w:iCs/>
        </w:rPr>
        <w:t>M.T. v. Sweden</w:t>
      </w:r>
      <w:r w:rsidR="00B05746">
        <w:t xml:space="preserve">, </w:t>
      </w:r>
      <w:r w:rsidR="00E56CAE">
        <w:t>d</w:t>
      </w:r>
      <w:r w:rsidR="00B05746">
        <w:t xml:space="preserve">ecision </w:t>
      </w:r>
      <w:r w:rsidR="00E56CAE">
        <w:t xml:space="preserve">of inadmissibility </w:t>
      </w:r>
      <w:r w:rsidR="00B05746">
        <w:t>adopted on 7 August 2015, para. 8.3.</w:t>
      </w:r>
      <w:r w:rsidR="009D7B7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6F9E" w14:textId="77777777" w:rsidR="00B909BF" w:rsidRPr="00B909BF" w:rsidRDefault="000619C9" w:rsidP="00B909BF">
    <w:pPr>
      <w:pStyle w:val="Header"/>
    </w:pPr>
    <w:r>
      <w:t>CAT/C/5</w:t>
    </w:r>
    <w:r w:rsidR="00056252">
      <w:t>6</w:t>
    </w:r>
    <w:r w:rsidR="00B909BF" w:rsidRPr="00B909BF">
      <w:t>/D/6</w:t>
    </w:r>
    <w:r w:rsidR="00056252">
      <w:t>43</w:t>
    </w:r>
    <w:r w:rsidR="00B909BF" w:rsidRPr="00B909BF">
      <w:t>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F312" w14:textId="77777777" w:rsidR="00D36FFD" w:rsidRPr="00B909BF" w:rsidRDefault="00056252" w:rsidP="00D36FFD">
    <w:pPr>
      <w:pStyle w:val="Header"/>
      <w:jc w:val="right"/>
    </w:pPr>
    <w:r>
      <w:t>CAT/C/56</w:t>
    </w:r>
    <w:r w:rsidR="00D36FFD" w:rsidRPr="00B909BF">
      <w:t>/D/6</w:t>
    </w:r>
    <w:r w:rsidR="00D36FFD">
      <w:t>4</w:t>
    </w:r>
    <w:r>
      <w:t>3</w:t>
    </w:r>
    <w:r w:rsidR="00D36FFD" w:rsidRPr="00B909BF"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D723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7E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7DD2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5912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A016C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C8"/>
    <w:rsid w:val="00012AE1"/>
    <w:rsid w:val="00020276"/>
    <w:rsid w:val="0002102D"/>
    <w:rsid w:val="00033D99"/>
    <w:rsid w:val="00037EAA"/>
    <w:rsid w:val="00046E92"/>
    <w:rsid w:val="00047959"/>
    <w:rsid w:val="000553F2"/>
    <w:rsid w:val="00056252"/>
    <w:rsid w:val="00060C88"/>
    <w:rsid w:val="000619C9"/>
    <w:rsid w:val="00062024"/>
    <w:rsid w:val="00064DF1"/>
    <w:rsid w:val="00065F80"/>
    <w:rsid w:val="00066FDD"/>
    <w:rsid w:val="00067695"/>
    <w:rsid w:val="00070277"/>
    <w:rsid w:val="00070BEA"/>
    <w:rsid w:val="000740E5"/>
    <w:rsid w:val="00084F2F"/>
    <w:rsid w:val="00085EC2"/>
    <w:rsid w:val="000B09AF"/>
    <w:rsid w:val="000C2018"/>
    <w:rsid w:val="000C5917"/>
    <w:rsid w:val="000C6D66"/>
    <w:rsid w:val="000D4AF2"/>
    <w:rsid w:val="000D594F"/>
    <w:rsid w:val="000E35CD"/>
    <w:rsid w:val="000E38B8"/>
    <w:rsid w:val="000E3906"/>
    <w:rsid w:val="000E7368"/>
    <w:rsid w:val="000F25B3"/>
    <w:rsid w:val="000F26CF"/>
    <w:rsid w:val="000F3D57"/>
    <w:rsid w:val="000F658E"/>
    <w:rsid w:val="000F748D"/>
    <w:rsid w:val="001139F7"/>
    <w:rsid w:val="00113CCB"/>
    <w:rsid w:val="00113E7B"/>
    <w:rsid w:val="00115567"/>
    <w:rsid w:val="00116827"/>
    <w:rsid w:val="00121774"/>
    <w:rsid w:val="00125914"/>
    <w:rsid w:val="00136EB7"/>
    <w:rsid w:val="00141FC0"/>
    <w:rsid w:val="00144518"/>
    <w:rsid w:val="00145C65"/>
    <w:rsid w:val="00150EF6"/>
    <w:rsid w:val="001543F8"/>
    <w:rsid w:val="001574E7"/>
    <w:rsid w:val="001577D8"/>
    <w:rsid w:val="00184302"/>
    <w:rsid w:val="00190E21"/>
    <w:rsid w:val="001957AC"/>
    <w:rsid w:val="001A2D09"/>
    <w:rsid w:val="001B562E"/>
    <w:rsid w:val="001E76DE"/>
    <w:rsid w:val="001F6084"/>
    <w:rsid w:val="00200867"/>
    <w:rsid w:val="00201E74"/>
    <w:rsid w:val="002116D5"/>
    <w:rsid w:val="00213BF8"/>
    <w:rsid w:val="00213C50"/>
    <w:rsid w:val="00214884"/>
    <w:rsid w:val="00215542"/>
    <w:rsid w:val="00222738"/>
    <w:rsid w:val="002233EA"/>
    <w:rsid w:val="002334CE"/>
    <w:rsid w:val="00247E2C"/>
    <w:rsid w:val="00254A4D"/>
    <w:rsid w:val="00260A25"/>
    <w:rsid w:val="00267ECF"/>
    <w:rsid w:val="0027003E"/>
    <w:rsid w:val="00271ABE"/>
    <w:rsid w:val="00273055"/>
    <w:rsid w:val="002746CB"/>
    <w:rsid w:val="00275177"/>
    <w:rsid w:val="00283C9F"/>
    <w:rsid w:val="00284314"/>
    <w:rsid w:val="00293FBC"/>
    <w:rsid w:val="002A0559"/>
    <w:rsid w:val="002A4B39"/>
    <w:rsid w:val="002A73DF"/>
    <w:rsid w:val="002B140B"/>
    <w:rsid w:val="002B1EE0"/>
    <w:rsid w:val="002B2250"/>
    <w:rsid w:val="002B4AB5"/>
    <w:rsid w:val="002D6C53"/>
    <w:rsid w:val="002E0A2B"/>
    <w:rsid w:val="002E2915"/>
    <w:rsid w:val="002E3F38"/>
    <w:rsid w:val="002E47B1"/>
    <w:rsid w:val="002F5595"/>
    <w:rsid w:val="002F6E08"/>
    <w:rsid w:val="0030284D"/>
    <w:rsid w:val="00302BB0"/>
    <w:rsid w:val="003048FF"/>
    <w:rsid w:val="00310DF6"/>
    <w:rsid w:val="00314DDA"/>
    <w:rsid w:val="003211B3"/>
    <w:rsid w:val="003314FE"/>
    <w:rsid w:val="003341A4"/>
    <w:rsid w:val="00334F6A"/>
    <w:rsid w:val="00342AC8"/>
    <w:rsid w:val="003444C8"/>
    <w:rsid w:val="00346B34"/>
    <w:rsid w:val="0035420A"/>
    <w:rsid w:val="00355C1D"/>
    <w:rsid w:val="00357624"/>
    <w:rsid w:val="003605F8"/>
    <w:rsid w:val="00391F04"/>
    <w:rsid w:val="003958C8"/>
    <w:rsid w:val="0039647B"/>
    <w:rsid w:val="003A77D8"/>
    <w:rsid w:val="003B2C66"/>
    <w:rsid w:val="003B4550"/>
    <w:rsid w:val="003B5018"/>
    <w:rsid w:val="003C0113"/>
    <w:rsid w:val="003C06A0"/>
    <w:rsid w:val="003C7FF7"/>
    <w:rsid w:val="003D3F18"/>
    <w:rsid w:val="003E6B30"/>
    <w:rsid w:val="003E7B34"/>
    <w:rsid w:val="003F2C88"/>
    <w:rsid w:val="003F69BC"/>
    <w:rsid w:val="0040133A"/>
    <w:rsid w:val="00410605"/>
    <w:rsid w:val="00411A49"/>
    <w:rsid w:val="00417C3A"/>
    <w:rsid w:val="00417CD0"/>
    <w:rsid w:val="0042186E"/>
    <w:rsid w:val="00426E81"/>
    <w:rsid w:val="00434848"/>
    <w:rsid w:val="004400C5"/>
    <w:rsid w:val="0044415E"/>
    <w:rsid w:val="00450FDE"/>
    <w:rsid w:val="00454E25"/>
    <w:rsid w:val="00461253"/>
    <w:rsid w:val="004637E7"/>
    <w:rsid w:val="004658A3"/>
    <w:rsid w:val="0047347B"/>
    <w:rsid w:val="00473717"/>
    <w:rsid w:val="004840AF"/>
    <w:rsid w:val="0048687F"/>
    <w:rsid w:val="00491FC6"/>
    <w:rsid w:val="004A29FD"/>
    <w:rsid w:val="004A409A"/>
    <w:rsid w:val="004A6BED"/>
    <w:rsid w:val="004C1C93"/>
    <w:rsid w:val="004C69F0"/>
    <w:rsid w:val="004C6C38"/>
    <w:rsid w:val="004D14B2"/>
    <w:rsid w:val="004D70D9"/>
    <w:rsid w:val="004E18AA"/>
    <w:rsid w:val="004E2C38"/>
    <w:rsid w:val="004E7DF0"/>
    <w:rsid w:val="005042C2"/>
    <w:rsid w:val="005250DB"/>
    <w:rsid w:val="00525143"/>
    <w:rsid w:val="0052620A"/>
    <w:rsid w:val="00530647"/>
    <w:rsid w:val="0054199E"/>
    <w:rsid w:val="005514E2"/>
    <w:rsid w:val="005608ED"/>
    <w:rsid w:val="00571D4C"/>
    <w:rsid w:val="00580BA5"/>
    <w:rsid w:val="00580DF6"/>
    <w:rsid w:val="005A46CB"/>
    <w:rsid w:val="005A767E"/>
    <w:rsid w:val="005B3CAB"/>
    <w:rsid w:val="005B4162"/>
    <w:rsid w:val="005C0835"/>
    <w:rsid w:val="005C4ADC"/>
    <w:rsid w:val="005D1D45"/>
    <w:rsid w:val="005D206E"/>
    <w:rsid w:val="005D4594"/>
    <w:rsid w:val="005E4A48"/>
    <w:rsid w:val="005E4F18"/>
    <w:rsid w:val="005E5381"/>
    <w:rsid w:val="005F5251"/>
    <w:rsid w:val="0060328D"/>
    <w:rsid w:val="0061393A"/>
    <w:rsid w:val="00625E23"/>
    <w:rsid w:val="00635FE8"/>
    <w:rsid w:val="006365DF"/>
    <w:rsid w:val="00640F91"/>
    <w:rsid w:val="0065147D"/>
    <w:rsid w:val="00657A1E"/>
    <w:rsid w:val="00671529"/>
    <w:rsid w:val="00672EC6"/>
    <w:rsid w:val="006732AA"/>
    <w:rsid w:val="00690658"/>
    <w:rsid w:val="00694005"/>
    <w:rsid w:val="00694981"/>
    <w:rsid w:val="00695534"/>
    <w:rsid w:val="00695A5E"/>
    <w:rsid w:val="006A06D9"/>
    <w:rsid w:val="006A2AFE"/>
    <w:rsid w:val="006A77DA"/>
    <w:rsid w:val="006E56E1"/>
    <w:rsid w:val="006F16F0"/>
    <w:rsid w:val="006F62EA"/>
    <w:rsid w:val="007063AC"/>
    <w:rsid w:val="00711B96"/>
    <w:rsid w:val="007200BC"/>
    <w:rsid w:val="00725CB3"/>
    <w:rsid w:val="007268F9"/>
    <w:rsid w:val="007309C0"/>
    <w:rsid w:val="00733238"/>
    <w:rsid w:val="0074167E"/>
    <w:rsid w:val="007446B1"/>
    <w:rsid w:val="00750F63"/>
    <w:rsid w:val="00773B35"/>
    <w:rsid w:val="007753E0"/>
    <w:rsid w:val="0078593D"/>
    <w:rsid w:val="00792431"/>
    <w:rsid w:val="00795472"/>
    <w:rsid w:val="00797C1D"/>
    <w:rsid w:val="007C52B0"/>
    <w:rsid w:val="007D2164"/>
    <w:rsid w:val="007E6825"/>
    <w:rsid w:val="007F4994"/>
    <w:rsid w:val="007F5917"/>
    <w:rsid w:val="007F59F4"/>
    <w:rsid w:val="00802C37"/>
    <w:rsid w:val="00811039"/>
    <w:rsid w:val="008144EC"/>
    <w:rsid w:val="00817B7A"/>
    <w:rsid w:val="0082083F"/>
    <w:rsid w:val="00822E8D"/>
    <w:rsid w:val="00827931"/>
    <w:rsid w:val="00831996"/>
    <w:rsid w:val="00843051"/>
    <w:rsid w:val="0084327C"/>
    <w:rsid w:val="008452CE"/>
    <w:rsid w:val="008645FC"/>
    <w:rsid w:val="00865714"/>
    <w:rsid w:val="00865F51"/>
    <w:rsid w:val="008779BE"/>
    <w:rsid w:val="008779DC"/>
    <w:rsid w:val="00881687"/>
    <w:rsid w:val="0089489C"/>
    <w:rsid w:val="008974D1"/>
    <w:rsid w:val="008A0EAE"/>
    <w:rsid w:val="008A0F30"/>
    <w:rsid w:val="008A7C15"/>
    <w:rsid w:val="008B1FAA"/>
    <w:rsid w:val="008B22FB"/>
    <w:rsid w:val="008B5B07"/>
    <w:rsid w:val="008B5F85"/>
    <w:rsid w:val="008C47AA"/>
    <w:rsid w:val="008C4E72"/>
    <w:rsid w:val="008D1BA5"/>
    <w:rsid w:val="008D7EDE"/>
    <w:rsid w:val="008E13C0"/>
    <w:rsid w:val="008F2773"/>
    <w:rsid w:val="00904DA8"/>
    <w:rsid w:val="009141AB"/>
    <w:rsid w:val="00914BE8"/>
    <w:rsid w:val="00930C45"/>
    <w:rsid w:val="00933987"/>
    <w:rsid w:val="0093545A"/>
    <w:rsid w:val="009411B4"/>
    <w:rsid w:val="00945AB8"/>
    <w:rsid w:val="009462A3"/>
    <w:rsid w:val="0096321E"/>
    <w:rsid w:val="009676A9"/>
    <w:rsid w:val="009720B5"/>
    <w:rsid w:val="0097236C"/>
    <w:rsid w:val="009811B0"/>
    <w:rsid w:val="009C13E0"/>
    <w:rsid w:val="009C20B4"/>
    <w:rsid w:val="009D0139"/>
    <w:rsid w:val="009D7B7D"/>
    <w:rsid w:val="009E4F77"/>
    <w:rsid w:val="009F5B9C"/>
    <w:rsid w:val="009F5CDC"/>
    <w:rsid w:val="00A037F5"/>
    <w:rsid w:val="00A040E9"/>
    <w:rsid w:val="00A07639"/>
    <w:rsid w:val="00A13C74"/>
    <w:rsid w:val="00A163B9"/>
    <w:rsid w:val="00A234AB"/>
    <w:rsid w:val="00A2355D"/>
    <w:rsid w:val="00A33D8E"/>
    <w:rsid w:val="00A36EB5"/>
    <w:rsid w:val="00A43F01"/>
    <w:rsid w:val="00A51A6E"/>
    <w:rsid w:val="00A5287E"/>
    <w:rsid w:val="00A571EC"/>
    <w:rsid w:val="00A70E8B"/>
    <w:rsid w:val="00A735A6"/>
    <w:rsid w:val="00A775CF"/>
    <w:rsid w:val="00A80A2B"/>
    <w:rsid w:val="00A81157"/>
    <w:rsid w:val="00A81BC0"/>
    <w:rsid w:val="00A952DF"/>
    <w:rsid w:val="00A97941"/>
    <w:rsid w:val="00AA482C"/>
    <w:rsid w:val="00AA6DA6"/>
    <w:rsid w:val="00AD7400"/>
    <w:rsid w:val="00AE0FEC"/>
    <w:rsid w:val="00AF10EE"/>
    <w:rsid w:val="00AF3794"/>
    <w:rsid w:val="00B034A9"/>
    <w:rsid w:val="00B05746"/>
    <w:rsid w:val="00B06045"/>
    <w:rsid w:val="00B0608D"/>
    <w:rsid w:val="00B063ED"/>
    <w:rsid w:val="00B125B7"/>
    <w:rsid w:val="00B143A3"/>
    <w:rsid w:val="00B14AB9"/>
    <w:rsid w:val="00B221F0"/>
    <w:rsid w:val="00B30182"/>
    <w:rsid w:val="00B372D2"/>
    <w:rsid w:val="00B416F8"/>
    <w:rsid w:val="00B42068"/>
    <w:rsid w:val="00B43133"/>
    <w:rsid w:val="00B43385"/>
    <w:rsid w:val="00B5514E"/>
    <w:rsid w:val="00B64ADE"/>
    <w:rsid w:val="00B66C8A"/>
    <w:rsid w:val="00B75125"/>
    <w:rsid w:val="00B760D3"/>
    <w:rsid w:val="00B77E96"/>
    <w:rsid w:val="00B86383"/>
    <w:rsid w:val="00B909BF"/>
    <w:rsid w:val="00BA527D"/>
    <w:rsid w:val="00BB0CD5"/>
    <w:rsid w:val="00BC0104"/>
    <w:rsid w:val="00BC199C"/>
    <w:rsid w:val="00BD56DE"/>
    <w:rsid w:val="00BD69F2"/>
    <w:rsid w:val="00BD6EFE"/>
    <w:rsid w:val="00BE327B"/>
    <w:rsid w:val="00BF607B"/>
    <w:rsid w:val="00C114DC"/>
    <w:rsid w:val="00C2055D"/>
    <w:rsid w:val="00C2546C"/>
    <w:rsid w:val="00C27CE2"/>
    <w:rsid w:val="00C3509E"/>
    <w:rsid w:val="00C35A27"/>
    <w:rsid w:val="00C37B56"/>
    <w:rsid w:val="00C40089"/>
    <w:rsid w:val="00C42BFD"/>
    <w:rsid w:val="00C455D8"/>
    <w:rsid w:val="00C47453"/>
    <w:rsid w:val="00C51979"/>
    <w:rsid w:val="00C5272F"/>
    <w:rsid w:val="00C562CA"/>
    <w:rsid w:val="00C9269A"/>
    <w:rsid w:val="00C95248"/>
    <w:rsid w:val="00CD3472"/>
    <w:rsid w:val="00CE3DA9"/>
    <w:rsid w:val="00CE4645"/>
    <w:rsid w:val="00D16486"/>
    <w:rsid w:val="00D20BB1"/>
    <w:rsid w:val="00D366C1"/>
    <w:rsid w:val="00D36FFD"/>
    <w:rsid w:val="00D40465"/>
    <w:rsid w:val="00D4098F"/>
    <w:rsid w:val="00D4202B"/>
    <w:rsid w:val="00D501B3"/>
    <w:rsid w:val="00D53AD6"/>
    <w:rsid w:val="00D56F57"/>
    <w:rsid w:val="00D65E8E"/>
    <w:rsid w:val="00D66033"/>
    <w:rsid w:val="00D73684"/>
    <w:rsid w:val="00D8286D"/>
    <w:rsid w:val="00D84D32"/>
    <w:rsid w:val="00D85B1C"/>
    <w:rsid w:val="00D9178D"/>
    <w:rsid w:val="00D94C34"/>
    <w:rsid w:val="00DC2F9C"/>
    <w:rsid w:val="00DD6069"/>
    <w:rsid w:val="00DE377F"/>
    <w:rsid w:val="00DE455E"/>
    <w:rsid w:val="00DF0622"/>
    <w:rsid w:val="00DF19FA"/>
    <w:rsid w:val="00DF62D4"/>
    <w:rsid w:val="00DF7CFD"/>
    <w:rsid w:val="00E02C2B"/>
    <w:rsid w:val="00E11451"/>
    <w:rsid w:val="00E1156B"/>
    <w:rsid w:val="00E2044E"/>
    <w:rsid w:val="00E20801"/>
    <w:rsid w:val="00E248C2"/>
    <w:rsid w:val="00E33C97"/>
    <w:rsid w:val="00E3560D"/>
    <w:rsid w:val="00E50E8E"/>
    <w:rsid w:val="00E51384"/>
    <w:rsid w:val="00E52AB2"/>
    <w:rsid w:val="00E53B3A"/>
    <w:rsid w:val="00E5505A"/>
    <w:rsid w:val="00E56CAE"/>
    <w:rsid w:val="00E570EB"/>
    <w:rsid w:val="00E623F9"/>
    <w:rsid w:val="00E64751"/>
    <w:rsid w:val="00E67FFB"/>
    <w:rsid w:val="00E71559"/>
    <w:rsid w:val="00E71E56"/>
    <w:rsid w:val="00E71FB1"/>
    <w:rsid w:val="00E724AC"/>
    <w:rsid w:val="00E74E38"/>
    <w:rsid w:val="00E801F6"/>
    <w:rsid w:val="00E8507B"/>
    <w:rsid w:val="00E850A6"/>
    <w:rsid w:val="00E9104A"/>
    <w:rsid w:val="00E97A91"/>
    <w:rsid w:val="00EB1DBD"/>
    <w:rsid w:val="00EB3C12"/>
    <w:rsid w:val="00EB42FE"/>
    <w:rsid w:val="00EC6F9B"/>
    <w:rsid w:val="00ED6C48"/>
    <w:rsid w:val="00EE152E"/>
    <w:rsid w:val="00EF3559"/>
    <w:rsid w:val="00EF358C"/>
    <w:rsid w:val="00F022BB"/>
    <w:rsid w:val="00F04DB0"/>
    <w:rsid w:val="00F100A4"/>
    <w:rsid w:val="00F1033B"/>
    <w:rsid w:val="00F27E6D"/>
    <w:rsid w:val="00F34AE1"/>
    <w:rsid w:val="00F376F9"/>
    <w:rsid w:val="00F40FE5"/>
    <w:rsid w:val="00F4469F"/>
    <w:rsid w:val="00F4601A"/>
    <w:rsid w:val="00F52D40"/>
    <w:rsid w:val="00F55072"/>
    <w:rsid w:val="00F5665B"/>
    <w:rsid w:val="00F65F5D"/>
    <w:rsid w:val="00F70DBD"/>
    <w:rsid w:val="00F75877"/>
    <w:rsid w:val="00F81C4E"/>
    <w:rsid w:val="00F851BB"/>
    <w:rsid w:val="00F86A3A"/>
    <w:rsid w:val="00F961FF"/>
    <w:rsid w:val="00FA6B47"/>
    <w:rsid w:val="00FB5AD5"/>
    <w:rsid w:val="00FC5ACA"/>
    <w:rsid w:val="00FC6D73"/>
    <w:rsid w:val="00FD25E8"/>
    <w:rsid w:val="00FD4DC1"/>
    <w:rsid w:val="00FD5532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979CC"/>
  <w15:docId w15:val="{49B7EB9F-8E0A-4906-8D87-23547A3E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link w:val="Header"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725CB3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val="en-US" w:eastAsia="zh-CN"/>
    </w:rPr>
  </w:style>
  <w:style w:type="character" w:customStyle="1" w:styleId="FootnoteTextChar">
    <w:name w:val="Footnote Text Char"/>
    <w:aliases w:val="5_G Char"/>
    <w:link w:val="FootnoteText"/>
    <w:rsid w:val="007268F9"/>
    <w:rPr>
      <w:rFonts w:ascii="Times New Roman" w:hAnsi="Times New Roman" w:cs="Times New Roman"/>
      <w:sz w:val="18"/>
      <w:lang w:val="en-US" w:eastAsia="zh-CN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725CB3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link w:val="Heading1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E67FF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C0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10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BC010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10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BC0104"/>
    <w:rPr>
      <w:color w:val="800080"/>
      <w:u w:val="single"/>
    </w:rPr>
  </w:style>
  <w:style w:type="character" w:styleId="Hyperlink">
    <w:name w:val="Hyperlink"/>
    <w:uiPriority w:val="99"/>
    <w:rsid w:val="000619C9"/>
    <w:rPr>
      <w:color w:val="auto"/>
      <w:u w:val="none"/>
    </w:rPr>
  </w:style>
  <w:style w:type="paragraph" w:styleId="NoSpacing">
    <w:name w:val="No Spacing"/>
    <w:uiPriority w:val="1"/>
    <w:qFormat/>
    <w:rsid w:val="00C51979"/>
    <w:rPr>
      <w:rFonts w:eastAsia="Calibri" w:cs="Times New Roman"/>
      <w:sz w:val="22"/>
      <w:szCs w:val="22"/>
      <w:lang w:eastAsia="en-US"/>
    </w:rPr>
  </w:style>
  <w:style w:type="paragraph" w:styleId="NormalWeb">
    <w:name w:val="Normal (Web)"/>
    <w:basedOn w:val="Normal"/>
    <w:semiHidden/>
    <w:rsid w:val="00E3560D"/>
    <w:pPr>
      <w:suppressAutoHyphens w:val="0"/>
      <w:spacing w:before="100" w:beforeAutospacing="1" w:after="100" w:afterAutospacing="1" w:line="240" w:lineRule="auto"/>
    </w:pPr>
    <w:rPr>
      <w:color w:val="000000"/>
      <w:sz w:val="24"/>
      <w:szCs w:val="24"/>
      <w:lang w:val="fr-CH" w:eastAsia="fr-CH"/>
    </w:rPr>
  </w:style>
  <w:style w:type="paragraph" w:styleId="Revision">
    <w:name w:val="Revision"/>
    <w:hidden/>
    <w:uiPriority w:val="99"/>
    <w:semiHidden/>
    <w:rsid w:val="00450FD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465D-4F87-4079-9FE1-E29A2C28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15-04455(E)</vt:lpstr>
    </vt:vector>
  </TitlesOfParts>
  <Company>DCM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15-04455(E)</dc:title>
  <dc:subject>CAT/C/54/DR/606/2014</dc:subject>
  <dc:creator>Escalante</dc:creator>
  <dc:description>final</dc:description>
  <cp:lastModifiedBy>Sarah Willig</cp:lastModifiedBy>
  <cp:revision>2</cp:revision>
  <cp:lastPrinted>2016-02-16T14:15:00Z</cp:lastPrinted>
  <dcterms:created xsi:type="dcterms:W3CDTF">2017-04-04T15:38:00Z</dcterms:created>
  <dcterms:modified xsi:type="dcterms:W3CDTF">2017-04-04T15:38:00Z</dcterms:modified>
</cp:coreProperties>
</file>